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6EB2F" w14:textId="77777777" w:rsidR="00D31E76" w:rsidRPr="00650F12" w:rsidRDefault="00D31E76" w:rsidP="00463647">
      <w:pPr>
        <w:pStyle w:val="Header"/>
        <w:widowControl w:val="0"/>
        <w:rPr>
          <w:rFonts w:ascii="Times New Roman" w:hAnsi="Times New Roman"/>
          <w:color w:val="000000"/>
          <w:sz w:val="22"/>
          <w:szCs w:val="22"/>
          <w:lang w:val="sv-SE"/>
        </w:rPr>
      </w:pPr>
      <w:bookmarkStart w:id="0" w:name="_GoBack"/>
      <w:bookmarkEnd w:id="0"/>
    </w:p>
    <w:p w14:paraId="01496543" w14:textId="77777777" w:rsidR="00D31E76" w:rsidRPr="00650F12" w:rsidRDefault="00D31E76" w:rsidP="00463647">
      <w:pPr>
        <w:widowControl w:val="0"/>
        <w:tabs>
          <w:tab w:val="clear" w:pos="567"/>
        </w:tabs>
        <w:spacing w:line="240" w:lineRule="auto"/>
        <w:rPr>
          <w:color w:val="000000"/>
          <w:szCs w:val="22"/>
          <w:lang w:val="sv-SE"/>
        </w:rPr>
      </w:pPr>
    </w:p>
    <w:p w14:paraId="77BE7721" w14:textId="77777777" w:rsidR="00D31E76" w:rsidRPr="00650F12" w:rsidRDefault="00D31E76" w:rsidP="00463647">
      <w:pPr>
        <w:pStyle w:val="EndnoteText"/>
        <w:widowControl w:val="0"/>
        <w:tabs>
          <w:tab w:val="clear" w:pos="567"/>
        </w:tabs>
        <w:rPr>
          <w:color w:val="000000"/>
          <w:szCs w:val="22"/>
          <w:lang w:val="sv-SE"/>
        </w:rPr>
      </w:pPr>
    </w:p>
    <w:p w14:paraId="60ED2B3E" w14:textId="77777777" w:rsidR="00D31E76" w:rsidRPr="00650F12" w:rsidRDefault="00D31E76" w:rsidP="00463647">
      <w:pPr>
        <w:widowControl w:val="0"/>
        <w:tabs>
          <w:tab w:val="clear" w:pos="567"/>
        </w:tabs>
        <w:spacing w:line="240" w:lineRule="auto"/>
        <w:rPr>
          <w:color w:val="000000"/>
          <w:szCs w:val="22"/>
          <w:lang w:val="sv-SE"/>
        </w:rPr>
      </w:pPr>
    </w:p>
    <w:p w14:paraId="05A0D174" w14:textId="77777777" w:rsidR="00D31E76" w:rsidRPr="00650F12" w:rsidRDefault="00D31E76" w:rsidP="00463647">
      <w:pPr>
        <w:widowControl w:val="0"/>
        <w:tabs>
          <w:tab w:val="clear" w:pos="567"/>
        </w:tabs>
        <w:spacing w:line="240" w:lineRule="auto"/>
        <w:rPr>
          <w:color w:val="000000"/>
          <w:szCs w:val="22"/>
          <w:lang w:val="sv-SE"/>
        </w:rPr>
      </w:pPr>
    </w:p>
    <w:p w14:paraId="05900026" w14:textId="77777777" w:rsidR="00D31E76" w:rsidRPr="00650F12" w:rsidRDefault="00D31E76" w:rsidP="00463647">
      <w:pPr>
        <w:widowControl w:val="0"/>
        <w:tabs>
          <w:tab w:val="clear" w:pos="567"/>
        </w:tabs>
        <w:spacing w:line="240" w:lineRule="auto"/>
        <w:rPr>
          <w:color w:val="000000"/>
          <w:szCs w:val="22"/>
          <w:lang w:val="sv-SE"/>
        </w:rPr>
      </w:pPr>
    </w:p>
    <w:p w14:paraId="00625D58" w14:textId="77777777" w:rsidR="00D31E76" w:rsidRPr="00650F12" w:rsidRDefault="00D31E76" w:rsidP="00463647">
      <w:pPr>
        <w:widowControl w:val="0"/>
        <w:tabs>
          <w:tab w:val="clear" w:pos="567"/>
        </w:tabs>
        <w:spacing w:line="240" w:lineRule="auto"/>
        <w:rPr>
          <w:color w:val="000000"/>
          <w:szCs w:val="22"/>
          <w:lang w:val="sv-SE"/>
        </w:rPr>
      </w:pPr>
    </w:p>
    <w:p w14:paraId="58A39A89" w14:textId="77777777" w:rsidR="00D31E76" w:rsidRPr="00650F12" w:rsidRDefault="00D31E76" w:rsidP="00463647">
      <w:pPr>
        <w:widowControl w:val="0"/>
        <w:tabs>
          <w:tab w:val="clear" w:pos="567"/>
        </w:tabs>
        <w:spacing w:line="240" w:lineRule="auto"/>
        <w:rPr>
          <w:color w:val="000000"/>
          <w:szCs w:val="22"/>
          <w:lang w:val="sv-SE"/>
        </w:rPr>
      </w:pPr>
    </w:p>
    <w:p w14:paraId="176C6200" w14:textId="77777777" w:rsidR="00D31E76" w:rsidRPr="00650F12" w:rsidRDefault="00D31E76" w:rsidP="00463647">
      <w:pPr>
        <w:widowControl w:val="0"/>
        <w:tabs>
          <w:tab w:val="clear" w:pos="567"/>
        </w:tabs>
        <w:spacing w:line="240" w:lineRule="auto"/>
        <w:rPr>
          <w:color w:val="000000"/>
          <w:szCs w:val="22"/>
          <w:lang w:val="sv-SE"/>
        </w:rPr>
      </w:pPr>
    </w:p>
    <w:p w14:paraId="33F84EE7" w14:textId="77777777" w:rsidR="00D31E76" w:rsidRPr="00650F12" w:rsidRDefault="00D31E76" w:rsidP="00463647">
      <w:pPr>
        <w:widowControl w:val="0"/>
        <w:tabs>
          <w:tab w:val="clear" w:pos="567"/>
        </w:tabs>
        <w:spacing w:line="240" w:lineRule="auto"/>
        <w:rPr>
          <w:color w:val="000000"/>
          <w:szCs w:val="22"/>
          <w:lang w:val="sv-SE"/>
        </w:rPr>
      </w:pPr>
    </w:p>
    <w:p w14:paraId="57F7B089" w14:textId="77777777" w:rsidR="00D31E76" w:rsidRPr="00650F12" w:rsidRDefault="00D31E76" w:rsidP="00463647">
      <w:pPr>
        <w:pStyle w:val="EndnoteText"/>
        <w:widowControl w:val="0"/>
        <w:tabs>
          <w:tab w:val="clear" w:pos="567"/>
        </w:tabs>
        <w:rPr>
          <w:color w:val="000000"/>
          <w:szCs w:val="22"/>
          <w:lang w:val="sv-SE"/>
        </w:rPr>
      </w:pPr>
    </w:p>
    <w:p w14:paraId="543C4F96" w14:textId="77777777" w:rsidR="00D31E76" w:rsidRPr="00650F12" w:rsidRDefault="00D31E76" w:rsidP="00463647">
      <w:pPr>
        <w:widowControl w:val="0"/>
        <w:tabs>
          <w:tab w:val="clear" w:pos="567"/>
        </w:tabs>
        <w:spacing w:line="240" w:lineRule="auto"/>
        <w:rPr>
          <w:color w:val="000000"/>
          <w:szCs w:val="22"/>
          <w:lang w:val="sv-SE"/>
        </w:rPr>
      </w:pPr>
    </w:p>
    <w:p w14:paraId="28C602D6" w14:textId="77777777" w:rsidR="00D31E76" w:rsidRPr="00650F12" w:rsidRDefault="00D31E76" w:rsidP="00463647">
      <w:pPr>
        <w:widowControl w:val="0"/>
        <w:tabs>
          <w:tab w:val="clear" w:pos="567"/>
        </w:tabs>
        <w:spacing w:line="240" w:lineRule="auto"/>
        <w:rPr>
          <w:color w:val="000000"/>
          <w:szCs w:val="22"/>
          <w:lang w:val="sv-SE"/>
        </w:rPr>
      </w:pPr>
    </w:p>
    <w:p w14:paraId="4F67A14F" w14:textId="77777777" w:rsidR="00D31E76" w:rsidRPr="00650F12" w:rsidRDefault="00D31E76" w:rsidP="00463647">
      <w:pPr>
        <w:widowControl w:val="0"/>
        <w:tabs>
          <w:tab w:val="clear" w:pos="567"/>
        </w:tabs>
        <w:spacing w:line="240" w:lineRule="auto"/>
        <w:rPr>
          <w:color w:val="000000"/>
          <w:szCs w:val="22"/>
          <w:lang w:val="sv-SE"/>
        </w:rPr>
      </w:pPr>
    </w:p>
    <w:p w14:paraId="55A43E2C" w14:textId="77777777" w:rsidR="00D31E76" w:rsidRPr="00650F12" w:rsidRDefault="00D31E76" w:rsidP="00463647">
      <w:pPr>
        <w:widowControl w:val="0"/>
        <w:tabs>
          <w:tab w:val="clear" w:pos="567"/>
        </w:tabs>
        <w:spacing w:line="240" w:lineRule="auto"/>
        <w:rPr>
          <w:color w:val="000000"/>
          <w:szCs w:val="22"/>
          <w:lang w:val="sv-SE"/>
        </w:rPr>
      </w:pPr>
    </w:p>
    <w:p w14:paraId="18F1FC19" w14:textId="77777777" w:rsidR="00D31E76" w:rsidRPr="00650F12" w:rsidRDefault="00D31E76" w:rsidP="00463647">
      <w:pPr>
        <w:widowControl w:val="0"/>
        <w:tabs>
          <w:tab w:val="clear" w:pos="567"/>
        </w:tabs>
        <w:spacing w:line="240" w:lineRule="auto"/>
        <w:rPr>
          <w:color w:val="000000"/>
          <w:szCs w:val="22"/>
          <w:lang w:val="sv-SE"/>
        </w:rPr>
      </w:pPr>
    </w:p>
    <w:p w14:paraId="166103F5" w14:textId="77777777" w:rsidR="00D31E76" w:rsidRPr="00650F12" w:rsidRDefault="00D31E76" w:rsidP="00463647">
      <w:pPr>
        <w:widowControl w:val="0"/>
        <w:tabs>
          <w:tab w:val="clear" w:pos="567"/>
        </w:tabs>
        <w:spacing w:line="240" w:lineRule="auto"/>
        <w:rPr>
          <w:color w:val="000000"/>
          <w:szCs w:val="22"/>
          <w:lang w:val="sv-SE"/>
        </w:rPr>
      </w:pPr>
    </w:p>
    <w:p w14:paraId="22E17C50" w14:textId="77777777" w:rsidR="00D31E76" w:rsidRPr="00650F12" w:rsidRDefault="00D31E76" w:rsidP="00463647">
      <w:pPr>
        <w:widowControl w:val="0"/>
        <w:tabs>
          <w:tab w:val="clear" w:pos="567"/>
        </w:tabs>
        <w:spacing w:line="240" w:lineRule="auto"/>
        <w:rPr>
          <w:color w:val="000000"/>
          <w:szCs w:val="22"/>
          <w:lang w:val="sv-SE"/>
        </w:rPr>
      </w:pPr>
    </w:p>
    <w:p w14:paraId="3F6AC647" w14:textId="77777777" w:rsidR="00D31E76" w:rsidRPr="00650F12" w:rsidRDefault="00D31E76" w:rsidP="00463647">
      <w:pPr>
        <w:widowControl w:val="0"/>
        <w:tabs>
          <w:tab w:val="clear" w:pos="567"/>
        </w:tabs>
        <w:spacing w:line="240" w:lineRule="auto"/>
        <w:rPr>
          <w:color w:val="000000"/>
          <w:szCs w:val="22"/>
          <w:lang w:val="sv-SE"/>
        </w:rPr>
      </w:pPr>
    </w:p>
    <w:p w14:paraId="7E457AFD" w14:textId="77777777" w:rsidR="00D31E76" w:rsidRPr="00650F12" w:rsidRDefault="00D31E76" w:rsidP="00463647">
      <w:pPr>
        <w:widowControl w:val="0"/>
        <w:tabs>
          <w:tab w:val="clear" w:pos="567"/>
        </w:tabs>
        <w:spacing w:line="240" w:lineRule="auto"/>
        <w:rPr>
          <w:color w:val="000000"/>
          <w:szCs w:val="22"/>
          <w:lang w:val="sv-SE"/>
        </w:rPr>
      </w:pPr>
    </w:p>
    <w:p w14:paraId="4A8C3D03" w14:textId="77777777" w:rsidR="00D31E76" w:rsidRPr="00650F12" w:rsidRDefault="00D31E76" w:rsidP="00463647">
      <w:pPr>
        <w:widowControl w:val="0"/>
        <w:tabs>
          <w:tab w:val="clear" w:pos="567"/>
        </w:tabs>
        <w:spacing w:line="240" w:lineRule="auto"/>
        <w:rPr>
          <w:color w:val="000000"/>
          <w:szCs w:val="22"/>
          <w:lang w:val="sv-SE"/>
        </w:rPr>
      </w:pPr>
    </w:p>
    <w:p w14:paraId="010D74BC" w14:textId="77777777" w:rsidR="00D31E76" w:rsidRPr="00650F12" w:rsidRDefault="00D31E76" w:rsidP="00463647">
      <w:pPr>
        <w:pStyle w:val="EndnoteText"/>
        <w:widowControl w:val="0"/>
        <w:tabs>
          <w:tab w:val="clear" w:pos="567"/>
        </w:tabs>
        <w:rPr>
          <w:color w:val="000000"/>
          <w:szCs w:val="22"/>
          <w:lang w:val="sv-SE"/>
        </w:rPr>
      </w:pPr>
    </w:p>
    <w:p w14:paraId="7C43FF33" w14:textId="77777777" w:rsidR="00D31E76" w:rsidRPr="00650F12" w:rsidRDefault="00D31E76" w:rsidP="00463647">
      <w:pPr>
        <w:widowControl w:val="0"/>
        <w:tabs>
          <w:tab w:val="clear" w:pos="567"/>
        </w:tabs>
        <w:spacing w:line="240" w:lineRule="auto"/>
        <w:rPr>
          <w:color w:val="000000"/>
          <w:szCs w:val="22"/>
          <w:lang w:val="sv-SE"/>
        </w:rPr>
      </w:pPr>
    </w:p>
    <w:p w14:paraId="57A23C7E" w14:textId="77777777" w:rsidR="00D31E76" w:rsidRPr="000E7AE9" w:rsidRDefault="00D31E76" w:rsidP="00463647">
      <w:pPr>
        <w:widowControl w:val="0"/>
        <w:tabs>
          <w:tab w:val="clear" w:pos="567"/>
        </w:tabs>
        <w:spacing w:line="240" w:lineRule="auto"/>
        <w:jc w:val="center"/>
        <w:rPr>
          <w:b/>
          <w:color w:val="000000"/>
          <w:szCs w:val="22"/>
          <w:lang w:val="sv-SE"/>
        </w:rPr>
      </w:pPr>
      <w:r w:rsidRPr="000E7AE9">
        <w:rPr>
          <w:b/>
          <w:color w:val="000000"/>
          <w:szCs w:val="22"/>
          <w:lang w:val="sv-SE"/>
        </w:rPr>
        <w:t xml:space="preserve">BILAGA </w:t>
      </w:r>
      <w:r w:rsidR="00A60F52" w:rsidRPr="000E7AE9">
        <w:rPr>
          <w:b/>
          <w:color w:val="000000"/>
          <w:szCs w:val="22"/>
          <w:lang w:val="sv-SE"/>
        </w:rPr>
        <w:t>I</w:t>
      </w:r>
    </w:p>
    <w:p w14:paraId="05F7819F" w14:textId="77777777" w:rsidR="00D31E76" w:rsidRPr="000E7AE9" w:rsidRDefault="00D31E76" w:rsidP="00463647">
      <w:pPr>
        <w:widowControl w:val="0"/>
        <w:tabs>
          <w:tab w:val="clear" w:pos="567"/>
        </w:tabs>
        <w:spacing w:line="240" w:lineRule="auto"/>
        <w:jc w:val="center"/>
        <w:rPr>
          <w:color w:val="000000"/>
          <w:szCs w:val="22"/>
          <w:lang w:val="sv-SE"/>
        </w:rPr>
      </w:pPr>
    </w:p>
    <w:p w14:paraId="03346E0F" w14:textId="77777777" w:rsidR="002C2500" w:rsidRPr="000E7AE9" w:rsidRDefault="00D31E76" w:rsidP="00463647">
      <w:pPr>
        <w:widowControl w:val="0"/>
        <w:tabs>
          <w:tab w:val="clear" w:pos="567"/>
        </w:tabs>
        <w:spacing w:line="240" w:lineRule="auto"/>
        <w:jc w:val="center"/>
        <w:rPr>
          <w:b/>
          <w:color w:val="000000"/>
          <w:szCs w:val="22"/>
          <w:lang w:val="sv-SE"/>
        </w:rPr>
      </w:pPr>
      <w:r w:rsidRPr="000E7AE9">
        <w:rPr>
          <w:b/>
          <w:color w:val="000000"/>
          <w:szCs w:val="22"/>
          <w:lang w:val="sv-SE"/>
        </w:rPr>
        <w:t>PRODUKTRESUMÉ</w:t>
      </w:r>
    </w:p>
    <w:p w14:paraId="0D6ED8E5" w14:textId="77777777" w:rsidR="00D31E76" w:rsidRPr="000E7AE9" w:rsidRDefault="00D31E76" w:rsidP="00463647">
      <w:pPr>
        <w:widowControl w:val="0"/>
        <w:tabs>
          <w:tab w:val="clear" w:pos="567"/>
          <w:tab w:val="left" w:pos="-1440"/>
          <w:tab w:val="left" w:pos="-720"/>
        </w:tabs>
        <w:spacing w:line="240" w:lineRule="auto"/>
        <w:jc w:val="center"/>
        <w:rPr>
          <w:color w:val="000000"/>
          <w:szCs w:val="22"/>
          <w:lang w:val="sv-SE"/>
        </w:rPr>
      </w:pPr>
    </w:p>
    <w:p w14:paraId="70837972" w14:textId="77777777" w:rsidR="00DA42D8" w:rsidRPr="00AB1764" w:rsidRDefault="00D31E76" w:rsidP="00463647">
      <w:pPr>
        <w:widowControl w:val="0"/>
        <w:spacing w:line="240" w:lineRule="auto"/>
        <w:rPr>
          <w:szCs w:val="22"/>
          <w:lang w:val="sv-SE"/>
        </w:rPr>
      </w:pPr>
      <w:r w:rsidRPr="000E7AE9">
        <w:rPr>
          <w:color w:val="000000"/>
          <w:szCs w:val="22"/>
          <w:lang w:val="sv-SE"/>
        </w:rPr>
        <w:br w:type="page"/>
      </w:r>
      <w:r w:rsidR="000B798D" w:rsidRPr="0096596E">
        <w:rPr>
          <w:noProof/>
          <w:lang w:val="en-US"/>
        </w:rPr>
        <w:lastRenderedPageBreak/>
        <w:drawing>
          <wp:inline distT="0" distB="0" distL="0" distR="0" wp14:anchorId="089E5FBB" wp14:editId="3ECB44A7">
            <wp:extent cx="198120" cy="177800"/>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177800"/>
                    </a:xfrm>
                    <a:prstGeom prst="rect">
                      <a:avLst/>
                    </a:prstGeom>
                    <a:noFill/>
                    <a:ln>
                      <a:noFill/>
                    </a:ln>
                  </pic:spPr>
                </pic:pic>
              </a:graphicData>
            </a:graphic>
          </wp:inline>
        </w:drawing>
      </w:r>
      <w:r w:rsidR="00DA42D8" w:rsidRPr="00AB1764">
        <w:rPr>
          <w:noProof/>
          <w:szCs w:val="22"/>
          <w:lang w:val="sv-SE"/>
        </w:rPr>
        <w:t>Detta läkemedel är föremål för utökad övervakning.</w:t>
      </w:r>
      <w:r w:rsidR="00DA42D8" w:rsidRPr="00AB1764">
        <w:rPr>
          <w:szCs w:val="22"/>
          <w:lang w:val="sv-SE"/>
        </w:rPr>
        <w:t xml:space="preserve"> </w:t>
      </w:r>
      <w:r w:rsidR="00DA42D8" w:rsidRPr="00AB1764">
        <w:rPr>
          <w:noProof/>
          <w:szCs w:val="22"/>
          <w:lang w:val="sv-SE"/>
        </w:rPr>
        <w:t>Detta kommer att göra det möjligt att snabbt identifiera ny säkerhetsinformation.</w:t>
      </w:r>
      <w:r w:rsidR="00DA42D8" w:rsidRPr="00AB1764">
        <w:rPr>
          <w:szCs w:val="22"/>
          <w:lang w:val="sv-SE"/>
        </w:rPr>
        <w:t xml:space="preserve"> </w:t>
      </w:r>
      <w:r w:rsidR="00DA42D8" w:rsidRPr="00AB1764">
        <w:rPr>
          <w:noProof/>
          <w:szCs w:val="22"/>
          <w:lang w:val="sv-SE"/>
        </w:rPr>
        <w:t>Hälso- och sjukvårdspersonal uppmanas att rapportera varje misstänkt biverkning.</w:t>
      </w:r>
      <w:r w:rsidR="00DA42D8" w:rsidRPr="00AB1764">
        <w:rPr>
          <w:szCs w:val="22"/>
          <w:lang w:val="sv-SE"/>
        </w:rPr>
        <w:t xml:space="preserve"> </w:t>
      </w:r>
      <w:r w:rsidR="00DA42D8" w:rsidRPr="00AB1764">
        <w:rPr>
          <w:noProof/>
          <w:szCs w:val="22"/>
          <w:lang w:val="sv-SE"/>
        </w:rPr>
        <w:t>Se avsnitt 4.8 om hur man rapporterar biverkningar.</w:t>
      </w:r>
    </w:p>
    <w:p w14:paraId="7ED6FA5A" w14:textId="77777777" w:rsidR="00DA42D8" w:rsidRPr="00AB1764" w:rsidRDefault="00DA42D8" w:rsidP="00463647">
      <w:pPr>
        <w:widowControl w:val="0"/>
        <w:spacing w:line="240" w:lineRule="auto"/>
        <w:rPr>
          <w:szCs w:val="22"/>
          <w:lang w:val="sv-SE"/>
        </w:rPr>
      </w:pPr>
    </w:p>
    <w:p w14:paraId="184F5D49" w14:textId="77777777" w:rsidR="00DA42D8" w:rsidRPr="00AB1764" w:rsidRDefault="00DA42D8" w:rsidP="00463647">
      <w:pPr>
        <w:widowControl w:val="0"/>
        <w:spacing w:line="240" w:lineRule="auto"/>
        <w:rPr>
          <w:szCs w:val="22"/>
          <w:lang w:val="sv-SE"/>
        </w:rPr>
      </w:pPr>
    </w:p>
    <w:p w14:paraId="37BA8679"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1.</w:t>
      </w:r>
      <w:r w:rsidRPr="000E7AE9">
        <w:rPr>
          <w:noProof w:val="0"/>
          <w:color w:val="000000"/>
          <w:szCs w:val="22"/>
          <w:lang w:val="sv-SE"/>
        </w:rPr>
        <w:tab/>
        <w:t>LÄKEMEDLETS NAMN</w:t>
      </w:r>
    </w:p>
    <w:p w14:paraId="09C59857" w14:textId="77777777" w:rsidR="00620ABA" w:rsidRPr="000E7AE9" w:rsidRDefault="00620ABA" w:rsidP="00463647">
      <w:pPr>
        <w:widowControl w:val="0"/>
        <w:tabs>
          <w:tab w:val="clear" w:pos="567"/>
        </w:tabs>
        <w:spacing w:line="240" w:lineRule="auto"/>
        <w:rPr>
          <w:i/>
          <w:color w:val="000000"/>
          <w:szCs w:val="22"/>
          <w:lang w:val="sv-SE"/>
        </w:rPr>
      </w:pPr>
    </w:p>
    <w:p w14:paraId="3D801986" w14:textId="77777777" w:rsidR="00620ABA" w:rsidRPr="000E7AE9" w:rsidRDefault="00B468B3" w:rsidP="00463647">
      <w:pPr>
        <w:pStyle w:val="EndnoteText"/>
        <w:widowControl w:val="0"/>
        <w:tabs>
          <w:tab w:val="clear" w:pos="567"/>
        </w:tabs>
        <w:rPr>
          <w:color w:val="000000"/>
          <w:szCs w:val="22"/>
          <w:lang w:val="sv-SE"/>
        </w:rPr>
      </w:pPr>
      <w:r>
        <w:rPr>
          <w:color w:val="000000"/>
          <w:szCs w:val="22"/>
          <w:lang w:val="sv-SE"/>
        </w:rPr>
        <w:t>Glivec 100 mg hårda kapslar</w:t>
      </w:r>
    </w:p>
    <w:p w14:paraId="765FED56" w14:textId="77777777" w:rsidR="00620ABA" w:rsidRDefault="00620ABA" w:rsidP="00463647">
      <w:pPr>
        <w:pStyle w:val="EndnoteText"/>
        <w:widowControl w:val="0"/>
        <w:tabs>
          <w:tab w:val="clear" w:pos="567"/>
        </w:tabs>
        <w:rPr>
          <w:color w:val="000000"/>
          <w:szCs w:val="22"/>
          <w:lang w:val="sv-SE"/>
        </w:rPr>
      </w:pPr>
    </w:p>
    <w:p w14:paraId="5920FD44" w14:textId="77777777" w:rsidR="00DF06CD" w:rsidRPr="000E7AE9" w:rsidRDefault="00DF06CD" w:rsidP="00463647">
      <w:pPr>
        <w:pStyle w:val="EndnoteText"/>
        <w:widowControl w:val="0"/>
        <w:tabs>
          <w:tab w:val="clear" w:pos="567"/>
        </w:tabs>
        <w:rPr>
          <w:color w:val="000000"/>
          <w:szCs w:val="22"/>
          <w:lang w:val="sv-SE"/>
        </w:rPr>
      </w:pPr>
    </w:p>
    <w:p w14:paraId="61A111D0"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2.</w:t>
      </w:r>
      <w:r w:rsidRPr="000E7AE9">
        <w:rPr>
          <w:noProof w:val="0"/>
          <w:color w:val="000000"/>
          <w:szCs w:val="22"/>
          <w:lang w:val="sv-SE"/>
        </w:rPr>
        <w:tab/>
        <w:t>KVALITATIV OCH KVANTITATIV SAMMANSÄTTNING</w:t>
      </w:r>
    </w:p>
    <w:p w14:paraId="7B3538EB" w14:textId="77777777" w:rsidR="00620ABA" w:rsidRPr="000E7AE9" w:rsidRDefault="00620ABA" w:rsidP="00463647">
      <w:pPr>
        <w:keepNext/>
        <w:widowControl w:val="0"/>
        <w:tabs>
          <w:tab w:val="clear" w:pos="567"/>
        </w:tabs>
        <w:spacing w:line="240" w:lineRule="auto"/>
        <w:rPr>
          <w:i/>
          <w:color w:val="000000"/>
          <w:szCs w:val="22"/>
          <w:lang w:val="sv-SE"/>
        </w:rPr>
      </w:pPr>
    </w:p>
    <w:p w14:paraId="05AE4F6D" w14:textId="77777777" w:rsidR="00B468B3" w:rsidRDefault="00B468B3" w:rsidP="00463647">
      <w:pPr>
        <w:widowControl w:val="0"/>
        <w:tabs>
          <w:tab w:val="clear" w:pos="567"/>
        </w:tabs>
        <w:spacing w:line="240" w:lineRule="auto"/>
        <w:rPr>
          <w:color w:val="000000"/>
          <w:szCs w:val="22"/>
          <w:lang w:val="sv-SE"/>
        </w:rPr>
      </w:pPr>
      <w:r>
        <w:rPr>
          <w:color w:val="000000"/>
          <w:szCs w:val="22"/>
          <w:lang w:val="sv-SE"/>
        </w:rPr>
        <w:t>Varje kapsel innehåller 100 mg imatinib (som mesylat)</w:t>
      </w:r>
    </w:p>
    <w:p w14:paraId="0B29C944" w14:textId="77777777" w:rsidR="00B468B3" w:rsidRPr="000E7AE9" w:rsidRDefault="00B468B3" w:rsidP="00463647">
      <w:pPr>
        <w:widowControl w:val="0"/>
        <w:tabs>
          <w:tab w:val="clear" w:pos="567"/>
        </w:tabs>
        <w:spacing w:line="240" w:lineRule="auto"/>
        <w:rPr>
          <w:color w:val="000000"/>
          <w:szCs w:val="22"/>
          <w:lang w:val="sv-SE"/>
        </w:rPr>
      </w:pPr>
    </w:p>
    <w:p w14:paraId="5D1ADFD0" w14:textId="77777777" w:rsidR="00620ABA" w:rsidRPr="000E7AE9" w:rsidRDefault="000F71DE" w:rsidP="00463647">
      <w:pPr>
        <w:widowControl w:val="0"/>
        <w:tabs>
          <w:tab w:val="clear" w:pos="567"/>
        </w:tabs>
        <w:spacing w:line="240" w:lineRule="auto"/>
        <w:rPr>
          <w:color w:val="000000"/>
          <w:szCs w:val="22"/>
          <w:lang w:val="sv-SE"/>
        </w:rPr>
      </w:pPr>
      <w:r w:rsidRPr="00AB1764">
        <w:rPr>
          <w:noProof/>
          <w:szCs w:val="22"/>
          <w:lang w:val="sv-SE"/>
        </w:rPr>
        <w:t>För fullständig förteckning över</w:t>
      </w:r>
      <w:r w:rsidRPr="00AB1764">
        <w:rPr>
          <w:szCs w:val="22"/>
          <w:lang w:val="sv-SE"/>
        </w:rPr>
        <w:t xml:space="preserve"> hjälpämnen, se avsnitt 6.1.</w:t>
      </w:r>
    </w:p>
    <w:p w14:paraId="6B090B8C" w14:textId="77777777" w:rsidR="00620ABA" w:rsidRDefault="00620ABA" w:rsidP="00463647">
      <w:pPr>
        <w:widowControl w:val="0"/>
        <w:tabs>
          <w:tab w:val="clear" w:pos="567"/>
        </w:tabs>
        <w:spacing w:line="240" w:lineRule="auto"/>
        <w:rPr>
          <w:color w:val="000000"/>
          <w:szCs w:val="22"/>
          <w:lang w:val="sv-SE"/>
        </w:rPr>
      </w:pPr>
    </w:p>
    <w:p w14:paraId="550CE3A8" w14:textId="77777777" w:rsidR="00DF06CD" w:rsidRPr="000E7AE9" w:rsidRDefault="00DF06CD" w:rsidP="00463647">
      <w:pPr>
        <w:widowControl w:val="0"/>
        <w:tabs>
          <w:tab w:val="clear" w:pos="567"/>
        </w:tabs>
        <w:spacing w:line="240" w:lineRule="auto"/>
        <w:rPr>
          <w:color w:val="000000"/>
          <w:szCs w:val="22"/>
          <w:lang w:val="sv-SE"/>
        </w:rPr>
      </w:pPr>
    </w:p>
    <w:p w14:paraId="6A869027" w14:textId="77777777" w:rsidR="00620ABA" w:rsidRPr="000E7AE9" w:rsidRDefault="00620ABA" w:rsidP="00463647">
      <w:pPr>
        <w:pStyle w:val="Heading4"/>
        <w:widowControl w:val="0"/>
        <w:spacing w:line="240" w:lineRule="auto"/>
        <w:rPr>
          <w:caps/>
          <w:noProof w:val="0"/>
          <w:color w:val="000000"/>
          <w:szCs w:val="22"/>
          <w:lang w:val="sv-SE"/>
        </w:rPr>
      </w:pPr>
      <w:r w:rsidRPr="000E7AE9">
        <w:rPr>
          <w:noProof w:val="0"/>
          <w:color w:val="000000"/>
          <w:szCs w:val="22"/>
          <w:lang w:val="sv-SE"/>
        </w:rPr>
        <w:t>3.</w:t>
      </w:r>
      <w:r w:rsidRPr="000E7AE9">
        <w:rPr>
          <w:noProof w:val="0"/>
          <w:color w:val="000000"/>
          <w:szCs w:val="22"/>
          <w:lang w:val="sv-SE"/>
        </w:rPr>
        <w:tab/>
        <w:t>LÄKEMEDELSFORM</w:t>
      </w:r>
    </w:p>
    <w:p w14:paraId="47550621" w14:textId="77777777" w:rsidR="00620ABA" w:rsidRPr="000E7AE9" w:rsidRDefault="00620ABA" w:rsidP="00463647">
      <w:pPr>
        <w:pStyle w:val="EndnoteText"/>
        <w:keepNext/>
        <w:widowControl w:val="0"/>
        <w:tabs>
          <w:tab w:val="clear" w:pos="567"/>
        </w:tabs>
        <w:rPr>
          <w:color w:val="000000"/>
          <w:szCs w:val="22"/>
          <w:lang w:val="sv-SE"/>
        </w:rPr>
      </w:pPr>
    </w:p>
    <w:p w14:paraId="23D8F14A" w14:textId="77777777" w:rsidR="00620ABA" w:rsidRPr="000E7AE9" w:rsidRDefault="00620ABA" w:rsidP="00463647">
      <w:pPr>
        <w:widowControl w:val="0"/>
        <w:tabs>
          <w:tab w:val="clear" w:pos="567"/>
        </w:tabs>
        <w:spacing w:line="240" w:lineRule="auto"/>
        <w:rPr>
          <w:color w:val="000000"/>
          <w:szCs w:val="22"/>
          <w:lang w:val="sv-SE"/>
        </w:rPr>
      </w:pPr>
      <w:r w:rsidRPr="000E7AE9">
        <w:rPr>
          <w:color w:val="000000"/>
          <w:szCs w:val="22"/>
          <w:lang w:val="sv-SE"/>
        </w:rPr>
        <w:t>Hård kapsel</w:t>
      </w:r>
    </w:p>
    <w:p w14:paraId="54AD5A6E" w14:textId="77777777" w:rsidR="00620ABA" w:rsidRDefault="00620ABA" w:rsidP="00463647">
      <w:pPr>
        <w:widowControl w:val="0"/>
        <w:tabs>
          <w:tab w:val="clear" w:pos="567"/>
        </w:tabs>
        <w:spacing w:line="240" w:lineRule="auto"/>
        <w:rPr>
          <w:color w:val="000000"/>
          <w:szCs w:val="22"/>
          <w:lang w:val="sv-SE"/>
        </w:rPr>
      </w:pPr>
    </w:p>
    <w:p w14:paraId="62E8FC36" w14:textId="77777777" w:rsidR="00B468B3" w:rsidRDefault="00B468B3" w:rsidP="00463647">
      <w:pPr>
        <w:widowControl w:val="0"/>
        <w:tabs>
          <w:tab w:val="clear" w:pos="567"/>
        </w:tabs>
        <w:spacing w:line="240" w:lineRule="auto"/>
        <w:rPr>
          <w:color w:val="000000"/>
          <w:szCs w:val="22"/>
          <w:lang w:val="sv-SE"/>
        </w:rPr>
      </w:pPr>
      <w:r w:rsidRPr="000E7AE9">
        <w:rPr>
          <w:color w:val="000000"/>
          <w:szCs w:val="22"/>
          <w:lang w:val="sv-SE"/>
        </w:rPr>
        <w:t>Vitt till gult pulver i orange till gråorange halvgenomskinliga kapslar, märkta ”NVR SI”.</w:t>
      </w:r>
    </w:p>
    <w:p w14:paraId="1F208075" w14:textId="77777777" w:rsidR="009E54DD" w:rsidRPr="000E7AE9" w:rsidRDefault="009E54DD" w:rsidP="00463647">
      <w:pPr>
        <w:widowControl w:val="0"/>
        <w:tabs>
          <w:tab w:val="clear" w:pos="567"/>
        </w:tabs>
        <w:spacing w:line="240" w:lineRule="auto"/>
        <w:rPr>
          <w:color w:val="000000"/>
          <w:szCs w:val="22"/>
          <w:lang w:val="sv-SE"/>
        </w:rPr>
      </w:pPr>
    </w:p>
    <w:p w14:paraId="3CECBE01" w14:textId="77777777" w:rsidR="00620ABA" w:rsidRPr="000E7AE9" w:rsidRDefault="00620ABA" w:rsidP="00463647">
      <w:pPr>
        <w:widowControl w:val="0"/>
        <w:tabs>
          <w:tab w:val="clear" w:pos="567"/>
        </w:tabs>
        <w:spacing w:line="240" w:lineRule="auto"/>
        <w:rPr>
          <w:color w:val="000000"/>
          <w:szCs w:val="22"/>
          <w:lang w:val="sv-SE"/>
        </w:rPr>
      </w:pPr>
    </w:p>
    <w:p w14:paraId="6141FA5D"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w:t>
      </w:r>
      <w:r w:rsidRPr="000E7AE9">
        <w:rPr>
          <w:noProof w:val="0"/>
          <w:color w:val="000000"/>
          <w:szCs w:val="22"/>
          <w:lang w:val="sv-SE"/>
        </w:rPr>
        <w:tab/>
        <w:t>KLINISKA UPPGIFTER</w:t>
      </w:r>
    </w:p>
    <w:p w14:paraId="3B2E9EFF" w14:textId="77777777" w:rsidR="00620ABA" w:rsidRPr="000E7AE9" w:rsidRDefault="00620ABA" w:rsidP="00463647">
      <w:pPr>
        <w:pStyle w:val="EndnoteText"/>
        <w:keepNext/>
        <w:widowControl w:val="0"/>
        <w:tabs>
          <w:tab w:val="clear" w:pos="567"/>
        </w:tabs>
        <w:rPr>
          <w:color w:val="000000"/>
          <w:szCs w:val="22"/>
          <w:lang w:val="sv-SE"/>
        </w:rPr>
      </w:pPr>
    </w:p>
    <w:p w14:paraId="069674FB"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4.1</w:t>
      </w:r>
      <w:r w:rsidRPr="000E7AE9">
        <w:rPr>
          <w:noProof w:val="0"/>
          <w:color w:val="000000"/>
          <w:szCs w:val="22"/>
          <w:lang w:val="sv-SE"/>
        </w:rPr>
        <w:tab/>
        <w:t>Terapeutiska indikationer</w:t>
      </w:r>
    </w:p>
    <w:p w14:paraId="55127A94" w14:textId="77777777" w:rsidR="00620ABA" w:rsidRPr="000E7AE9" w:rsidRDefault="00620ABA" w:rsidP="00463647">
      <w:pPr>
        <w:pStyle w:val="EndnoteText"/>
        <w:keepNext/>
        <w:widowControl w:val="0"/>
        <w:tabs>
          <w:tab w:val="clear" w:pos="567"/>
        </w:tabs>
        <w:rPr>
          <w:color w:val="000000"/>
          <w:szCs w:val="22"/>
          <w:lang w:val="sv-SE"/>
        </w:rPr>
      </w:pPr>
    </w:p>
    <w:p w14:paraId="40F55EDA" w14:textId="77777777" w:rsidR="00620ABA" w:rsidRPr="000E7AE9" w:rsidRDefault="00620ABA" w:rsidP="00463647">
      <w:pPr>
        <w:pStyle w:val="EndnoteText"/>
        <w:keepNext/>
        <w:widowControl w:val="0"/>
        <w:tabs>
          <w:tab w:val="clear" w:pos="567"/>
        </w:tabs>
        <w:rPr>
          <w:color w:val="000000"/>
          <w:szCs w:val="22"/>
          <w:lang w:val="sv-SE"/>
        </w:rPr>
      </w:pPr>
      <w:r w:rsidRPr="000E7AE9">
        <w:rPr>
          <w:color w:val="000000"/>
          <w:szCs w:val="22"/>
          <w:lang w:val="sv-SE"/>
        </w:rPr>
        <w:t>Glivec är indicerat för behandling av</w:t>
      </w:r>
    </w:p>
    <w:p w14:paraId="204497EE" w14:textId="77777777" w:rsidR="00620ABA" w:rsidRPr="000E7AE9" w:rsidRDefault="00620ABA"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vuxna och barn med nydiagnostiserad Philadelphiakromosom- (bcr-abl)-positiv (Ph+) kronisk myeloisk leukemi (KML), för vilka benmärgstransplantation inte är en förstahandsbehandling.</w:t>
      </w:r>
    </w:p>
    <w:p w14:paraId="02854AEC" w14:textId="77777777" w:rsidR="00620ABA" w:rsidRPr="000E7AE9" w:rsidRDefault="00620ABA"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vuxna och barn med (Ph+)-KML i kronisk fas efter terapisvikt med interferon alfa-behandling, eller i accelererad fas eller blastkris.</w:t>
      </w:r>
    </w:p>
    <w:p w14:paraId="4E9801D2" w14:textId="77777777" w:rsidR="00620ABA" w:rsidRPr="000E7AE9" w:rsidRDefault="00620ABA"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 xml:space="preserve">vuxna </w:t>
      </w:r>
      <w:r w:rsidR="00456ABA">
        <w:rPr>
          <w:color w:val="000000"/>
          <w:szCs w:val="22"/>
          <w:lang w:val="sv-SE"/>
        </w:rPr>
        <w:t>och barn</w:t>
      </w:r>
      <w:r w:rsidRPr="000E7AE9">
        <w:rPr>
          <w:color w:val="000000"/>
          <w:szCs w:val="22"/>
          <w:lang w:val="sv-SE"/>
        </w:rPr>
        <w:t xml:space="preserve"> med nyligen diagnosticerad Philadelphia-kromosom-positiv akut lymfoblastisk leukemi (Ph+ ALL) tillsammans med kemoterapi.</w:t>
      </w:r>
    </w:p>
    <w:p w14:paraId="388AB713" w14:textId="77777777" w:rsidR="00620ABA" w:rsidRPr="000E7AE9" w:rsidRDefault="00620ABA"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vuxna patienter med recidiverande eller refraktär Ph+ ALL som monoterapi.</w:t>
      </w:r>
    </w:p>
    <w:p w14:paraId="3C9E1FF5" w14:textId="77777777" w:rsidR="00827767" w:rsidRPr="000E7AE9" w:rsidRDefault="008B3477" w:rsidP="00463647">
      <w:pPr>
        <w:pStyle w:val="EndnoteText"/>
        <w:widowControl w:val="0"/>
        <w:numPr>
          <w:ilvl w:val="0"/>
          <w:numId w:val="15"/>
        </w:numPr>
        <w:tabs>
          <w:tab w:val="clear" w:pos="360"/>
          <w:tab w:val="num" w:pos="567"/>
        </w:tabs>
        <w:ind w:left="567" w:hanging="567"/>
        <w:rPr>
          <w:color w:val="000000"/>
          <w:szCs w:val="22"/>
          <w:lang w:val="sv-SE"/>
        </w:rPr>
      </w:pPr>
      <w:r w:rsidRPr="000E7AE9">
        <w:rPr>
          <w:color w:val="000000"/>
          <w:szCs w:val="22"/>
          <w:lang w:val="sv-SE"/>
        </w:rPr>
        <w:t>v</w:t>
      </w:r>
      <w:r w:rsidR="00827767" w:rsidRPr="000E7AE9">
        <w:rPr>
          <w:color w:val="000000"/>
          <w:szCs w:val="22"/>
          <w:lang w:val="sv-SE"/>
        </w:rPr>
        <w:t>uxna patienter med myelodysplastiska/myeloproliferativa sjukdomar (MDS/MPD) förenat med rearrangemang av platelet-derived growth factor receptor (PDGFR)-genen.</w:t>
      </w:r>
    </w:p>
    <w:p w14:paraId="193CBB7E" w14:textId="77777777" w:rsidR="008B3477" w:rsidRPr="000E7AE9" w:rsidRDefault="008B3477"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vuxna patienter med avancerat hypereosinofilt syndrom (HES) och/eller kronisk eosinofil leukemi (CEL) med FIP1L1-PDGFRα-rearrangemang.</w:t>
      </w:r>
    </w:p>
    <w:p w14:paraId="49F1A12C" w14:textId="77777777" w:rsidR="00620ABA" w:rsidRPr="000E7AE9" w:rsidRDefault="00620ABA" w:rsidP="00463647">
      <w:pPr>
        <w:widowControl w:val="0"/>
        <w:tabs>
          <w:tab w:val="clear" w:pos="567"/>
        </w:tabs>
        <w:spacing w:line="240" w:lineRule="auto"/>
        <w:rPr>
          <w:color w:val="000000"/>
          <w:szCs w:val="22"/>
          <w:lang w:val="sv-SE"/>
        </w:rPr>
      </w:pPr>
    </w:p>
    <w:p w14:paraId="55C0EB00" w14:textId="77777777" w:rsidR="00620ABA" w:rsidRPr="000E7AE9" w:rsidRDefault="00620ABA" w:rsidP="00463647">
      <w:pPr>
        <w:widowControl w:val="0"/>
        <w:tabs>
          <w:tab w:val="clear" w:pos="567"/>
        </w:tabs>
        <w:spacing w:line="240" w:lineRule="auto"/>
        <w:rPr>
          <w:color w:val="000000"/>
          <w:szCs w:val="22"/>
          <w:lang w:val="sv-SE"/>
        </w:rPr>
      </w:pPr>
      <w:r w:rsidRPr="000E7AE9">
        <w:rPr>
          <w:color w:val="000000"/>
          <w:szCs w:val="22"/>
          <w:lang w:val="sv-SE"/>
        </w:rPr>
        <w:t>Effekten av Glivec på utfallet av benmärgstransplantation har inte undersökts.</w:t>
      </w:r>
    </w:p>
    <w:p w14:paraId="65044CEB" w14:textId="77777777" w:rsidR="00620ABA" w:rsidRPr="000E7AE9" w:rsidRDefault="00620ABA" w:rsidP="00463647">
      <w:pPr>
        <w:widowControl w:val="0"/>
        <w:tabs>
          <w:tab w:val="clear" w:pos="567"/>
        </w:tabs>
        <w:spacing w:line="240" w:lineRule="auto"/>
        <w:rPr>
          <w:color w:val="000000"/>
          <w:szCs w:val="22"/>
          <w:lang w:val="sv-SE"/>
        </w:rPr>
      </w:pPr>
    </w:p>
    <w:p w14:paraId="7107BF1E" w14:textId="77777777" w:rsidR="00D17AB6" w:rsidRPr="000E7AE9" w:rsidRDefault="00D17AB6" w:rsidP="00463647">
      <w:pPr>
        <w:keepNext/>
        <w:widowControl w:val="0"/>
        <w:tabs>
          <w:tab w:val="clear" w:pos="567"/>
        </w:tabs>
        <w:spacing w:line="240" w:lineRule="auto"/>
        <w:rPr>
          <w:color w:val="000000"/>
          <w:szCs w:val="22"/>
          <w:lang w:val="sv-SE"/>
        </w:rPr>
      </w:pPr>
      <w:r w:rsidRPr="000E7AE9">
        <w:rPr>
          <w:color w:val="000000"/>
          <w:szCs w:val="22"/>
          <w:lang w:val="sv-SE"/>
        </w:rPr>
        <w:t>Glivec är indicerat för</w:t>
      </w:r>
    </w:p>
    <w:p w14:paraId="513BC361" w14:textId="77777777" w:rsidR="00D17AB6" w:rsidRPr="000E7AE9" w:rsidRDefault="00D17AB6" w:rsidP="00463647">
      <w:pPr>
        <w:widowControl w:val="0"/>
        <w:numPr>
          <w:ilvl w:val="0"/>
          <w:numId w:val="18"/>
        </w:numPr>
        <w:tabs>
          <w:tab w:val="clear" w:pos="567"/>
          <w:tab w:val="clear" w:pos="780"/>
        </w:tabs>
        <w:spacing w:line="240" w:lineRule="auto"/>
        <w:ind w:left="567" w:hanging="567"/>
        <w:rPr>
          <w:color w:val="000000"/>
          <w:szCs w:val="22"/>
          <w:lang w:val="sv-SE"/>
        </w:rPr>
      </w:pPr>
      <w:r>
        <w:rPr>
          <w:color w:val="000000"/>
          <w:szCs w:val="22"/>
          <w:lang w:val="sv-SE"/>
        </w:rPr>
        <w:t xml:space="preserve">behandling av </w:t>
      </w:r>
      <w:r w:rsidRPr="000E7AE9">
        <w:rPr>
          <w:color w:val="000000"/>
          <w:szCs w:val="22"/>
          <w:lang w:val="sv-SE"/>
        </w:rPr>
        <w:t>vuxna patienter med Kit (CD 117)-positiva, icke-resecerbara och/eller metastaserande, maligna gastrointestinala stromacellstumörer (GIST).</w:t>
      </w:r>
    </w:p>
    <w:p w14:paraId="7CC34636" w14:textId="77777777" w:rsidR="00D17AB6" w:rsidRPr="008C2DDF" w:rsidRDefault="00D17AB6" w:rsidP="00463647">
      <w:pPr>
        <w:widowControl w:val="0"/>
        <w:numPr>
          <w:ilvl w:val="0"/>
          <w:numId w:val="18"/>
        </w:numPr>
        <w:tabs>
          <w:tab w:val="clear" w:pos="567"/>
          <w:tab w:val="clear" w:pos="780"/>
        </w:tabs>
        <w:spacing w:line="240" w:lineRule="auto"/>
        <w:ind w:left="567" w:hanging="567"/>
        <w:rPr>
          <w:color w:val="000000"/>
          <w:szCs w:val="22"/>
          <w:lang w:val="sv-SE"/>
        </w:rPr>
      </w:pPr>
      <w:r>
        <w:rPr>
          <w:color w:val="000000"/>
          <w:szCs w:val="22"/>
          <w:lang w:val="sv-SE"/>
        </w:rPr>
        <w:t xml:space="preserve">adjuvant behandling av vuxna patienter </w:t>
      </w:r>
      <w:r w:rsidRPr="008C2DDF">
        <w:rPr>
          <w:color w:val="000000"/>
          <w:szCs w:val="22"/>
          <w:lang w:val="sv-SE"/>
        </w:rPr>
        <w:t>som löper en signifikant risk för recidiv</w:t>
      </w:r>
      <w:r>
        <w:rPr>
          <w:color w:val="000000"/>
          <w:szCs w:val="22"/>
          <w:lang w:val="sv-SE"/>
        </w:rPr>
        <w:t xml:space="preserve"> efter resektion av Kit (CD117)-positiv GIST. </w:t>
      </w:r>
      <w:r w:rsidR="00260A17">
        <w:rPr>
          <w:color w:val="000000"/>
          <w:szCs w:val="22"/>
          <w:lang w:val="sv-SE"/>
        </w:rPr>
        <w:t>Patienter som löper låg eller mycket låg risk för återfall ska inte få adjuvant behandling.</w:t>
      </w:r>
    </w:p>
    <w:p w14:paraId="6A698DFC" w14:textId="77777777" w:rsidR="00D17AB6" w:rsidRPr="000E7AE9" w:rsidRDefault="00D17AB6" w:rsidP="00463647">
      <w:pPr>
        <w:widowControl w:val="0"/>
        <w:numPr>
          <w:ilvl w:val="0"/>
          <w:numId w:val="18"/>
        </w:numPr>
        <w:tabs>
          <w:tab w:val="clear" w:pos="567"/>
          <w:tab w:val="clear" w:pos="780"/>
        </w:tabs>
        <w:spacing w:line="240" w:lineRule="auto"/>
        <w:ind w:left="567" w:hanging="567"/>
        <w:rPr>
          <w:color w:val="000000"/>
          <w:szCs w:val="22"/>
          <w:lang w:val="sv-SE"/>
        </w:rPr>
      </w:pPr>
      <w:r>
        <w:rPr>
          <w:color w:val="000000"/>
          <w:szCs w:val="22"/>
          <w:lang w:val="sv-SE"/>
        </w:rPr>
        <w:t xml:space="preserve">behandling av </w:t>
      </w:r>
      <w:r w:rsidRPr="000E7AE9">
        <w:rPr>
          <w:color w:val="000000"/>
          <w:szCs w:val="22"/>
          <w:lang w:val="sv-SE"/>
        </w:rPr>
        <w:t>vuxna patienter med icke-resecerbara dermatofibrosarkoma protuberans (DFSP) och vuxna patienter med återkommande och/eller metastaserande DFSP som är olämpliga att operera.</w:t>
      </w:r>
    </w:p>
    <w:p w14:paraId="6E78ECDD" w14:textId="77777777" w:rsidR="00D17AB6" w:rsidRPr="000E7AE9" w:rsidRDefault="00D17AB6" w:rsidP="00463647">
      <w:pPr>
        <w:widowControl w:val="0"/>
        <w:tabs>
          <w:tab w:val="clear" w:pos="567"/>
        </w:tabs>
        <w:spacing w:line="240" w:lineRule="auto"/>
        <w:rPr>
          <w:color w:val="000000"/>
          <w:szCs w:val="22"/>
          <w:lang w:val="sv-SE"/>
        </w:rPr>
      </w:pPr>
    </w:p>
    <w:p w14:paraId="3023BED7" w14:textId="77777777" w:rsidR="00D17AB6" w:rsidRPr="000E7AE9" w:rsidRDefault="00D17AB6" w:rsidP="00463647">
      <w:pPr>
        <w:widowControl w:val="0"/>
        <w:tabs>
          <w:tab w:val="clear" w:pos="567"/>
        </w:tabs>
        <w:spacing w:line="240" w:lineRule="auto"/>
        <w:rPr>
          <w:color w:val="000000"/>
          <w:szCs w:val="22"/>
          <w:lang w:val="sv-SE"/>
        </w:rPr>
      </w:pPr>
      <w:r w:rsidRPr="000E7AE9">
        <w:rPr>
          <w:color w:val="000000"/>
          <w:szCs w:val="22"/>
          <w:lang w:val="sv-SE"/>
        </w:rPr>
        <w:t xml:space="preserve">Hos vuxna och barn baseras effekten av Glivec på det sammantagna hematologiska och cytogenetiska svaret och progressionsfri överlevnad vid KML, på hematologiskt och cytogenetiskt respons vid Ph+ ALL, MDS/MPD, på hematologisk respons vid HES/CEL och på objektiv tumörrespons hos vuxna </w:t>
      </w:r>
      <w:r w:rsidRPr="000E7AE9">
        <w:rPr>
          <w:color w:val="000000"/>
          <w:szCs w:val="22"/>
          <w:lang w:val="sv-SE"/>
        </w:rPr>
        <w:lastRenderedPageBreak/>
        <w:t>patienter vid icke-resecerbara och/eller metastaserande GIST och DFSP</w:t>
      </w:r>
      <w:r>
        <w:rPr>
          <w:color w:val="000000"/>
          <w:szCs w:val="22"/>
          <w:lang w:val="sv-SE"/>
        </w:rPr>
        <w:t xml:space="preserve"> och på återfallsfri överlevnad vid adjuvant GIST</w:t>
      </w:r>
      <w:r w:rsidRPr="000E7AE9">
        <w:rPr>
          <w:color w:val="000000"/>
          <w:szCs w:val="22"/>
          <w:lang w:val="sv-SE"/>
        </w:rPr>
        <w:t>. Erfarenheten av Glivec hos patienter med MDS/MPD förenat med rearrangemang PDGFR-genen är mycket begränsat (se avsnitt 5.1). Förutom vid nyligen diagnostiserad KML i kronisk fas finns det inga kontrollerade studier som visar på en klinisk nytta eller ökad överlevnad för dessa sjukdomar.</w:t>
      </w:r>
    </w:p>
    <w:p w14:paraId="665D0EF3" w14:textId="77777777" w:rsidR="00D17AB6" w:rsidRPr="000E7AE9" w:rsidRDefault="00D17AB6" w:rsidP="00463647">
      <w:pPr>
        <w:widowControl w:val="0"/>
        <w:tabs>
          <w:tab w:val="clear" w:pos="567"/>
        </w:tabs>
        <w:spacing w:line="240" w:lineRule="auto"/>
        <w:rPr>
          <w:color w:val="000000"/>
          <w:szCs w:val="22"/>
          <w:lang w:val="sv-SE"/>
        </w:rPr>
      </w:pPr>
    </w:p>
    <w:p w14:paraId="1B13801C"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4.2</w:t>
      </w:r>
      <w:r w:rsidRPr="000E7AE9">
        <w:rPr>
          <w:noProof w:val="0"/>
          <w:color w:val="000000"/>
          <w:szCs w:val="22"/>
          <w:lang w:val="sv-SE"/>
        </w:rPr>
        <w:tab/>
        <w:t>Dosering och administreringssätt</w:t>
      </w:r>
    </w:p>
    <w:p w14:paraId="56266100" w14:textId="77777777" w:rsidR="00620ABA" w:rsidRPr="000E7AE9" w:rsidRDefault="00620ABA" w:rsidP="00463647">
      <w:pPr>
        <w:pStyle w:val="EndnoteText"/>
        <w:keepNext/>
        <w:widowControl w:val="0"/>
        <w:tabs>
          <w:tab w:val="clear" w:pos="567"/>
        </w:tabs>
        <w:rPr>
          <w:color w:val="000000"/>
          <w:szCs w:val="22"/>
          <w:lang w:val="sv-SE"/>
        </w:rPr>
      </w:pPr>
    </w:p>
    <w:p w14:paraId="19642AFF"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Behandling skall lämpligen inledas av läkare med erfarenhet av behandling av patienter med hematologiska maligniteter och maligna sarkom.</w:t>
      </w:r>
    </w:p>
    <w:p w14:paraId="32D244FD" w14:textId="77777777" w:rsidR="00620ABA" w:rsidRPr="000E7AE9" w:rsidRDefault="00620ABA" w:rsidP="00463647">
      <w:pPr>
        <w:pStyle w:val="EndnoteText"/>
        <w:widowControl w:val="0"/>
        <w:tabs>
          <w:tab w:val="clear" w:pos="567"/>
        </w:tabs>
        <w:rPr>
          <w:color w:val="000000"/>
          <w:szCs w:val="22"/>
          <w:lang w:val="sv-SE"/>
        </w:rPr>
      </w:pPr>
    </w:p>
    <w:p w14:paraId="47AD7B45"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Ordinerad dos skall ges peroralt tillsammans med måltid och ett stort glas vatten för att minimera riskerna för gastrointestinala besvär. Doser på 400 mg eller 600 mg skall ges en gång dagligen, medan en daglig dos på 800 mg skall ges som 400 mg två gånger dagligen, morgon och kväll. För patienter (barn) som inte kan svälja kapslarna, kan innehållet lösas upp i endera ett glas icke kolsyrat vatten eller äppeljuice. Djurstudier har visat på reproduktionstoxisk effekt och den potentiella risken för </w:t>
      </w:r>
      <w:r w:rsidR="003409A9">
        <w:rPr>
          <w:color w:val="000000"/>
          <w:szCs w:val="22"/>
          <w:lang w:val="sv-SE"/>
        </w:rPr>
        <w:t>människo</w:t>
      </w:r>
      <w:r w:rsidRPr="000E7AE9">
        <w:rPr>
          <w:color w:val="000000"/>
          <w:szCs w:val="22"/>
          <w:lang w:val="sv-SE"/>
        </w:rPr>
        <w:t>foster är okänd. Därför skall kvinnor i fertil ålder, som öppnar kapslarna göras uppmärksamma på att hantera innehållet varsamt och undvika hud eller ögonkontakt eller inhalering (se avsnitt 4.6). Händerna skall tvättas omedelbart efter hantering av öppnade kapslar.</w:t>
      </w:r>
    </w:p>
    <w:p w14:paraId="655EEC57" w14:textId="77777777" w:rsidR="00620ABA" w:rsidRPr="000E7AE9" w:rsidRDefault="00620ABA" w:rsidP="00463647">
      <w:pPr>
        <w:pStyle w:val="EndnoteText"/>
        <w:widowControl w:val="0"/>
        <w:tabs>
          <w:tab w:val="clear" w:pos="567"/>
        </w:tabs>
        <w:rPr>
          <w:color w:val="000000"/>
          <w:szCs w:val="22"/>
          <w:lang w:val="sv-SE"/>
        </w:rPr>
      </w:pPr>
    </w:p>
    <w:p w14:paraId="059DC37D" w14:textId="77777777" w:rsidR="00620ABA" w:rsidRPr="000E7AE9" w:rsidRDefault="00620ABA"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KML hos vuxna</w:t>
      </w:r>
    </w:p>
    <w:p w14:paraId="10614BE2" w14:textId="77777777" w:rsidR="00620ABA" w:rsidRPr="000E7AE9" w:rsidRDefault="00620ABA" w:rsidP="00463647">
      <w:pPr>
        <w:pStyle w:val="BodyText"/>
        <w:widowControl w:val="0"/>
        <w:spacing w:line="240" w:lineRule="auto"/>
        <w:rPr>
          <w:b w:val="0"/>
          <w:i w:val="0"/>
          <w:snapToGrid w:val="0"/>
          <w:color w:val="000000"/>
          <w:szCs w:val="22"/>
          <w:lang w:val="sv-SE"/>
        </w:rPr>
      </w:pPr>
      <w:r w:rsidRPr="000E7AE9">
        <w:rPr>
          <w:b w:val="0"/>
          <w:i w:val="0"/>
          <w:color w:val="000000"/>
          <w:szCs w:val="22"/>
          <w:lang w:val="sv-SE"/>
        </w:rPr>
        <w:t xml:space="preserve">Den rekommenderade dosen Glivec är 400 mg dagligen för </w:t>
      </w:r>
      <w:r w:rsidR="00813718">
        <w:rPr>
          <w:b w:val="0"/>
          <w:i w:val="0"/>
          <w:color w:val="000000"/>
          <w:szCs w:val="22"/>
          <w:lang w:val="sv-SE"/>
        </w:rPr>
        <w:t xml:space="preserve">vuxna </w:t>
      </w:r>
      <w:r w:rsidRPr="000E7AE9">
        <w:rPr>
          <w:b w:val="0"/>
          <w:i w:val="0"/>
          <w:color w:val="000000"/>
          <w:szCs w:val="22"/>
          <w:lang w:val="sv-SE"/>
        </w:rPr>
        <w:t>patienter med KML i kronisk fas. KML i kronisk fas definieras när alla av följande kriterier uppfyllts:</w:t>
      </w:r>
      <w:r w:rsidRPr="000E7AE9">
        <w:rPr>
          <w:b w:val="0"/>
          <w:i w:val="0"/>
          <w:snapToGrid w:val="0"/>
          <w:color w:val="000000"/>
          <w:szCs w:val="22"/>
          <w:lang w:val="sv-SE"/>
        </w:rPr>
        <w:t xml:space="preserve"> blaster &lt; 15</w:t>
      </w:r>
      <w:r w:rsidR="00794E0C">
        <w:rPr>
          <w:b w:val="0"/>
          <w:i w:val="0"/>
          <w:snapToGrid w:val="0"/>
          <w:color w:val="000000"/>
          <w:szCs w:val="22"/>
          <w:lang w:val="sv-SE"/>
        </w:rPr>
        <w:t> </w:t>
      </w:r>
      <w:r w:rsidRPr="000E7AE9">
        <w:rPr>
          <w:b w:val="0"/>
          <w:i w:val="0"/>
          <w:snapToGrid w:val="0"/>
          <w:color w:val="000000"/>
          <w:szCs w:val="22"/>
          <w:lang w:val="sv-SE"/>
        </w:rPr>
        <w:t>% i blod och benmärg, basofiler i perifert blod &lt; 20</w:t>
      </w:r>
      <w:r w:rsidR="00794E0C">
        <w:rPr>
          <w:b w:val="0"/>
          <w:i w:val="0"/>
          <w:snapToGrid w:val="0"/>
          <w:color w:val="000000"/>
          <w:szCs w:val="22"/>
          <w:lang w:val="sv-SE"/>
        </w:rPr>
        <w:t> </w:t>
      </w:r>
      <w:r w:rsidRPr="000E7AE9">
        <w:rPr>
          <w:b w:val="0"/>
          <w:i w:val="0"/>
          <w:snapToGrid w:val="0"/>
          <w:color w:val="000000"/>
          <w:szCs w:val="22"/>
          <w:lang w:val="sv-SE"/>
        </w:rPr>
        <w:t>%, trombocyter &gt; 100 x 10</w:t>
      </w:r>
      <w:r w:rsidRPr="000E7AE9">
        <w:rPr>
          <w:b w:val="0"/>
          <w:i w:val="0"/>
          <w:snapToGrid w:val="0"/>
          <w:color w:val="000000"/>
          <w:szCs w:val="22"/>
          <w:vertAlign w:val="superscript"/>
          <w:lang w:val="sv-SE"/>
        </w:rPr>
        <w:t>9</w:t>
      </w:r>
      <w:r w:rsidRPr="000E7AE9">
        <w:rPr>
          <w:b w:val="0"/>
          <w:i w:val="0"/>
          <w:snapToGrid w:val="0"/>
          <w:color w:val="000000"/>
          <w:szCs w:val="22"/>
          <w:lang w:val="sv-SE"/>
        </w:rPr>
        <w:t>/l.</w:t>
      </w:r>
    </w:p>
    <w:p w14:paraId="7FA8DCC9" w14:textId="77777777" w:rsidR="00620ABA" w:rsidRPr="000E7AE9" w:rsidRDefault="00620ABA" w:rsidP="00463647">
      <w:pPr>
        <w:pStyle w:val="EndnoteText"/>
        <w:widowControl w:val="0"/>
        <w:tabs>
          <w:tab w:val="clear" w:pos="567"/>
        </w:tabs>
        <w:rPr>
          <w:color w:val="000000"/>
          <w:szCs w:val="22"/>
          <w:lang w:val="sv-SE"/>
        </w:rPr>
      </w:pPr>
    </w:p>
    <w:p w14:paraId="0C2B1A5C"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600 mg dagligen för </w:t>
      </w:r>
      <w:r w:rsidR="00813718">
        <w:rPr>
          <w:color w:val="000000"/>
          <w:szCs w:val="22"/>
          <w:lang w:val="sv-SE"/>
        </w:rPr>
        <w:t xml:space="preserve">vuxna </w:t>
      </w:r>
      <w:r w:rsidRPr="000E7AE9">
        <w:rPr>
          <w:color w:val="000000"/>
          <w:szCs w:val="22"/>
          <w:lang w:val="sv-SE"/>
        </w:rPr>
        <w:t xml:space="preserve">patienter i accelererad fas. Accelererad fas definieras när något av följande kriterier är uppfyllda: </w:t>
      </w:r>
      <w:r w:rsidRPr="000E7AE9">
        <w:rPr>
          <w:snapToGrid w:val="0"/>
          <w:color w:val="000000"/>
          <w:szCs w:val="22"/>
          <w:lang w:val="sv-SE"/>
        </w:rPr>
        <w:t xml:space="preserve">blaster </w:t>
      </w:r>
      <w:r w:rsidRPr="000E7AE9">
        <w:rPr>
          <w:snapToGrid w:val="0"/>
          <w:color w:val="000000"/>
          <w:szCs w:val="22"/>
          <w:lang w:val="sv-SE"/>
        </w:rPr>
        <w:sym w:font="Symbol" w:char="F0B3"/>
      </w:r>
      <w:r w:rsidRPr="000E7AE9">
        <w:rPr>
          <w:snapToGrid w:val="0"/>
          <w:color w:val="000000"/>
          <w:szCs w:val="22"/>
          <w:lang w:val="sv-SE"/>
        </w:rPr>
        <w:t> 15</w:t>
      </w:r>
      <w:r w:rsidR="00794E0C">
        <w:rPr>
          <w:snapToGrid w:val="0"/>
          <w:color w:val="000000"/>
          <w:szCs w:val="22"/>
          <w:lang w:val="sv-SE"/>
        </w:rPr>
        <w:t> </w:t>
      </w:r>
      <w:r w:rsidRPr="000E7AE9">
        <w:rPr>
          <w:snapToGrid w:val="0"/>
          <w:color w:val="000000"/>
          <w:szCs w:val="22"/>
          <w:lang w:val="sv-SE"/>
        </w:rPr>
        <w:t>% men &lt; 30</w:t>
      </w:r>
      <w:r w:rsidR="00794E0C">
        <w:rPr>
          <w:snapToGrid w:val="0"/>
          <w:color w:val="000000"/>
          <w:szCs w:val="22"/>
          <w:lang w:val="sv-SE"/>
        </w:rPr>
        <w:t> </w:t>
      </w:r>
      <w:r w:rsidRPr="000E7AE9">
        <w:rPr>
          <w:snapToGrid w:val="0"/>
          <w:color w:val="000000"/>
          <w:szCs w:val="22"/>
          <w:lang w:val="sv-SE"/>
        </w:rPr>
        <w:t xml:space="preserve">% i blod eller benmärg, blaster plus promyelocyter </w:t>
      </w:r>
      <w:r w:rsidRPr="000E7AE9">
        <w:rPr>
          <w:snapToGrid w:val="0"/>
          <w:color w:val="000000"/>
          <w:szCs w:val="22"/>
          <w:lang w:val="sv-SE"/>
        </w:rPr>
        <w:sym w:font="Symbol" w:char="F0B3"/>
      </w:r>
      <w:r w:rsidRPr="000E7AE9">
        <w:rPr>
          <w:snapToGrid w:val="0"/>
          <w:color w:val="000000"/>
          <w:szCs w:val="22"/>
          <w:lang w:val="sv-SE"/>
        </w:rPr>
        <w:t> 30</w:t>
      </w:r>
      <w:r w:rsidR="00794E0C">
        <w:rPr>
          <w:snapToGrid w:val="0"/>
          <w:color w:val="000000"/>
          <w:szCs w:val="22"/>
          <w:lang w:val="sv-SE"/>
        </w:rPr>
        <w:t> </w:t>
      </w:r>
      <w:r w:rsidRPr="000E7AE9">
        <w:rPr>
          <w:snapToGrid w:val="0"/>
          <w:color w:val="000000"/>
          <w:szCs w:val="22"/>
          <w:lang w:val="sv-SE"/>
        </w:rPr>
        <w:t>% i blod eller benmärg (förutsatt &lt; 30</w:t>
      </w:r>
      <w:r w:rsidR="00794E0C">
        <w:rPr>
          <w:snapToGrid w:val="0"/>
          <w:color w:val="000000"/>
          <w:szCs w:val="22"/>
          <w:lang w:val="sv-SE"/>
        </w:rPr>
        <w:t> </w:t>
      </w:r>
      <w:r w:rsidRPr="000E7AE9">
        <w:rPr>
          <w:snapToGrid w:val="0"/>
          <w:color w:val="000000"/>
          <w:szCs w:val="22"/>
          <w:lang w:val="sv-SE"/>
        </w:rPr>
        <w:t xml:space="preserve">% blaster), basofiler i perifert blod </w:t>
      </w:r>
      <w:r w:rsidRPr="000E7AE9">
        <w:rPr>
          <w:snapToGrid w:val="0"/>
          <w:color w:val="000000"/>
          <w:szCs w:val="22"/>
          <w:lang w:val="sv-SE"/>
        </w:rPr>
        <w:sym w:font="Symbol" w:char="F0B3"/>
      </w:r>
      <w:r w:rsidRPr="000E7AE9">
        <w:rPr>
          <w:snapToGrid w:val="0"/>
          <w:color w:val="000000"/>
          <w:szCs w:val="22"/>
          <w:lang w:val="sv-SE"/>
        </w:rPr>
        <w:t> 20</w:t>
      </w:r>
      <w:r w:rsidR="00794E0C">
        <w:rPr>
          <w:snapToGrid w:val="0"/>
          <w:color w:val="000000"/>
          <w:szCs w:val="22"/>
          <w:lang w:val="sv-SE"/>
        </w:rPr>
        <w:t> </w:t>
      </w:r>
      <w:r w:rsidRPr="000E7AE9">
        <w:rPr>
          <w:snapToGrid w:val="0"/>
          <w:color w:val="000000"/>
          <w:szCs w:val="22"/>
          <w:lang w:val="sv-SE"/>
        </w:rPr>
        <w:t>%, trombocyter &lt; 100 x 10</w:t>
      </w:r>
      <w:r w:rsidRPr="000E7AE9">
        <w:rPr>
          <w:snapToGrid w:val="0"/>
          <w:color w:val="000000"/>
          <w:szCs w:val="22"/>
          <w:vertAlign w:val="superscript"/>
          <w:lang w:val="sv-SE"/>
        </w:rPr>
        <w:t>9</w:t>
      </w:r>
      <w:r w:rsidRPr="000E7AE9">
        <w:rPr>
          <w:snapToGrid w:val="0"/>
          <w:color w:val="000000"/>
          <w:szCs w:val="22"/>
          <w:lang w:val="sv-SE"/>
        </w:rPr>
        <w:t>/l utan samband med behandlingen.</w:t>
      </w:r>
    </w:p>
    <w:p w14:paraId="6C9F0154" w14:textId="77777777" w:rsidR="00620ABA" w:rsidRPr="000E7AE9" w:rsidRDefault="00620ABA" w:rsidP="00463647">
      <w:pPr>
        <w:pStyle w:val="EndnoteText"/>
        <w:widowControl w:val="0"/>
        <w:tabs>
          <w:tab w:val="clear" w:pos="567"/>
        </w:tabs>
        <w:rPr>
          <w:color w:val="000000"/>
          <w:szCs w:val="22"/>
          <w:lang w:val="sv-SE"/>
        </w:rPr>
      </w:pPr>
    </w:p>
    <w:p w14:paraId="2B02DF6A" w14:textId="77777777" w:rsidR="00620ABA" w:rsidRPr="000E7AE9" w:rsidRDefault="00620ABA" w:rsidP="00463647">
      <w:pPr>
        <w:pStyle w:val="BodyText"/>
        <w:widowControl w:val="0"/>
        <w:spacing w:line="240" w:lineRule="auto"/>
        <w:rPr>
          <w:b w:val="0"/>
          <w:i w:val="0"/>
          <w:snapToGrid w:val="0"/>
          <w:color w:val="000000"/>
          <w:szCs w:val="22"/>
          <w:lang w:val="sv-SE"/>
        </w:rPr>
      </w:pPr>
      <w:r w:rsidRPr="000E7AE9">
        <w:rPr>
          <w:b w:val="0"/>
          <w:i w:val="0"/>
          <w:color w:val="000000"/>
          <w:szCs w:val="22"/>
          <w:lang w:val="sv-SE"/>
        </w:rPr>
        <w:t xml:space="preserve">Den rekommenderade dosen Glivec är 600 mg dagligen för </w:t>
      </w:r>
      <w:r w:rsidR="00813718">
        <w:rPr>
          <w:b w:val="0"/>
          <w:i w:val="0"/>
          <w:color w:val="000000"/>
          <w:szCs w:val="22"/>
          <w:lang w:val="sv-SE"/>
        </w:rPr>
        <w:t xml:space="preserve">vuxna </w:t>
      </w:r>
      <w:r w:rsidRPr="000E7AE9">
        <w:rPr>
          <w:b w:val="0"/>
          <w:i w:val="0"/>
          <w:color w:val="000000"/>
          <w:szCs w:val="22"/>
          <w:lang w:val="sv-SE"/>
        </w:rPr>
        <w:t xml:space="preserve">patienter i blastkris. Blastkris definieras som </w:t>
      </w:r>
      <w:r w:rsidRPr="000E7AE9">
        <w:rPr>
          <w:b w:val="0"/>
          <w:i w:val="0"/>
          <w:snapToGrid w:val="0"/>
          <w:color w:val="000000"/>
          <w:szCs w:val="22"/>
          <w:lang w:val="sv-SE"/>
        </w:rPr>
        <w:t xml:space="preserve">blaster </w:t>
      </w:r>
      <w:r w:rsidRPr="000E7AE9">
        <w:rPr>
          <w:b w:val="0"/>
          <w:i w:val="0"/>
          <w:snapToGrid w:val="0"/>
          <w:color w:val="000000"/>
          <w:szCs w:val="22"/>
          <w:lang w:val="sv-SE"/>
        </w:rPr>
        <w:sym w:font="Symbol" w:char="F0B3"/>
      </w:r>
      <w:r w:rsidRPr="000E7AE9">
        <w:rPr>
          <w:b w:val="0"/>
          <w:i w:val="0"/>
          <w:snapToGrid w:val="0"/>
          <w:color w:val="000000"/>
          <w:szCs w:val="22"/>
          <w:lang w:val="sv-SE"/>
        </w:rPr>
        <w:t> 30</w:t>
      </w:r>
      <w:r w:rsidR="00794E0C">
        <w:rPr>
          <w:b w:val="0"/>
          <w:i w:val="0"/>
          <w:snapToGrid w:val="0"/>
          <w:color w:val="000000"/>
          <w:szCs w:val="22"/>
          <w:lang w:val="sv-SE"/>
        </w:rPr>
        <w:t> </w:t>
      </w:r>
      <w:r w:rsidRPr="000E7AE9">
        <w:rPr>
          <w:b w:val="0"/>
          <w:i w:val="0"/>
          <w:snapToGrid w:val="0"/>
          <w:color w:val="000000"/>
          <w:szCs w:val="22"/>
          <w:lang w:val="sv-SE"/>
        </w:rPr>
        <w:t>% i blod eller benmärg eller extramedullär sjukdom annan än hepatosplenomegali.</w:t>
      </w:r>
    </w:p>
    <w:p w14:paraId="2841AE91" w14:textId="77777777" w:rsidR="00620ABA" w:rsidRPr="000E7AE9" w:rsidRDefault="00620ABA" w:rsidP="00463647">
      <w:pPr>
        <w:pStyle w:val="BodyText"/>
        <w:widowControl w:val="0"/>
        <w:spacing w:line="240" w:lineRule="auto"/>
        <w:rPr>
          <w:b w:val="0"/>
          <w:i w:val="0"/>
          <w:snapToGrid w:val="0"/>
          <w:color w:val="000000"/>
          <w:szCs w:val="22"/>
          <w:lang w:val="sv-SE"/>
        </w:rPr>
      </w:pPr>
    </w:p>
    <w:p w14:paraId="7AD2A7F8" w14:textId="77777777" w:rsidR="00620ABA" w:rsidRPr="000E7AE9" w:rsidRDefault="00620ABA" w:rsidP="00463647">
      <w:pPr>
        <w:pStyle w:val="EndnoteText"/>
        <w:widowControl w:val="0"/>
        <w:tabs>
          <w:tab w:val="clear" w:pos="567"/>
        </w:tabs>
        <w:rPr>
          <w:color w:val="000000"/>
          <w:szCs w:val="22"/>
          <w:lang w:val="sv-SE"/>
        </w:rPr>
      </w:pPr>
      <w:r w:rsidRPr="000E7AE9">
        <w:rPr>
          <w:snapToGrid w:val="0"/>
          <w:color w:val="000000"/>
          <w:szCs w:val="22"/>
          <w:lang w:val="sv-SE"/>
        </w:rPr>
        <w:t>Behandlingstid: I kliniska studier fortsatte behandlingen med Glivec tills sjukdomen tilltog. Effekten av att man avslutar behandlingen efter att ha uppnått fullständigt cytogenetiskt svar har inte undersökts.</w:t>
      </w:r>
    </w:p>
    <w:p w14:paraId="7E82D73E" w14:textId="77777777" w:rsidR="00620ABA" w:rsidRPr="000E7AE9" w:rsidRDefault="00620ABA" w:rsidP="00463647">
      <w:pPr>
        <w:pStyle w:val="EndnoteText"/>
        <w:widowControl w:val="0"/>
        <w:tabs>
          <w:tab w:val="clear" w:pos="567"/>
        </w:tabs>
        <w:rPr>
          <w:color w:val="000000"/>
          <w:szCs w:val="22"/>
          <w:lang w:val="sv-SE"/>
        </w:rPr>
      </w:pPr>
    </w:p>
    <w:p w14:paraId="7C8852FE"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Dosökning från 400 mg till 600 mg eller 800 mg till patienter med sjukdom i kronisk fas eller från 600 mg till maximalt 800 mg (givet som 400 mg två gånger dagligen) hos patienter i accelererad fas eller blastkris kan övervägas i följande fall, såvida inte allvarlig biverkan, svår icke-leukemirelaterad neutropeni eller trombocytopeni föreligger: Sjukdomsprogress (när som helst under förloppet), uteblivet tillfredsställande hematologiskt svar efter minst 3 månaders behandling, uteblivet cytogenetiskt svar efter 12 månaders behandling eller förlust av tidigare erhållet hematologiskt och/eller cytogenetiskt svar. Patienterna skall följas noga efter dosupptrappning med tanke på en ökad risk för biverkningar vid högre doser.</w:t>
      </w:r>
    </w:p>
    <w:p w14:paraId="14E4C2A7" w14:textId="77777777" w:rsidR="00620ABA" w:rsidRPr="000E7AE9" w:rsidRDefault="00620ABA" w:rsidP="00463647">
      <w:pPr>
        <w:pStyle w:val="EndnoteText"/>
        <w:widowControl w:val="0"/>
        <w:tabs>
          <w:tab w:val="clear" w:pos="567"/>
        </w:tabs>
        <w:rPr>
          <w:color w:val="000000"/>
          <w:szCs w:val="22"/>
          <w:lang w:val="sv-SE"/>
        </w:rPr>
      </w:pPr>
    </w:p>
    <w:p w14:paraId="270C3532" w14:textId="77777777" w:rsidR="00620ABA" w:rsidRPr="000E7AE9" w:rsidRDefault="00620ABA"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KML hos barn</w:t>
      </w:r>
    </w:p>
    <w:p w14:paraId="1A617F4E"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Barndoseringen skall baseras på kroppsyta (mg/m</w:t>
      </w:r>
      <w:r w:rsidRPr="000E7AE9">
        <w:rPr>
          <w:color w:val="000000"/>
          <w:szCs w:val="22"/>
          <w:vertAlign w:val="superscript"/>
          <w:lang w:val="sv-SE"/>
        </w:rPr>
        <w:t>2</w:t>
      </w:r>
      <w:r w:rsidRPr="000E7AE9">
        <w:rPr>
          <w:color w:val="000000"/>
          <w:szCs w:val="22"/>
          <w:lang w:val="sv-SE"/>
        </w:rPr>
        <w:t>). Dosen 340 mg/m</w:t>
      </w:r>
      <w:r w:rsidRPr="000E7AE9">
        <w:rPr>
          <w:color w:val="000000"/>
          <w:szCs w:val="22"/>
          <w:vertAlign w:val="superscript"/>
          <w:lang w:val="sv-SE"/>
        </w:rPr>
        <w:t>2</w:t>
      </w:r>
      <w:r w:rsidRPr="000E7AE9">
        <w:rPr>
          <w:color w:val="000000"/>
          <w:szCs w:val="22"/>
          <w:lang w:val="sv-SE"/>
        </w:rPr>
        <w:t xml:space="preserve"> dagligen rekommenderas till barn med KML i kronisk fas respektive KML i avancerad fas (får ej överstiga totaldosen 800 mg). Behandlingen kan ges som en daglig engångsdos eller alternativt kan den dagliga dosen ges vid två tillfällen - en på morgonen och en på kvällen. Aktuell doseringsrekommendation är baserad på ett litet antal pediatriska patienter (se avsnitt 5.1 och 5.2). Det finns ingen erfarenhet av behandling av barn under 2 års ålder.</w:t>
      </w:r>
    </w:p>
    <w:p w14:paraId="295D9965" w14:textId="77777777" w:rsidR="00620ABA" w:rsidRPr="000E7AE9" w:rsidRDefault="00620ABA" w:rsidP="00463647">
      <w:pPr>
        <w:pStyle w:val="EndnoteText"/>
        <w:widowControl w:val="0"/>
        <w:tabs>
          <w:tab w:val="clear" w:pos="567"/>
        </w:tabs>
        <w:rPr>
          <w:color w:val="000000"/>
          <w:szCs w:val="22"/>
          <w:lang w:val="sv-SE"/>
        </w:rPr>
      </w:pPr>
    </w:p>
    <w:p w14:paraId="06D28B2A" w14:textId="77777777" w:rsidR="00620ABA" w:rsidRPr="000E7AE9" w:rsidRDefault="00620ABA" w:rsidP="00463647">
      <w:pPr>
        <w:pStyle w:val="EndnoteText"/>
        <w:widowControl w:val="0"/>
        <w:tabs>
          <w:tab w:val="clear" w:pos="567"/>
        </w:tabs>
        <w:rPr>
          <w:rFonts w:eastAsia="MS Mincho"/>
          <w:color w:val="000000"/>
          <w:szCs w:val="22"/>
          <w:lang w:val="sv-SE" w:eastAsia="ja-JP"/>
        </w:rPr>
      </w:pPr>
      <w:r w:rsidRPr="000E7AE9">
        <w:rPr>
          <w:color w:val="000000"/>
          <w:szCs w:val="22"/>
          <w:lang w:val="sv-SE"/>
        </w:rPr>
        <w:t>Dosökningar från 340</w:t>
      </w:r>
      <w:r w:rsidRPr="000E7AE9">
        <w:rPr>
          <w:rFonts w:eastAsia="MS Mincho"/>
          <w:color w:val="000000"/>
          <w:szCs w:val="22"/>
          <w:lang w:val="sv-SE" w:eastAsia="ja-JP"/>
        </w:rPr>
        <w:t> mg/m</w:t>
      </w:r>
      <w:r w:rsidRPr="000E7AE9">
        <w:rPr>
          <w:rFonts w:eastAsia="MS Mincho"/>
          <w:color w:val="000000"/>
          <w:szCs w:val="22"/>
          <w:vertAlign w:val="superscript"/>
          <w:lang w:val="sv-SE" w:eastAsia="ja-JP"/>
        </w:rPr>
        <w:t>2</w:t>
      </w:r>
      <w:r w:rsidRPr="000E7AE9">
        <w:rPr>
          <w:rFonts w:eastAsia="MS Mincho"/>
          <w:color w:val="000000"/>
          <w:szCs w:val="22"/>
          <w:lang w:val="sv-SE" w:eastAsia="ja-JP"/>
        </w:rPr>
        <w:t xml:space="preserve"> dagligen till 570 mg/m</w:t>
      </w:r>
      <w:r w:rsidRPr="000E7AE9">
        <w:rPr>
          <w:rFonts w:eastAsia="MS Mincho"/>
          <w:color w:val="000000"/>
          <w:szCs w:val="22"/>
          <w:vertAlign w:val="superscript"/>
          <w:lang w:val="sv-SE" w:eastAsia="ja-JP"/>
        </w:rPr>
        <w:t>2</w:t>
      </w:r>
      <w:r w:rsidRPr="000E7AE9">
        <w:rPr>
          <w:rFonts w:eastAsia="MS Mincho"/>
          <w:color w:val="000000"/>
          <w:szCs w:val="22"/>
          <w:lang w:val="sv-SE" w:eastAsia="ja-JP"/>
        </w:rPr>
        <w:t xml:space="preserve"> dagligen (får ej överskrida totaldosen 800 mg) kan övervägas hos barn i frånvaro av svåra biverkningar och svår non-leukemi-relaterad neutropeni </w:t>
      </w:r>
      <w:r w:rsidRPr="000E7AE9">
        <w:rPr>
          <w:rFonts w:eastAsia="MS Mincho"/>
          <w:color w:val="000000"/>
          <w:szCs w:val="22"/>
          <w:lang w:val="sv-SE" w:eastAsia="ja-JP"/>
        </w:rPr>
        <w:lastRenderedPageBreak/>
        <w:t>eller trombocytopeni vid följande omständigheter: sjukdomsprogression (när som helst); misslyckande att erhålla ett tillfredsställande hematologiskt svar efter minst 3 månaders behandling, misslyckande att erhålla ett cytogenetiskt svar efter 12 månaders behandling; eller relaps efter tidigare uppnått hematologiskt och/eller cytogenetiskt svar. Patienter bör monitoreras noggrant efter dosökning med tanke på risken för ökad incidens av biverkningar vid högre doser.</w:t>
      </w:r>
    </w:p>
    <w:p w14:paraId="56318B12" w14:textId="77777777" w:rsidR="00620ABA" w:rsidRPr="000E7AE9" w:rsidRDefault="00620ABA" w:rsidP="00463647">
      <w:pPr>
        <w:pStyle w:val="EndnoteText"/>
        <w:widowControl w:val="0"/>
        <w:tabs>
          <w:tab w:val="clear" w:pos="567"/>
        </w:tabs>
        <w:rPr>
          <w:rFonts w:eastAsia="MS Mincho"/>
          <w:color w:val="000000"/>
          <w:szCs w:val="22"/>
          <w:lang w:val="sv-SE" w:eastAsia="ja-JP"/>
        </w:rPr>
      </w:pPr>
    </w:p>
    <w:p w14:paraId="45B10FF3" w14:textId="77777777" w:rsidR="00620ABA" w:rsidRPr="000E7AE9" w:rsidRDefault="00620ABA"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Ph+ ALL</w:t>
      </w:r>
      <w:r w:rsidR="00456ABA">
        <w:rPr>
          <w:color w:val="000000"/>
          <w:szCs w:val="22"/>
          <w:u w:val="single"/>
          <w:lang w:val="sv-SE"/>
        </w:rPr>
        <w:t xml:space="preserve"> hos vuxna patienter</w:t>
      </w:r>
    </w:p>
    <w:p w14:paraId="34BDB206"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600 mg dagligen för </w:t>
      </w:r>
      <w:r w:rsidR="00813718">
        <w:rPr>
          <w:color w:val="000000"/>
          <w:szCs w:val="22"/>
          <w:lang w:val="sv-SE"/>
        </w:rPr>
        <w:t xml:space="preserve">vuxna </w:t>
      </w:r>
      <w:r w:rsidRPr="000E7AE9">
        <w:rPr>
          <w:color w:val="000000"/>
          <w:szCs w:val="22"/>
          <w:lang w:val="sv-SE"/>
        </w:rPr>
        <w:t>patienter med Ph+ ALL. Hematologer som är experter på hantering av denna sjukdom skall övervaka behandlingen i alla behandlingsfaser.</w:t>
      </w:r>
    </w:p>
    <w:p w14:paraId="6C63545D" w14:textId="77777777" w:rsidR="00620ABA" w:rsidRPr="000E7AE9" w:rsidRDefault="00620ABA" w:rsidP="00463647">
      <w:pPr>
        <w:pStyle w:val="EndnoteText"/>
        <w:widowControl w:val="0"/>
        <w:tabs>
          <w:tab w:val="clear" w:pos="567"/>
        </w:tabs>
        <w:rPr>
          <w:color w:val="000000"/>
          <w:szCs w:val="22"/>
          <w:lang w:val="sv-SE"/>
        </w:rPr>
      </w:pPr>
    </w:p>
    <w:p w14:paraId="39A858DD" w14:textId="77777777" w:rsidR="00620ABA" w:rsidRPr="000E7AE9" w:rsidRDefault="00620ABA" w:rsidP="00463647">
      <w:pPr>
        <w:widowControl w:val="0"/>
        <w:spacing w:line="240" w:lineRule="auto"/>
        <w:rPr>
          <w:rFonts w:eastAsia="MS Mincho"/>
          <w:color w:val="000000"/>
          <w:szCs w:val="22"/>
          <w:lang w:val="sv-SE" w:eastAsia="ja-JP"/>
        </w:rPr>
      </w:pPr>
      <w:r w:rsidRPr="000E7AE9">
        <w:rPr>
          <w:rFonts w:eastAsia="MS Mincho"/>
          <w:color w:val="000000"/>
          <w:szCs w:val="22"/>
          <w:lang w:val="sv-SE" w:eastAsia="ja-JP"/>
        </w:rPr>
        <w:t>Behandlingsschema: Baserat på befintliga data har Glivec visat sig vara effektivt och säkert när det ges i dosen 600 mg/dag i kombination med kemoterapi i induktionsfas, konsoliderings- och underhållsfas av kemoterapin (se avsnitt 5.1) hos vuxna patienter med nydiagnosticerad Ph+ ALL. Längden på behandlingen med Glivec kan variera med valt behandlingsprogram men längre exponering med Glivec har generellt gett bättre resultat.</w:t>
      </w:r>
    </w:p>
    <w:p w14:paraId="0A65F17A" w14:textId="77777777" w:rsidR="00620ABA" w:rsidRPr="000E7AE9" w:rsidRDefault="00620ABA" w:rsidP="00463647">
      <w:pPr>
        <w:widowControl w:val="0"/>
        <w:spacing w:line="240" w:lineRule="auto"/>
        <w:rPr>
          <w:rFonts w:eastAsia="MS Mincho"/>
          <w:color w:val="000000"/>
          <w:szCs w:val="22"/>
          <w:lang w:val="sv-SE" w:eastAsia="ja-JP"/>
        </w:rPr>
      </w:pPr>
    </w:p>
    <w:p w14:paraId="03ED8AF9" w14:textId="77777777" w:rsidR="00620ABA" w:rsidRPr="000E7AE9" w:rsidRDefault="00620ABA" w:rsidP="00463647">
      <w:pPr>
        <w:pStyle w:val="EndnoteText"/>
        <w:widowControl w:val="0"/>
        <w:tabs>
          <w:tab w:val="clear" w:pos="567"/>
        </w:tabs>
        <w:rPr>
          <w:color w:val="000000"/>
          <w:szCs w:val="22"/>
          <w:lang w:val="sv-SE"/>
        </w:rPr>
      </w:pPr>
      <w:r w:rsidRPr="000E7AE9">
        <w:rPr>
          <w:rFonts w:eastAsia="MS Mincho"/>
          <w:color w:val="000000"/>
          <w:szCs w:val="22"/>
          <w:lang w:val="sv-SE" w:eastAsia="ja-JP"/>
        </w:rPr>
        <w:t>För vuxna patienter med relapserande eller refraktär Ph+ALL är monoterapi med Glivec vid dosen 600 mg/</w:t>
      </w:r>
      <w:r w:rsidR="00925F5B" w:rsidRPr="000E7AE9">
        <w:rPr>
          <w:rFonts w:eastAsia="MS Mincho"/>
          <w:color w:val="000000"/>
          <w:szCs w:val="22"/>
          <w:lang w:val="sv-SE" w:eastAsia="ja-JP"/>
        </w:rPr>
        <w:t xml:space="preserve">dag </w:t>
      </w:r>
      <w:r w:rsidRPr="000E7AE9">
        <w:rPr>
          <w:rFonts w:eastAsia="MS Mincho"/>
          <w:color w:val="000000"/>
          <w:szCs w:val="22"/>
          <w:lang w:val="sv-SE" w:eastAsia="ja-JP"/>
        </w:rPr>
        <w:t>säker, effektiv och kan ges tills sjukdomsprogression uppstår.</w:t>
      </w:r>
    </w:p>
    <w:p w14:paraId="4AF92808" w14:textId="77777777" w:rsidR="000A32D6" w:rsidRDefault="000A32D6" w:rsidP="00463647">
      <w:pPr>
        <w:pStyle w:val="EndnoteText"/>
        <w:widowControl w:val="0"/>
        <w:tabs>
          <w:tab w:val="clear" w:pos="567"/>
        </w:tabs>
        <w:rPr>
          <w:color w:val="000000"/>
          <w:szCs w:val="22"/>
          <w:u w:val="single"/>
          <w:lang w:val="sv-SE"/>
        </w:rPr>
      </w:pPr>
    </w:p>
    <w:p w14:paraId="53818FE0" w14:textId="77777777" w:rsidR="00456ABA" w:rsidRPr="00946267" w:rsidRDefault="00456ABA" w:rsidP="00463647">
      <w:pPr>
        <w:pStyle w:val="EndnoteText"/>
        <w:keepNext/>
        <w:widowControl w:val="0"/>
        <w:tabs>
          <w:tab w:val="clear" w:pos="567"/>
        </w:tabs>
        <w:rPr>
          <w:color w:val="000000"/>
          <w:szCs w:val="22"/>
          <w:u w:val="single"/>
          <w:lang w:val="sv-SE"/>
        </w:rPr>
      </w:pPr>
      <w:r w:rsidRPr="00946267">
        <w:rPr>
          <w:color w:val="000000"/>
          <w:szCs w:val="22"/>
          <w:u w:val="single"/>
          <w:lang w:val="sv-SE"/>
        </w:rPr>
        <w:t>Dosering vid Ph+ ALL hos barn</w:t>
      </w:r>
    </w:p>
    <w:p w14:paraId="2C795D77" w14:textId="77777777" w:rsidR="00456ABA" w:rsidRPr="008C6AAC" w:rsidRDefault="00456ABA" w:rsidP="00463647">
      <w:pPr>
        <w:pStyle w:val="EndnoteText"/>
        <w:widowControl w:val="0"/>
        <w:tabs>
          <w:tab w:val="clear" w:pos="567"/>
        </w:tabs>
        <w:rPr>
          <w:color w:val="000000"/>
          <w:szCs w:val="22"/>
          <w:lang w:val="sv-SE"/>
        </w:rPr>
      </w:pPr>
      <w:r w:rsidRPr="008C6AAC">
        <w:rPr>
          <w:color w:val="000000"/>
          <w:szCs w:val="22"/>
          <w:lang w:val="sv-SE"/>
        </w:rPr>
        <w:t>Doseringen hos barn bör baseras på kroppsytan (mg/m</w:t>
      </w:r>
      <w:r w:rsidRPr="008C6AAC">
        <w:rPr>
          <w:color w:val="000000"/>
          <w:szCs w:val="22"/>
          <w:vertAlign w:val="superscript"/>
          <w:lang w:val="sv-SE"/>
        </w:rPr>
        <w:t>2</w:t>
      </w:r>
      <w:r w:rsidRPr="008C6AAC">
        <w:rPr>
          <w:color w:val="000000"/>
          <w:szCs w:val="22"/>
          <w:lang w:val="sv-SE"/>
        </w:rPr>
        <w:t>). En dos på 340 mg/m</w:t>
      </w:r>
      <w:r w:rsidRPr="008C6AAC">
        <w:rPr>
          <w:color w:val="000000"/>
          <w:szCs w:val="22"/>
          <w:vertAlign w:val="superscript"/>
          <w:lang w:val="sv-SE"/>
        </w:rPr>
        <w:t>2</w:t>
      </w:r>
      <w:r w:rsidRPr="008C6AAC">
        <w:rPr>
          <w:color w:val="000000"/>
          <w:szCs w:val="22"/>
          <w:lang w:val="sv-SE"/>
        </w:rPr>
        <w:t xml:space="preserve"> dagligen rekommenderas för barn med Ph+ ALL (ska ej överskrida en total dos på 600 mg).</w:t>
      </w:r>
    </w:p>
    <w:p w14:paraId="470376F2" w14:textId="77777777" w:rsidR="00456ABA" w:rsidRPr="00456ABA" w:rsidRDefault="00456ABA" w:rsidP="00463647">
      <w:pPr>
        <w:pStyle w:val="EndnoteText"/>
        <w:widowControl w:val="0"/>
        <w:tabs>
          <w:tab w:val="clear" w:pos="567"/>
        </w:tabs>
        <w:rPr>
          <w:color w:val="000000"/>
          <w:szCs w:val="22"/>
          <w:u w:val="single"/>
          <w:lang w:val="sv-SE"/>
        </w:rPr>
      </w:pPr>
    </w:p>
    <w:p w14:paraId="6AF6FE26" w14:textId="77777777" w:rsidR="000A32D6" w:rsidRPr="000E7AE9" w:rsidRDefault="000A32D6"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MDS/MPD</w:t>
      </w:r>
    </w:p>
    <w:p w14:paraId="2080E8A6" w14:textId="77777777" w:rsidR="000A32D6" w:rsidRPr="000E7AE9" w:rsidRDefault="000A32D6" w:rsidP="00463647">
      <w:pPr>
        <w:pStyle w:val="EndnoteText"/>
        <w:widowControl w:val="0"/>
        <w:tabs>
          <w:tab w:val="clear" w:pos="567"/>
        </w:tabs>
        <w:rPr>
          <w:color w:val="000000"/>
          <w:szCs w:val="22"/>
          <w:lang w:val="sv-SE"/>
        </w:rPr>
      </w:pPr>
      <w:r w:rsidRPr="000E7AE9">
        <w:rPr>
          <w:color w:val="000000"/>
          <w:szCs w:val="22"/>
          <w:lang w:val="sv-SE"/>
        </w:rPr>
        <w:t>Den rekommenderade dosen Glivec är 400</w:t>
      </w:r>
      <w:r w:rsidRPr="000E7AE9">
        <w:rPr>
          <w:color w:val="000000"/>
          <w:lang w:val="sv-SE"/>
        </w:rPr>
        <w:t> </w:t>
      </w:r>
      <w:r w:rsidRPr="000E7AE9">
        <w:rPr>
          <w:color w:val="000000"/>
          <w:szCs w:val="22"/>
          <w:lang w:val="sv-SE"/>
        </w:rPr>
        <w:t xml:space="preserve">mg dagligen för </w:t>
      </w:r>
      <w:r w:rsidR="00813718">
        <w:rPr>
          <w:color w:val="000000"/>
          <w:szCs w:val="22"/>
          <w:lang w:val="sv-SE"/>
        </w:rPr>
        <w:t xml:space="preserve">vuxna </w:t>
      </w:r>
      <w:r w:rsidRPr="000E7AE9">
        <w:rPr>
          <w:color w:val="000000"/>
          <w:szCs w:val="22"/>
          <w:lang w:val="sv-SE"/>
        </w:rPr>
        <w:t>patienter med MDS/MPD.</w:t>
      </w:r>
    </w:p>
    <w:p w14:paraId="0C69F110" w14:textId="77777777" w:rsidR="000A32D6" w:rsidRPr="000E7AE9" w:rsidRDefault="000A32D6" w:rsidP="00463647">
      <w:pPr>
        <w:pStyle w:val="EndnoteText"/>
        <w:widowControl w:val="0"/>
        <w:tabs>
          <w:tab w:val="clear" w:pos="567"/>
        </w:tabs>
        <w:rPr>
          <w:color w:val="000000"/>
          <w:szCs w:val="22"/>
          <w:lang w:val="sv-SE"/>
        </w:rPr>
      </w:pPr>
    </w:p>
    <w:p w14:paraId="5751B499" w14:textId="77777777" w:rsidR="000A32D6" w:rsidRPr="000E7AE9" w:rsidRDefault="000A32D6" w:rsidP="00463647">
      <w:pPr>
        <w:pStyle w:val="EndnoteText"/>
        <w:widowControl w:val="0"/>
        <w:tabs>
          <w:tab w:val="clear" w:pos="567"/>
        </w:tabs>
        <w:rPr>
          <w:color w:val="000000"/>
          <w:szCs w:val="22"/>
          <w:lang w:val="sv-SE"/>
        </w:rPr>
      </w:pPr>
      <w:r w:rsidRPr="000E7AE9">
        <w:rPr>
          <w:color w:val="000000"/>
          <w:szCs w:val="22"/>
          <w:lang w:val="sv-SE"/>
        </w:rPr>
        <w:t>Behandlingstid: I den enda genomförda kliniska studien hittills, fortsatte behandlingen med Glivec tills sjukdomen tilltog</w:t>
      </w:r>
      <w:r w:rsidR="008560A0" w:rsidRPr="000E7AE9">
        <w:rPr>
          <w:color w:val="000000"/>
          <w:szCs w:val="22"/>
          <w:lang w:val="sv-SE"/>
        </w:rPr>
        <w:t xml:space="preserve"> (se avsnitt 5.1). Vid tiden för analys var behandlingstiden i median 47 månader (24 dagar – 60 månader)</w:t>
      </w:r>
      <w:r w:rsidRPr="000E7AE9">
        <w:rPr>
          <w:color w:val="000000"/>
          <w:szCs w:val="22"/>
          <w:lang w:val="sv-SE"/>
        </w:rPr>
        <w:t>.</w:t>
      </w:r>
    </w:p>
    <w:p w14:paraId="748A3DDA" w14:textId="77777777" w:rsidR="008B3477" w:rsidRPr="000E7AE9" w:rsidRDefault="008B3477" w:rsidP="00463647">
      <w:pPr>
        <w:pStyle w:val="EndnoteText"/>
        <w:widowControl w:val="0"/>
        <w:tabs>
          <w:tab w:val="clear" w:pos="567"/>
        </w:tabs>
        <w:rPr>
          <w:color w:val="000000"/>
          <w:szCs w:val="22"/>
          <w:lang w:val="sv-SE"/>
        </w:rPr>
      </w:pPr>
    </w:p>
    <w:p w14:paraId="7673C017" w14:textId="77777777" w:rsidR="008B3477" w:rsidRPr="000E7AE9" w:rsidRDefault="008B3477" w:rsidP="00463647">
      <w:pPr>
        <w:pStyle w:val="EndnoteText"/>
        <w:keepNext/>
        <w:widowControl w:val="0"/>
        <w:tabs>
          <w:tab w:val="clear" w:pos="567"/>
        </w:tabs>
        <w:rPr>
          <w:color w:val="000000"/>
          <w:szCs w:val="22"/>
          <w:lang w:val="sv-SE"/>
        </w:rPr>
      </w:pPr>
      <w:r w:rsidRPr="000E7AE9">
        <w:rPr>
          <w:color w:val="000000"/>
          <w:szCs w:val="22"/>
          <w:u w:val="single"/>
          <w:lang w:val="sv-SE"/>
        </w:rPr>
        <w:t>Dosering vid HES/CEL</w:t>
      </w:r>
    </w:p>
    <w:p w14:paraId="519D21C6" w14:textId="77777777" w:rsidR="008B3477" w:rsidRPr="000E7AE9" w:rsidRDefault="008B3477"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100 mg dagligen för </w:t>
      </w:r>
      <w:r w:rsidR="008B1C36">
        <w:rPr>
          <w:color w:val="000000"/>
          <w:szCs w:val="22"/>
          <w:lang w:val="sv-SE"/>
        </w:rPr>
        <w:t xml:space="preserve">vuxna </w:t>
      </w:r>
      <w:r w:rsidRPr="000E7AE9">
        <w:rPr>
          <w:color w:val="000000"/>
          <w:szCs w:val="22"/>
          <w:lang w:val="sv-SE"/>
        </w:rPr>
        <w:t>patienter med HES/CEL.</w:t>
      </w:r>
    </w:p>
    <w:p w14:paraId="142586AB" w14:textId="77777777" w:rsidR="008B3477" w:rsidRPr="000E7AE9" w:rsidRDefault="008B3477" w:rsidP="00463647">
      <w:pPr>
        <w:pStyle w:val="EndnoteText"/>
        <w:widowControl w:val="0"/>
        <w:tabs>
          <w:tab w:val="clear" w:pos="567"/>
        </w:tabs>
        <w:rPr>
          <w:color w:val="000000"/>
          <w:szCs w:val="22"/>
          <w:lang w:val="sv-SE"/>
        </w:rPr>
      </w:pPr>
    </w:p>
    <w:p w14:paraId="7EAC0A83" w14:textId="77777777" w:rsidR="008B3477" w:rsidRPr="000E7AE9" w:rsidRDefault="008B3477" w:rsidP="00463647">
      <w:pPr>
        <w:pStyle w:val="EndnoteText"/>
        <w:widowControl w:val="0"/>
        <w:tabs>
          <w:tab w:val="clear" w:pos="567"/>
        </w:tabs>
        <w:rPr>
          <w:color w:val="000000"/>
          <w:szCs w:val="22"/>
          <w:lang w:val="sv-SE"/>
        </w:rPr>
      </w:pPr>
      <w:r w:rsidRPr="000E7AE9">
        <w:rPr>
          <w:color w:val="000000"/>
          <w:szCs w:val="22"/>
          <w:lang w:val="sv-SE"/>
        </w:rPr>
        <w:t>Dosökning från 100 mg till 400 mg kan övervägas för dessa patienter i frånvaro av läkemedelsbiverkningar om behandlingssvaret bedöms vara otillräckligt.</w:t>
      </w:r>
    </w:p>
    <w:p w14:paraId="291C2CDE" w14:textId="77777777" w:rsidR="00620ABA" w:rsidRDefault="00620ABA" w:rsidP="00463647">
      <w:pPr>
        <w:pStyle w:val="EndnoteText"/>
        <w:widowControl w:val="0"/>
        <w:tabs>
          <w:tab w:val="clear" w:pos="567"/>
        </w:tabs>
        <w:rPr>
          <w:color w:val="000000"/>
          <w:szCs w:val="22"/>
          <w:lang w:val="sv-SE"/>
        </w:rPr>
      </w:pPr>
    </w:p>
    <w:p w14:paraId="38F1FC11" w14:textId="77777777" w:rsidR="00AE104E" w:rsidRDefault="00AE104E" w:rsidP="00463647">
      <w:pPr>
        <w:pStyle w:val="EndnoteText"/>
        <w:widowControl w:val="0"/>
        <w:tabs>
          <w:tab w:val="clear" w:pos="567"/>
        </w:tabs>
        <w:rPr>
          <w:color w:val="000000"/>
          <w:szCs w:val="22"/>
          <w:lang w:val="sv-SE"/>
        </w:rPr>
      </w:pPr>
      <w:r>
        <w:rPr>
          <w:color w:val="000000"/>
          <w:szCs w:val="22"/>
          <w:lang w:val="sv-SE"/>
        </w:rPr>
        <w:t xml:space="preserve">Behandling bör fortsätta så länge patienten har fortsatt </w:t>
      </w:r>
      <w:r w:rsidR="003409A9">
        <w:rPr>
          <w:color w:val="000000"/>
          <w:szCs w:val="22"/>
          <w:lang w:val="sv-SE"/>
        </w:rPr>
        <w:t>nytta</w:t>
      </w:r>
      <w:r>
        <w:rPr>
          <w:color w:val="000000"/>
          <w:szCs w:val="22"/>
          <w:lang w:val="sv-SE"/>
        </w:rPr>
        <w:t>.</w:t>
      </w:r>
    </w:p>
    <w:p w14:paraId="365FF397" w14:textId="77777777" w:rsidR="00AE104E" w:rsidRPr="000E7AE9" w:rsidRDefault="00AE104E" w:rsidP="00463647">
      <w:pPr>
        <w:pStyle w:val="EndnoteText"/>
        <w:widowControl w:val="0"/>
        <w:tabs>
          <w:tab w:val="clear" w:pos="567"/>
        </w:tabs>
        <w:rPr>
          <w:color w:val="000000"/>
          <w:szCs w:val="22"/>
          <w:lang w:val="sv-SE"/>
        </w:rPr>
      </w:pPr>
    </w:p>
    <w:p w14:paraId="1A10B269" w14:textId="77777777" w:rsidR="00D17AB6" w:rsidRPr="000E7AE9" w:rsidRDefault="00D17AB6"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GIST</w:t>
      </w:r>
    </w:p>
    <w:p w14:paraId="0D9935B9" w14:textId="77777777" w:rsidR="00D17AB6" w:rsidRPr="000E7AE9" w:rsidRDefault="00D17AB6"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400 mg dagligen för </w:t>
      </w:r>
      <w:r w:rsidR="00813718">
        <w:rPr>
          <w:color w:val="000000"/>
          <w:szCs w:val="22"/>
          <w:lang w:val="sv-SE"/>
        </w:rPr>
        <w:t xml:space="preserve">vuxna </w:t>
      </w:r>
      <w:r w:rsidRPr="000E7AE9">
        <w:rPr>
          <w:color w:val="000000"/>
          <w:szCs w:val="22"/>
          <w:lang w:val="sv-SE"/>
        </w:rPr>
        <w:t>patienter med icke-resecerbar och/eller metastaserande, malign GIST.</w:t>
      </w:r>
    </w:p>
    <w:p w14:paraId="49AEA9F0" w14:textId="77777777" w:rsidR="00D17AB6" w:rsidRPr="000E7AE9" w:rsidRDefault="00D17AB6" w:rsidP="00463647">
      <w:pPr>
        <w:pStyle w:val="EndnoteText"/>
        <w:widowControl w:val="0"/>
        <w:tabs>
          <w:tab w:val="clear" w:pos="567"/>
        </w:tabs>
        <w:rPr>
          <w:color w:val="000000"/>
          <w:szCs w:val="22"/>
          <w:lang w:val="sv-SE"/>
        </w:rPr>
      </w:pPr>
    </w:p>
    <w:p w14:paraId="4CBA2AB6" w14:textId="77777777" w:rsidR="00D17AB6" w:rsidRPr="000E7AE9" w:rsidRDefault="00D17AB6" w:rsidP="00463647">
      <w:pPr>
        <w:pStyle w:val="EndnoteText"/>
        <w:widowControl w:val="0"/>
        <w:tabs>
          <w:tab w:val="clear" w:pos="567"/>
        </w:tabs>
        <w:rPr>
          <w:color w:val="000000"/>
          <w:szCs w:val="22"/>
          <w:lang w:val="sv-SE"/>
        </w:rPr>
      </w:pPr>
      <w:r w:rsidRPr="000E7AE9">
        <w:rPr>
          <w:color w:val="000000"/>
          <w:szCs w:val="22"/>
          <w:lang w:val="sv-SE"/>
        </w:rPr>
        <w:t>Det finns begränsade data på effekten av dosökning från 400 mg till 600 mg eller 800 mg hos patienter som progredierar vid den lägre dosen (se avsnitt 5.1).</w:t>
      </w:r>
    </w:p>
    <w:p w14:paraId="1D056FBF" w14:textId="77777777" w:rsidR="00D17AB6" w:rsidRPr="000E7AE9" w:rsidRDefault="00D17AB6" w:rsidP="00463647">
      <w:pPr>
        <w:pStyle w:val="EndnoteText"/>
        <w:widowControl w:val="0"/>
        <w:tabs>
          <w:tab w:val="clear" w:pos="567"/>
        </w:tabs>
        <w:rPr>
          <w:color w:val="000000"/>
          <w:szCs w:val="22"/>
          <w:lang w:val="sv-SE"/>
        </w:rPr>
      </w:pPr>
    </w:p>
    <w:p w14:paraId="749CADE0" w14:textId="77777777" w:rsidR="00D17AB6" w:rsidRDefault="00D17AB6" w:rsidP="00463647">
      <w:pPr>
        <w:pStyle w:val="EndnoteText"/>
        <w:widowControl w:val="0"/>
        <w:tabs>
          <w:tab w:val="clear" w:pos="567"/>
        </w:tabs>
        <w:rPr>
          <w:color w:val="000000"/>
          <w:szCs w:val="22"/>
          <w:lang w:val="sv-SE"/>
        </w:rPr>
      </w:pPr>
      <w:r w:rsidRPr="000E7AE9">
        <w:rPr>
          <w:color w:val="000000"/>
          <w:szCs w:val="22"/>
          <w:lang w:val="sv-SE"/>
        </w:rPr>
        <w:t>Behandlingstid: I kliniska studier med GIST-patienter fortsatte behandlingen med Glivec till sjukdomsprogress. Vid tiden för analys var behandlingstiden i median 7 månader (7 dagar till 13 månader). Effekten av att stoppa behandlingen efter att ha uppnått ett svar har inte undersökts.</w:t>
      </w:r>
    </w:p>
    <w:p w14:paraId="39C7731F" w14:textId="77777777" w:rsidR="00D17AB6" w:rsidRDefault="00D17AB6" w:rsidP="00463647">
      <w:pPr>
        <w:pStyle w:val="EndnoteText"/>
        <w:widowControl w:val="0"/>
        <w:tabs>
          <w:tab w:val="clear" w:pos="567"/>
        </w:tabs>
        <w:rPr>
          <w:color w:val="000000"/>
          <w:szCs w:val="22"/>
          <w:lang w:val="sv-SE"/>
        </w:rPr>
      </w:pPr>
    </w:p>
    <w:p w14:paraId="339832C5" w14:textId="77777777" w:rsidR="00D17AB6" w:rsidRPr="000E7AE9" w:rsidRDefault="00D17AB6" w:rsidP="00463647">
      <w:pPr>
        <w:pStyle w:val="EndnoteText"/>
        <w:widowControl w:val="0"/>
        <w:tabs>
          <w:tab w:val="clear" w:pos="567"/>
        </w:tabs>
        <w:rPr>
          <w:color w:val="000000"/>
          <w:szCs w:val="22"/>
          <w:lang w:val="sv-SE"/>
        </w:rPr>
      </w:pPr>
      <w:r>
        <w:rPr>
          <w:color w:val="000000"/>
          <w:szCs w:val="22"/>
          <w:lang w:val="sv-SE"/>
        </w:rPr>
        <w:t>Rekommenderad dos Glivec är 400</w:t>
      </w:r>
      <w:r w:rsidRPr="000E7AE9">
        <w:rPr>
          <w:color w:val="000000"/>
          <w:szCs w:val="22"/>
          <w:lang w:val="sv-SE"/>
        </w:rPr>
        <w:t> </w:t>
      </w:r>
      <w:r>
        <w:rPr>
          <w:color w:val="000000"/>
          <w:szCs w:val="22"/>
          <w:lang w:val="sv-SE"/>
        </w:rPr>
        <w:t xml:space="preserve">mg </w:t>
      </w:r>
      <w:r w:rsidRPr="008C2DDF">
        <w:rPr>
          <w:color w:val="000000"/>
          <w:szCs w:val="22"/>
          <w:lang w:val="sv-SE"/>
        </w:rPr>
        <w:t>dagligen</w:t>
      </w:r>
      <w:r>
        <w:rPr>
          <w:color w:val="000000"/>
          <w:szCs w:val="22"/>
          <w:lang w:val="sv-SE"/>
        </w:rPr>
        <w:t xml:space="preserve"> för adjuvant behandling av vuxna patienter efter resektion av GIST. </w:t>
      </w:r>
      <w:r w:rsidR="00260A17">
        <w:rPr>
          <w:color w:val="000000"/>
          <w:szCs w:val="22"/>
          <w:lang w:val="sv-SE"/>
        </w:rPr>
        <w:t xml:space="preserve">Optimal behandlingstid är ännu inte fastställd. </w:t>
      </w:r>
      <w:r w:rsidR="00DF713A">
        <w:rPr>
          <w:color w:val="000000"/>
          <w:szCs w:val="22"/>
          <w:lang w:val="sv-SE"/>
        </w:rPr>
        <w:t xml:space="preserve">Behandlingstid i den kliniska studie som denna indikation stödjer sig på var </w:t>
      </w:r>
      <w:r w:rsidR="00BD063A" w:rsidRPr="00C22B3A">
        <w:rPr>
          <w:color w:val="000000"/>
          <w:szCs w:val="22"/>
          <w:lang w:val="sv-SE"/>
        </w:rPr>
        <w:t>36 </w:t>
      </w:r>
      <w:r w:rsidR="00DF713A" w:rsidRPr="00C22B3A">
        <w:rPr>
          <w:color w:val="000000"/>
          <w:szCs w:val="22"/>
          <w:lang w:val="sv-SE"/>
        </w:rPr>
        <w:t>månader</w:t>
      </w:r>
      <w:r w:rsidR="00BD063A" w:rsidRPr="00C22B3A">
        <w:rPr>
          <w:color w:val="000000"/>
          <w:szCs w:val="22"/>
          <w:lang w:val="sv-SE"/>
        </w:rPr>
        <w:t xml:space="preserve"> (se avsnitt 5.1)</w:t>
      </w:r>
      <w:r w:rsidR="00DF713A" w:rsidRPr="00C22B3A">
        <w:rPr>
          <w:color w:val="000000"/>
          <w:szCs w:val="22"/>
          <w:lang w:val="sv-SE"/>
        </w:rPr>
        <w:t>.</w:t>
      </w:r>
    </w:p>
    <w:p w14:paraId="70E0867B" w14:textId="77777777" w:rsidR="00D17AB6" w:rsidRPr="000E7AE9" w:rsidRDefault="00D17AB6" w:rsidP="00463647">
      <w:pPr>
        <w:pStyle w:val="EndnoteText"/>
        <w:widowControl w:val="0"/>
        <w:tabs>
          <w:tab w:val="clear" w:pos="567"/>
        </w:tabs>
        <w:rPr>
          <w:color w:val="000000"/>
          <w:szCs w:val="22"/>
          <w:lang w:val="sv-SE"/>
        </w:rPr>
      </w:pPr>
    </w:p>
    <w:p w14:paraId="7094117F" w14:textId="77777777" w:rsidR="00620ABA" w:rsidRPr="000E7AE9" w:rsidRDefault="00620ABA"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DFSP</w:t>
      </w:r>
    </w:p>
    <w:p w14:paraId="7B7015DE"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800 mg dagligen för </w:t>
      </w:r>
      <w:r w:rsidR="00813718">
        <w:rPr>
          <w:color w:val="000000"/>
          <w:szCs w:val="22"/>
          <w:lang w:val="sv-SE"/>
        </w:rPr>
        <w:t xml:space="preserve">vuxna </w:t>
      </w:r>
      <w:r w:rsidRPr="000E7AE9">
        <w:rPr>
          <w:color w:val="000000"/>
          <w:szCs w:val="22"/>
          <w:lang w:val="sv-SE"/>
        </w:rPr>
        <w:t>patienter med DFSP.</w:t>
      </w:r>
    </w:p>
    <w:p w14:paraId="1603D2AC" w14:textId="77777777" w:rsidR="00620ABA" w:rsidRPr="000E7AE9" w:rsidRDefault="00620ABA" w:rsidP="00463647">
      <w:pPr>
        <w:pStyle w:val="EndnoteText"/>
        <w:widowControl w:val="0"/>
        <w:tabs>
          <w:tab w:val="clear" w:pos="567"/>
        </w:tabs>
        <w:rPr>
          <w:color w:val="000000"/>
          <w:szCs w:val="22"/>
          <w:lang w:val="sv-SE"/>
        </w:rPr>
      </w:pPr>
    </w:p>
    <w:p w14:paraId="2BB5CF0D" w14:textId="77777777" w:rsidR="00620ABA" w:rsidRPr="000E7AE9" w:rsidRDefault="00620ABA" w:rsidP="00463647">
      <w:pPr>
        <w:pStyle w:val="EndnoteText"/>
        <w:keepNext/>
        <w:widowControl w:val="0"/>
        <w:tabs>
          <w:tab w:val="clear" w:pos="567"/>
        </w:tabs>
        <w:rPr>
          <w:color w:val="000000"/>
          <w:szCs w:val="22"/>
          <w:lang w:val="sv-SE"/>
        </w:rPr>
      </w:pPr>
      <w:r w:rsidRPr="000E7AE9">
        <w:rPr>
          <w:color w:val="000000"/>
          <w:szCs w:val="22"/>
          <w:u w:val="single"/>
          <w:lang w:val="sv-SE"/>
        </w:rPr>
        <w:lastRenderedPageBreak/>
        <w:t>Dosjustering för biverkningar</w:t>
      </w:r>
    </w:p>
    <w:p w14:paraId="78D4F2E5" w14:textId="77777777" w:rsidR="00620ABA" w:rsidRPr="000E7AE9" w:rsidRDefault="00620ABA" w:rsidP="00463647">
      <w:pPr>
        <w:pStyle w:val="EndnoteText"/>
        <w:keepNext/>
        <w:widowControl w:val="0"/>
        <w:tabs>
          <w:tab w:val="clear" w:pos="567"/>
        </w:tabs>
        <w:rPr>
          <w:i/>
          <w:color w:val="000000"/>
          <w:szCs w:val="22"/>
          <w:lang w:val="sv-SE"/>
        </w:rPr>
      </w:pPr>
      <w:r w:rsidRPr="000E7AE9">
        <w:rPr>
          <w:i/>
          <w:color w:val="000000"/>
          <w:szCs w:val="22"/>
          <w:lang w:val="sv-SE"/>
        </w:rPr>
        <w:t>Icke-hematologiska biverkningar</w:t>
      </w:r>
    </w:p>
    <w:p w14:paraId="1C773ED8"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Om svåra icke-hematologiska biverkningar uppträder under behandling med Glivec skall behandlingen sättas ut till dess biverkningen har försvunnit. Efter detta kan behandlingen återupptas, där lämplig dosstorlek avgörs efter biverkningens svårighetsgrad.</w:t>
      </w:r>
    </w:p>
    <w:p w14:paraId="25B29D7E" w14:textId="77777777" w:rsidR="00620ABA" w:rsidRPr="000E7AE9" w:rsidRDefault="00620ABA" w:rsidP="00463647">
      <w:pPr>
        <w:pStyle w:val="EndnoteText"/>
        <w:widowControl w:val="0"/>
        <w:tabs>
          <w:tab w:val="clear" w:pos="567"/>
        </w:tabs>
        <w:rPr>
          <w:color w:val="000000"/>
          <w:szCs w:val="22"/>
          <w:lang w:val="sv-SE"/>
        </w:rPr>
      </w:pPr>
    </w:p>
    <w:p w14:paraId="5050A704"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Om höjning i bilirubin &gt; 3 gånger det institutionella övre normala gränsvärdet (IULN) eller i levertransaminaser &gt; 5 gånger IULN inträffar, skall man sätta ut Glivec tills bilirubinnivåerna återgått till &lt; 1,5 gånger IULN och transaminasnivåerna till &lt; 2,5 gånger IULN. Behandling med Glivec kan därefter fortsätta med en reducerad daglig dos. Hos vuxna skall dosen reduceras från 400 mg till 300 mg eller från 600 mg till 400 mg, eller från 800 mg till 600 mg. Hos barn skall dosen reduceras från 340 mg/m</w:t>
      </w:r>
      <w:r w:rsidRPr="000E7AE9">
        <w:rPr>
          <w:color w:val="000000"/>
          <w:szCs w:val="22"/>
          <w:vertAlign w:val="superscript"/>
          <w:lang w:val="sv-SE"/>
        </w:rPr>
        <w:t>2</w:t>
      </w:r>
      <w:r w:rsidRPr="000E7AE9">
        <w:rPr>
          <w:color w:val="000000"/>
          <w:szCs w:val="22"/>
          <w:lang w:val="sv-SE"/>
        </w:rPr>
        <w:t>/dag till 260 mg/m</w:t>
      </w:r>
      <w:r w:rsidRPr="000E7AE9">
        <w:rPr>
          <w:color w:val="000000"/>
          <w:szCs w:val="22"/>
          <w:vertAlign w:val="superscript"/>
          <w:lang w:val="sv-SE"/>
        </w:rPr>
        <w:t>2</w:t>
      </w:r>
      <w:r w:rsidRPr="000E7AE9">
        <w:rPr>
          <w:color w:val="000000"/>
          <w:szCs w:val="22"/>
          <w:lang w:val="sv-SE"/>
        </w:rPr>
        <w:t>/dag.</w:t>
      </w:r>
    </w:p>
    <w:p w14:paraId="41241FCA" w14:textId="77777777" w:rsidR="00620ABA" w:rsidRPr="000E7AE9" w:rsidRDefault="00620ABA" w:rsidP="00463647">
      <w:pPr>
        <w:pStyle w:val="EndnoteText"/>
        <w:widowControl w:val="0"/>
        <w:tabs>
          <w:tab w:val="clear" w:pos="567"/>
        </w:tabs>
        <w:rPr>
          <w:color w:val="000000"/>
          <w:szCs w:val="22"/>
          <w:lang w:val="sv-SE"/>
        </w:rPr>
      </w:pPr>
    </w:p>
    <w:p w14:paraId="21E47255" w14:textId="77777777" w:rsidR="00620ABA" w:rsidRPr="000E7AE9" w:rsidRDefault="00620ABA" w:rsidP="00463647">
      <w:pPr>
        <w:pStyle w:val="EndnoteText"/>
        <w:keepNext/>
        <w:widowControl w:val="0"/>
        <w:tabs>
          <w:tab w:val="clear" w:pos="567"/>
        </w:tabs>
        <w:rPr>
          <w:i/>
          <w:color w:val="000000"/>
          <w:szCs w:val="22"/>
          <w:lang w:val="sv-SE"/>
        </w:rPr>
      </w:pPr>
      <w:r w:rsidRPr="000E7AE9">
        <w:rPr>
          <w:i/>
          <w:color w:val="000000"/>
          <w:szCs w:val="22"/>
          <w:lang w:val="sv-SE"/>
        </w:rPr>
        <w:t>Hematologiska biverkningar</w:t>
      </w:r>
    </w:p>
    <w:p w14:paraId="5402FA93"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Dosreduktion eller utsättande av behandling rekommenderas vid svår neutropeni och trombocytopeni enligt anvisningar i nedanstående tabell.</w:t>
      </w:r>
    </w:p>
    <w:p w14:paraId="1153AF20" w14:textId="77777777" w:rsidR="00620ABA" w:rsidRPr="000E7AE9" w:rsidRDefault="00620ABA" w:rsidP="00463647">
      <w:pPr>
        <w:pStyle w:val="EndnoteText"/>
        <w:widowControl w:val="0"/>
        <w:tabs>
          <w:tab w:val="clear" w:pos="567"/>
        </w:tabs>
        <w:rPr>
          <w:color w:val="000000"/>
          <w:szCs w:val="22"/>
          <w:lang w:val="sv-SE"/>
        </w:rPr>
      </w:pPr>
    </w:p>
    <w:p w14:paraId="52720A4F" w14:textId="77777777" w:rsidR="00620ABA" w:rsidRPr="000E7AE9" w:rsidRDefault="00620ABA" w:rsidP="00463647">
      <w:pPr>
        <w:pStyle w:val="EndnoteText"/>
        <w:keepNext/>
        <w:widowControl w:val="0"/>
        <w:tabs>
          <w:tab w:val="clear" w:pos="567"/>
        </w:tabs>
        <w:rPr>
          <w:bCs/>
          <w:color w:val="000000"/>
          <w:szCs w:val="22"/>
          <w:lang w:val="sv-SE"/>
        </w:rPr>
      </w:pPr>
      <w:r w:rsidRPr="000E7AE9">
        <w:rPr>
          <w:bCs/>
          <w:color w:val="000000"/>
          <w:szCs w:val="22"/>
          <w:lang w:val="sv-SE"/>
        </w:rPr>
        <w:t>Dosjustering vid neutropeni och trombocytopeni:</w:t>
      </w:r>
    </w:p>
    <w:p w14:paraId="7C024E90" w14:textId="77777777" w:rsidR="00620ABA" w:rsidRPr="000E7AE9" w:rsidRDefault="00620ABA" w:rsidP="00463647">
      <w:pPr>
        <w:pStyle w:val="EndnoteText"/>
        <w:keepNext/>
        <w:widowControl w:val="0"/>
        <w:tabs>
          <w:tab w:val="clear" w:pos="567"/>
        </w:tabs>
        <w:rPr>
          <w:color w:val="000000"/>
          <w:szCs w:val="22"/>
          <w:lang w:val="sv-SE"/>
        </w:rPr>
      </w:pPr>
    </w:p>
    <w:tbl>
      <w:tblPr>
        <w:tblW w:w="0" w:type="auto"/>
        <w:tblLayout w:type="fixed"/>
        <w:tblLook w:val="0000" w:firstRow="0" w:lastRow="0" w:firstColumn="0" w:lastColumn="0" w:noHBand="0" w:noVBand="0"/>
      </w:tblPr>
      <w:tblGrid>
        <w:gridCol w:w="2376"/>
        <w:gridCol w:w="2400"/>
        <w:gridCol w:w="4404"/>
      </w:tblGrid>
      <w:tr w:rsidR="003B175C" w:rsidRPr="00644A2E" w14:paraId="6161D63A" w14:textId="77777777" w:rsidTr="00DF06CD">
        <w:trPr>
          <w:cantSplit/>
        </w:trPr>
        <w:tc>
          <w:tcPr>
            <w:tcW w:w="2376" w:type="dxa"/>
            <w:tcBorders>
              <w:top w:val="single" w:sz="4" w:space="0" w:color="auto"/>
              <w:left w:val="single" w:sz="4" w:space="0" w:color="auto"/>
              <w:bottom w:val="single" w:sz="4" w:space="0" w:color="auto"/>
              <w:right w:val="single" w:sz="4" w:space="0" w:color="auto"/>
            </w:tcBorders>
          </w:tcPr>
          <w:p w14:paraId="7F8CF0A8" w14:textId="77777777" w:rsidR="003B175C" w:rsidRPr="000E7AE9" w:rsidRDefault="003B175C" w:rsidP="00463647">
            <w:pPr>
              <w:pStyle w:val="EndnoteText"/>
              <w:keepNext/>
              <w:widowControl w:val="0"/>
              <w:tabs>
                <w:tab w:val="clear" w:pos="567"/>
              </w:tabs>
              <w:rPr>
                <w:color w:val="000000"/>
                <w:szCs w:val="22"/>
                <w:lang w:val="sv-SE"/>
              </w:rPr>
            </w:pPr>
            <w:r w:rsidRPr="000E7AE9">
              <w:rPr>
                <w:color w:val="000000"/>
                <w:szCs w:val="22"/>
                <w:lang w:val="sv-SE"/>
              </w:rPr>
              <w:t>HES/CEL (startdos 100 mg)</w:t>
            </w:r>
          </w:p>
        </w:tc>
        <w:tc>
          <w:tcPr>
            <w:tcW w:w="2400" w:type="dxa"/>
            <w:tcBorders>
              <w:top w:val="single" w:sz="4" w:space="0" w:color="auto"/>
              <w:left w:val="single" w:sz="4" w:space="0" w:color="auto"/>
              <w:bottom w:val="single" w:sz="4" w:space="0" w:color="auto"/>
              <w:right w:val="single" w:sz="4" w:space="0" w:color="auto"/>
            </w:tcBorders>
          </w:tcPr>
          <w:p w14:paraId="5CF95118" w14:textId="77777777" w:rsidR="003B175C" w:rsidRPr="000E7AE9" w:rsidRDefault="003B175C"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ANC-värde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63A8ED7E" w14:textId="77777777" w:rsidR="003B175C" w:rsidRPr="000E7AE9" w:rsidRDefault="003B175C"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w:t>
            </w:r>
          </w:p>
          <w:p w14:paraId="62ABEA91" w14:textId="77777777" w:rsidR="003B175C" w:rsidRPr="000E7AE9" w:rsidRDefault="003B175C"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trombocyter &lt; 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785296D0" w14:textId="77777777" w:rsidR="003B175C" w:rsidRPr="000E7AE9" w:rsidRDefault="009039A5" w:rsidP="00463647">
            <w:pPr>
              <w:pStyle w:val="Table"/>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 xml:space="preserve">Sätt ut Glivec till dess ANC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1,5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 xml:space="preserve">/l och trombocyter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75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/l.</w:t>
            </w:r>
          </w:p>
          <w:p w14:paraId="1370971C" w14:textId="77777777" w:rsidR="003B175C" w:rsidRPr="000E7AE9" w:rsidRDefault="009039A5" w:rsidP="00463647">
            <w:pPr>
              <w:pStyle w:val="Table"/>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Återuppta behandling med tidigare Glivec-dos (d.v.s. innan allvarlig biverkan).</w:t>
            </w:r>
          </w:p>
        </w:tc>
      </w:tr>
      <w:tr w:rsidR="003B175C" w:rsidRPr="00644A2E" w14:paraId="63A83E3D" w14:textId="77777777" w:rsidTr="00DF06CD">
        <w:trPr>
          <w:cantSplit/>
        </w:trPr>
        <w:tc>
          <w:tcPr>
            <w:tcW w:w="2376" w:type="dxa"/>
            <w:tcBorders>
              <w:top w:val="single" w:sz="4" w:space="0" w:color="auto"/>
              <w:left w:val="single" w:sz="4" w:space="0" w:color="auto"/>
              <w:bottom w:val="single" w:sz="4" w:space="0" w:color="auto"/>
              <w:right w:val="single" w:sz="4" w:space="0" w:color="auto"/>
            </w:tcBorders>
          </w:tcPr>
          <w:p w14:paraId="01644CBC" w14:textId="77777777" w:rsidR="003B175C" w:rsidRPr="000E7AE9" w:rsidRDefault="003B175C" w:rsidP="00463647">
            <w:pPr>
              <w:pStyle w:val="EndnoteText"/>
              <w:widowControl w:val="0"/>
              <w:tabs>
                <w:tab w:val="clear" w:pos="567"/>
              </w:tabs>
              <w:rPr>
                <w:color w:val="000000"/>
                <w:szCs w:val="22"/>
                <w:lang w:val="sv-SE"/>
              </w:rPr>
            </w:pPr>
            <w:r w:rsidRPr="000E7AE9">
              <w:rPr>
                <w:color w:val="000000"/>
                <w:szCs w:val="22"/>
                <w:lang w:val="sv-SE"/>
              </w:rPr>
              <w:t>KML i kronisk fas, MDS/MPD och GIST (startdos 400 mg)</w:t>
            </w:r>
          </w:p>
          <w:p w14:paraId="7FE07DB8" w14:textId="77777777" w:rsidR="003B175C" w:rsidRPr="000E7AE9" w:rsidRDefault="003B175C" w:rsidP="00463647">
            <w:pPr>
              <w:pStyle w:val="EndnoteText"/>
              <w:widowControl w:val="0"/>
              <w:tabs>
                <w:tab w:val="clear" w:pos="567"/>
              </w:tabs>
              <w:rPr>
                <w:color w:val="000000"/>
                <w:szCs w:val="22"/>
                <w:lang w:val="sv-SE"/>
              </w:rPr>
            </w:pPr>
            <w:r w:rsidRPr="000E7AE9">
              <w:rPr>
                <w:color w:val="000000"/>
                <w:szCs w:val="22"/>
                <w:lang w:val="sv-SE"/>
              </w:rPr>
              <w:t>HES/CEL (vid dosen 400 mg)</w:t>
            </w:r>
          </w:p>
        </w:tc>
        <w:tc>
          <w:tcPr>
            <w:tcW w:w="2400" w:type="dxa"/>
            <w:tcBorders>
              <w:top w:val="single" w:sz="4" w:space="0" w:color="auto"/>
              <w:left w:val="single" w:sz="4" w:space="0" w:color="auto"/>
              <w:bottom w:val="single" w:sz="4" w:space="0" w:color="auto"/>
              <w:right w:val="single" w:sz="4" w:space="0" w:color="auto"/>
            </w:tcBorders>
          </w:tcPr>
          <w:p w14:paraId="6243E93D" w14:textId="77777777" w:rsidR="003B175C" w:rsidRPr="000E7AE9" w:rsidRDefault="003B175C"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ANC-värde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6257B607" w14:textId="77777777" w:rsidR="003B175C" w:rsidRPr="000E7AE9" w:rsidRDefault="003B175C"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w:t>
            </w:r>
          </w:p>
          <w:p w14:paraId="59EF27D2" w14:textId="77777777" w:rsidR="003B175C" w:rsidRPr="000E7AE9" w:rsidRDefault="003B175C" w:rsidP="00463647">
            <w:pPr>
              <w:pStyle w:val="EndnoteText"/>
              <w:widowControl w:val="0"/>
              <w:tabs>
                <w:tab w:val="clear" w:pos="567"/>
              </w:tabs>
              <w:rPr>
                <w:color w:val="000000"/>
                <w:szCs w:val="22"/>
                <w:lang w:val="sv-SE"/>
              </w:rPr>
            </w:pPr>
            <w:r w:rsidRPr="000E7AE9">
              <w:rPr>
                <w:color w:val="000000"/>
                <w:szCs w:val="22"/>
                <w:lang w:val="sv-SE"/>
              </w:rPr>
              <w:t>trombocyter &lt; 50 x 10</w:t>
            </w:r>
            <w:r w:rsidRPr="000E7AE9">
              <w:rPr>
                <w:color w:val="000000"/>
                <w:szCs w:val="22"/>
                <w:vertAlign w:val="superscript"/>
                <w:lang w:val="sv-SE"/>
              </w:rPr>
              <w:t>9</w:t>
            </w:r>
            <w:r w:rsidRPr="000E7AE9">
              <w:rPr>
                <w:color w:val="000000"/>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46D7981A"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 xml:space="preserve">Sätt ut Glivec till dess ANC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1,5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 xml:space="preserve">/l och trombocyter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75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/l.</w:t>
            </w:r>
          </w:p>
          <w:p w14:paraId="57F2FE1A"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Återuppta behandling med tidigare Glivec-dos (d.v.s. innan allvarlig biverkan).</w:t>
            </w:r>
          </w:p>
          <w:p w14:paraId="200B116D" w14:textId="77777777" w:rsidR="003B175C" w:rsidRPr="000E7AE9" w:rsidRDefault="009039A5" w:rsidP="00463647">
            <w:pPr>
              <w:pStyle w:val="EndnoteText"/>
              <w:widowControl w:val="0"/>
              <w:tabs>
                <w:tab w:val="clear" w:pos="567"/>
              </w:tabs>
              <w:ind w:left="469" w:hanging="469"/>
              <w:rPr>
                <w:color w:val="000000"/>
                <w:szCs w:val="22"/>
                <w:lang w:val="sv-SE"/>
              </w:rPr>
            </w:pPr>
            <w:r>
              <w:rPr>
                <w:color w:val="000000"/>
                <w:szCs w:val="22"/>
                <w:lang w:val="sv-SE"/>
              </w:rPr>
              <w:t>3.</w:t>
            </w:r>
            <w:r>
              <w:rPr>
                <w:color w:val="000000"/>
                <w:szCs w:val="22"/>
                <w:lang w:val="sv-SE"/>
              </w:rPr>
              <w:tab/>
            </w:r>
            <w:r w:rsidR="003B175C" w:rsidRPr="000E7AE9">
              <w:rPr>
                <w:color w:val="000000"/>
                <w:szCs w:val="22"/>
                <w:lang w:val="sv-SE"/>
              </w:rPr>
              <w:t>Om ANC återgår till &lt; 1,0 x 10</w:t>
            </w:r>
            <w:r w:rsidR="003B175C" w:rsidRPr="000E7AE9">
              <w:rPr>
                <w:color w:val="000000"/>
                <w:szCs w:val="22"/>
                <w:vertAlign w:val="superscript"/>
                <w:lang w:val="sv-SE"/>
              </w:rPr>
              <w:t>9</w:t>
            </w:r>
            <w:r w:rsidR="003B175C" w:rsidRPr="000E7AE9">
              <w:rPr>
                <w:color w:val="000000"/>
                <w:szCs w:val="22"/>
                <w:lang w:val="sv-SE"/>
              </w:rPr>
              <w:t>/l och/eller trombocyter &lt; 50 x 10</w:t>
            </w:r>
            <w:r w:rsidR="003B175C" w:rsidRPr="000E7AE9">
              <w:rPr>
                <w:color w:val="000000"/>
                <w:szCs w:val="22"/>
                <w:vertAlign w:val="superscript"/>
                <w:lang w:val="sv-SE"/>
              </w:rPr>
              <w:t>9</w:t>
            </w:r>
            <w:r w:rsidR="003B175C" w:rsidRPr="000E7AE9">
              <w:rPr>
                <w:color w:val="000000"/>
                <w:szCs w:val="22"/>
                <w:lang w:val="sv-SE"/>
              </w:rPr>
              <w:t>/l, upprepa steg 1 och återuppta Glivec i reducerad dos om 300 mg.</w:t>
            </w:r>
          </w:p>
        </w:tc>
      </w:tr>
      <w:tr w:rsidR="003B175C" w:rsidRPr="00644A2E" w14:paraId="083E7DB6" w14:textId="77777777" w:rsidTr="00DF06CD">
        <w:trPr>
          <w:cantSplit/>
        </w:trPr>
        <w:tc>
          <w:tcPr>
            <w:tcW w:w="2376" w:type="dxa"/>
            <w:tcBorders>
              <w:top w:val="single" w:sz="4" w:space="0" w:color="auto"/>
              <w:left w:val="single" w:sz="4" w:space="0" w:color="auto"/>
              <w:bottom w:val="single" w:sz="4" w:space="0" w:color="auto"/>
              <w:right w:val="single" w:sz="4" w:space="0" w:color="auto"/>
            </w:tcBorders>
          </w:tcPr>
          <w:p w14:paraId="48689A7A" w14:textId="77777777" w:rsidR="003B175C" w:rsidRPr="000E7AE9" w:rsidRDefault="003B175C" w:rsidP="00463647">
            <w:pPr>
              <w:pStyle w:val="EndnoteText"/>
              <w:widowControl w:val="0"/>
              <w:tabs>
                <w:tab w:val="clear" w:pos="567"/>
              </w:tabs>
              <w:rPr>
                <w:color w:val="000000"/>
                <w:szCs w:val="22"/>
                <w:lang w:val="sv-SE"/>
              </w:rPr>
            </w:pPr>
            <w:r w:rsidRPr="000E7AE9">
              <w:rPr>
                <w:color w:val="000000"/>
                <w:szCs w:val="22"/>
                <w:lang w:val="sv-SE"/>
              </w:rPr>
              <w:t>KML i kronisk fas hos barn (vid dosen 340 mg/m</w:t>
            </w:r>
            <w:r w:rsidRPr="000E7AE9">
              <w:rPr>
                <w:color w:val="000000"/>
                <w:szCs w:val="22"/>
                <w:vertAlign w:val="superscript"/>
                <w:lang w:val="sv-SE"/>
              </w:rPr>
              <w:t>2</w:t>
            </w:r>
            <w:r w:rsidRPr="000E7AE9">
              <w:rPr>
                <w:color w:val="000000"/>
                <w:szCs w:val="22"/>
                <w:lang w:val="sv-SE"/>
              </w:rPr>
              <w:t>)</w:t>
            </w:r>
          </w:p>
        </w:tc>
        <w:tc>
          <w:tcPr>
            <w:tcW w:w="2400" w:type="dxa"/>
            <w:tcBorders>
              <w:top w:val="single" w:sz="4" w:space="0" w:color="auto"/>
              <w:left w:val="single" w:sz="4" w:space="0" w:color="auto"/>
              <w:bottom w:val="single" w:sz="4" w:space="0" w:color="auto"/>
              <w:right w:val="single" w:sz="4" w:space="0" w:color="auto"/>
            </w:tcBorders>
          </w:tcPr>
          <w:p w14:paraId="6FFB1EDF" w14:textId="77777777" w:rsidR="003B175C" w:rsidRPr="000E7AE9" w:rsidRDefault="003B175C"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ANC-värde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0FDC4813" w14:textId="77777777" w:rsidR="003B175C" w:rsidRPr="000E7AE9" w:rsidRDefault="003B175C"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w:t>
            </w:r>
          </w:p>
          <w:p w14:paraId="10C5CC82" w14:textId="77777777" w:rsidR="003B175C" w:rsidRPr="000E7AE9" w:rsidRDefault="003B175C" w:rsidP="00463647">
            <w:pPr>
              <w:pStyle w:val="Table"/>
              <w:keepNext w:val="0"/>
              <w:keepLines w:val="0"/>
              <w:widowControl w:val="0"/>
              <w:spacing w:before="0" w:after="0"/>
              <w:rPr>
                <w:rFonts w:ascii="Times New Roman" w:hAnsi="Times New Roman"/>
                <w:color w:val="000000"/>
                <w:sz w:val="22"/>
                <w:szCs w:val="22"/>
                <w:vertAlign w:val="superscript"/>
                <w:lang w:val="sv-SE"/>
              </w:rPr>
            </w:pPr>
            <w:r w:rsidRPr="000E7AE9">
              <w:rPr>
                <w:rFonts w:ascii="Times New Roman" w:hAnsi="Times New Roman"/>
                <w:color w:val="000000"/>
                <w:sz w:val="22"/>
                <w:szCs w:val="22"/>
                <w:lang w:val="sv-SE"/>
              </w:rPr>
              <w:t>trombocyter &lt; 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0F435545"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 xml:space="preserve">Sätt ut Glivec till dess ANC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1,5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 xml:space="preserve">/l och trombocyter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75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/l.</w:t>
            </w:r>
          </w:p>
          <w:p w14:paraId="252AFAD4"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Återuppta behandling med tidigare Glivec-dos (d.v.s. innan allvarlig biverkan).</w:t>
            </w:r>
          </w:p>
          <w:p w14:paraId="7CE56AC8"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3.</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Om ANC återgår till &lt; 1,0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/l och/eller trombocyter &lt; 50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/l, upprepa steg 1 och återuppta Glivec i reducerad dos om 260 mg/m</w:t>
            </w:r>
            <w:r w:rsidR="003B175C" w:rsidRPr="000E7AE9">
              <w:rPr>
                <w:rFonts w:ascii="Times New Roman" w:hAnsi="Times New Roman"/>
                <w:color w:val="000000"/>
                <w:sz w:val="22"/>
                <w:szCs w:val="22"/>
                <w:vertAlign w:val="superscript"/>
                <w:lang w:val="sv-SE"/>
              </w:rPr>
              <w:t>2</w:t>
            </w:r>
            <w:r w:rsidR="003B175C" w:rsidRPr="000E7AE9">
              <w:rPr>
                <w:rFonts w:ascii="Times New Roman" w:hAnsi="Times New Roman"/>
                <w:color w:val="000000"/>
                <w:sz w:val="22"/>
                <w:szCs w:val="22"/>
                <w:lang w:val="sv-SE"/>
              </w:rPr>
              <w:t>.</w:t>
            </w:r>
          </w:p>
        </w:tc>
      </w:tr>
      <w:tr w:rsidR="003B175C" w:rsidRPr="00644A2E" w14:paraId="210711D6" w14:textId="77777777" w:rsidTr="00DF06CD">
        <w:trPr>
          <w:cantSplit/>
        </w:trPr>
        <w:tc>
          <w:tcPr>
            <w:tcW w:w="2376" w:type="dxa"/>
            <w:tcBorders>
              <w:top w:val="single" w:sz="4" w:space="0" w:color="auto"/>
              <w:left w:val="single" w:sz="4" w:space="0" w:color="auto"/>
              <w:bottom w:val="single" w:sz="4" w:space="0" w:color="auto"/>
              <w:right w:val="single" w:sz="4" w:space="0" w:color="auto"/>
            </w:tcBorders>
          </w:tcPr>
          <w:p w14:paraId="606956C1" w14:textId="77777777" w:rsidR="003B175C" w:rsidRPr="000E7AE9" w:rsidRDefault="003B175C" w:rsidP="00463647">
            <w:pPr>
              <w:pStyle w:val="EndnoteText"/>
              <w:widowControl w:val="0"/>
              <w:tabs>
                <w:tab w:val="clear" w:pos="567"/>
              </w:tabs>
              <w:rPr>
                <w:color w:val="000000"/>
                <w:szCs w:val="22"/>
                <w:lang w:val="sv-SE"/>
              </w:rPr>
            </w:pPr>
            <w:r w:rsidRPr="000E7AE9">
              <w:rPr>
                <w:color w:val="000000"/>
                <w:szCs w:val="22"/>
                <w:lang w:val="sv-SE"/>
              </w:rPr>
              <w:t>KML i accelererad fas och blastkris och Ph+ ALL (startdos 600 mg)</w:t>
            </w:r>
          </w:p>
        </w:tc>
        <w:tc>
          <w:tcPr>
            <w:tcW w:w="2400" w:type="dxa"/>
            <w:tcBorders>
              <w:top w:val="single" w:sz="4" w:space="0" w:color="auto"/>
              <w:left w:val="single" w:sz="4" w:space="0" w:color="auto"/>
              <w:bottom w:val="single" w:sz="4" w:space="0" w:color="auto"/>
              <w:right w:val="single" w:sz="4" w:space="0" w:color="auto"/>
            </w:tcBorders>
          </w:tcPr>
          <w:p w14:paraId="44320753" w14:textId="77777777" w:rsidR="003B175C" w:rsidRPr="000E7AE9" w:rsidRDefault="003B175C"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vertAlign w:val="superscript"/>
                <w:lang w:val="sv-SE"/>
              </w:rPr>
              <w:t>a</w:t>
            </w:r>
            <w:r w:rsidRPr="000E7AE9">
              <w:rPr>
                <w:rFonts w:ascii="Times New Roman" w:hAnsi="Times New Roman"/>
                <w:color w:val="000000"/>
                <w:sz w:val="22"/>
                <w:szCs w:val="22"/>
                <w:lang w:val="sv-SE"/>
              </w:rPr>
              <w:t>ANC &lt; 0,5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4E4FD37E" w14:textId="77777777" w:rsidR="003B175C" w:rsidRPr="000E7AE9" w:rsidRDefault="003B175C"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 trombocyter</w:t>
            </w:r>
          </w:p>
          <w:p w14:paraId="67716888" w14:textId="77777777" w:rsidR="003B175C" w:rsidRPr="000E7AE9" w:rsidRDefault="003B175C" w:rsidP="00463647">
            <w:pPr>
              <w:pStyle w:val="EndnoteText"/>
              <w:widowControl w:val="0"/>
              <w:tabs>
                <w:tab w:val="clear" w:pos="567"/>
              </w:tabs>
              <w:rPr>
                <w:color w:val="000000"/>
                <w:szCs w:val="22"/>
                <w:lang w:val="sv-SE"/>
              </w:rPr>
            </w:pPr>
            <w:r w:rsidRPr="000E7AE9">
              <w:rPr>
                <w:color w:val="000000"/>
                <w:szCs w:val="22"/>
                <w:lang w:val="sv-SE"/>
              </w:rPr>
              <w:t>&lt; 10 x 10</w:t>
            </w:r>
            <w:r w:rsidRPr="000E7AE9">
              <w:rPr>
                <w:color w:val="000000"/>
                <w:szCs w:val="22"/>
                <w:vertAlign w:val="superscript"/>
                <w:lang w:val="sv-SE"/>
              </w:rPr>
              <w:t>9</w:t>
            </w:r>
            <w:r w:rsidRPr="000E7AE9">
              <w:rPr>
                <w:color w:val="000000"/>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04C4087F"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Kontrollera om cytopenin är relaterad till leukemi (märgaspirat eller biopsi).</w:t>
            </w:r>
          </w:p>
          <w:p w14:paraId="6F869081"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Om cytopenin inte är leukemirelaterad, sänk Glivec-dosen till 400 mg.</w:t>
            </w:r>
          </w:p>
          <w:p w14:paraId="186290B0"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3.</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Om cytopenin kvarstår i 2 veckor, minska ytterligare till 300 mg.</w:t>
            </w:r>
          </w:p>
          <w:p w14:paraId="1855721A" w14:textId="77777777" w:rsidR="003B175C" w:rsidRPr="000E7AE9" w:rsidRDefault="009039A5" w:rsidP="00463647">
            <w:pPr>
              <w:pStyle w:val="EndnoteText"/>
              <w:widowControl w:val="0"/>
              <w:tabs>
                <w:tab w:val="clear" w:pos="567"/>
              </w:tabs>
              <w:ind w:left="469" w:hanging="469"/>
              <w:rPr>
                <w:color w:val="000000"/>
                <w:szCs w:val="22"/>
                <w:lang w:val="sv-SE"/>
              </w:rPr>
            </w:pPr>
            <w:r>
              <w:rPr>
                <w:color w:val="000000"/>
                <w:szCs w:val="22"/>
                <w:lang w:val="sv-SE"/>
              </w:rPr>
              <w:t>4.</w:t>
            </w:r>
            <w:r>
              <w:rPr>
                <w:color w:val="000000"/>
                <w:szCs w:val="22"/>
                <w:lang w:val="sv-SE"/>
              </w:rPr>
              <w:tab/>
            </w:r>
            <w:r w:rsidR="003B175C" w:rsidRPr="000E7AE9">
              <w:rPr>
                <w:color w:val="000000"/>
                <w:szCs w:val="22"/>
                <w:lang w:val="sv-SE"/>
              </w:rPr>
              <w:t xml:space="preserve">Om cytopenin kvarstår i 4 veckor och fortfarande inte har samband med leukemin, avbryt Glivec-behandlingen tills dess ANC </w:t>
            </w:r>
            <w:r w:rsidR="003B175C" w:rsidRPr="000E7AE9">
              <w:rPr>
                <w:color w:val="000000"/>
                <w:szCs w:val="22"/>
                <w:lang w:val="sv-SE"/>
              </w:rPr>
              <w:sym w:font="Symbol" w:char="F0B3"/>
            </w:r>
            <w:r w:rsidR="003B175C" w:rsidRPr="000E7AE9">
              <w:rPr>
                <w:color w:val="000000"/>
                <w:szCs w:val="22"/>
                <w:lang w:val="sv-SE"/>
              </w:rPr>
              <w:t> 1 x 10</w:t>
            </w:r>
            <w:r w:rsidR="003B175C" w:rsidRPr="000E7AE9">
              <w:rPr>
                <w:color w:val="000000"/>
                <w:szCs w:val="22"/>
                <w:vertAlign w:val="superscript"/>
                <w:lang w:val="sv-SE"/>
              </w:rPr>
              <w:t>9</w:t>
            </w:r>
            <w:r w:rsidR="003B175C" w:rsidRPr="000E7AE9">
              <w:rPr>
                <w:color w:val="000000"/>
                <w:szCs w:val="22"/>
                <w:lang w:val="sv-SE"/>
              </w:rPr>
              <w:t xml:space="preserve">/l och trombocyter </w:t>
            </w:r>
            <w:r w:rsidR="003B175C" w:rsidRPr="000E7AE9">
              <w:rPr>
                <w:color w:val="000000"/>
                <w:szCs w:val="22"/>
                <w:lang w:val="sv-SE"/>
              </w:rPr>
              <w:sym w:font="Symbol" w:char="F0B3"/>
            </w:r>
            <w:r w:rsidR="003B175C" w:rsidRPr="000E7AE9">
              <w:rPr>
                <w:color w:val="000000"/>
                <w:szCs w:val="22"/>
                <w:lang w:val="sv-SE"/>
              </w:rPr>
              <w:t> 20 x 10</w:t>
            </w:r>
            <w:r w:rsidR="003B175C" w:rsidRPr="000E7AE9">
              <w:rPr>
                <w:color w:val="000000"/>
                <w:szCs w:val="22"/>
                <w:vertAlign w:val="superscript"/>
                <w:lang w:val="sv-SE"/>
              </w:rPr>
              <w:t>9</w:t>
            </w:r>
            <w:r w:rsidR="003B175C" w:rsidRPr="000E7AE9">
              <w:rPr>
                <w:color w:val="000000"/>
                <w:szCs w:val="22"/>
                <w:lang w:val="sv-SE"/>
              </w:rPr>
              <w:t>/l, och återuppta sedan behandlingen med 300 mg.</w:t>
            </w:r>
          </w:p>
        </w:tc>
      </w:tr>
      <w:tr w:rsidR="003B175C" w:rsidRPr="00644A2E" w14:paraId="044DEECC" w14:textId="77777777" w:rsidTr="00DF06CD">
        <w:trPr>
          <w:cantSplit/>
        </w:trPr>
        <w:tc>
          <w:tcPr>
            <w:tcW w:w="2376" w:type="dxa"/>
            <w:tcBorders>
              <w:top w:val="single" w:sz="4" w:space="0" w:color="auto"/>
              <w:left w:val="single" w:sz="4" w:space="0" w:color="auto"/>
              <w:bottom w:val="single" w:sz="4" w:space="0" w:color="auto"/>
              <w:right w:val="single" w:sz="4" w:space="0" w:color="auto"/>
            </w:tcBorders>
          </w:tcPr>
          <w:p w14:paraId="2743EFAC" w14:textId="77777777" w:rsidR="003B175C" w:rsidRPr="000E7AE9" w:rsidRDefault="003B175C" w:rsidP="00463647">
            <w:pPr>
              <w:pStyle w:val="EndnoteText"/>
              <w:widowControl w:val="0"/>
              <w:tabs>
                <w:tab w:val="clear" w:pos="567"/>
              </w:tabs>
              <w:rPr>
                <w:color w:val="000000"/>
                <w:szCs w:val="22"/>
                <w:lang w:val="sv-SE"/>
              </w:rPr>
            </w:pPr>
            <w:r w:rsidRPr="000E7AE9">
              <w:rPr>
                <w:color w:val="000000"/>
                <w:szCs w:val="22"/>
                <w:lang w:val="sv-SE"/>
              </w:rPr>
              <w:lastRenderedPageBreak/>
              <w:t>KML i accelererad fas och blastkris hos barn (startdos 340 mg/m</w:t>
            </w:r>
            <w:r w:rsidRPr="000E7AE9">
              <w:rPr>
                <w:color w:val="000000"/>
                <w:szCs w:val="22"/>
                <w:vertAlign w:val="superscript"/>
                <w:lang w:val="sv-SE"/>
              </w:rPr>
              <w:t>2</w:t>
            </w:r>
            <w:r w:rsidRPr="000E7AE9">
              <w:rPr>
                <w:color w:val="000000"/>
                <w:szCs w:val="22"/>
                <w:lang w:val="sv-SE"/>
              </w:rPr>
              <w:t>)</w:t>
            </w:r>
          </w:p>
        </w:tc>
        <w:tc>
          <w:tcPr>
            <w:tcW w:w="2400" w:type="dxa"/>
            <w:tcBorders>
              <w:top w:val="single" w:sz="4" w:space="0" w:color="auto"/>
              <w:left w:val="single" w:sz="4" w:space="0" w:color="auto"/>
              <w:bottom w:val="single" w:sz="4" w:space="0" w:color="auto"/>
              <w:right w:val="single" w:sz="4" w:space="0" w:color="auto"/>
            </w:tcBorders>
          </w:tcPr>
          <w:p w14:paraId="744E6469" w14:textId="77777777" w:rsidR="003B175C" w:rsidRPr="000E7AE9" w:rsidRDefault="003B175C"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vertAlign w:val="superscript"/>
                <w:lang w:val="sv-SE"/>
              </w:rPr>
              <w:t>a</w:t>
            </w:r>
            <w:r w:rsidRPr="000E7AE9">
              <w:rPr>
                <w:rFonts w:ascii="Times New Roman" w:hAnsi="Times New Roman"/>
                <w:color w:val="000000"/>
                <w:sz w:val="22"/>
                <w:szCs w:val="22"/>
                <w:lang w:val="sv-SE"/>
              </w:rPr>
              <w:t>ANC&lt; 0,5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7E6F028E" w14:textId="77777777" w:rsidR="003B175C" w:rsidRPr="000E7AE9" w:rsidRDefault="003B175C"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 trombocyter</w:t>
            </w:r>
          </w:p>
          <w:p w14:paraId="03C20FE1" w14:textId="77777777" w:rsidR="003B175C" w:rsidRPr="000E7AE9" w:rsidDel="00F04545" w:rsidRDefault="003B175C" w:rsidP="00463647">
            <w:pPr>
              <w:pStyle w:val="Table"/>
              <w:keepNext w:val="0"/>
              <w:keepLines w:val="0"/>
              <w:widowControl w:val="0"/>
              <w:spacing w:before="0" w:after="0"/>
              <w:rPr>
                <w:rFonts w:ascii="Times New Roman" w:hAnsi="Times New Roman"/>
                <w:color w:val="000000"/>
                <w:sz w:val="22"/>
                <w:szCs w:val="22"/>
                <w:vertAlign w:val="superscript"/>
                <w:lang w:val="sv-SE"/>
              </w:rPr>
            </w:pPr>
            <w:r w:rsidRPr="000E7AE9">
              <w:rPr>
                <w:rFonts w:ascii="Times New Roman" w:hAnsi="Times New Roman"/>
                <w:color w:val="000000"/>
                <w:sz w:val="22"/>
                <w:szCs w:val="22"/>
                <w:lang w:val="sv-SE"/>
              </w:rPr>
              <w:t>&lt;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46E7DBD1"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Kontrollera om cytopenin är relaterad till leukemi (märgaspirat eller biopsi).</w:t>
            </w:r>
          </w:p>
          <w:p w14:paraId="47E8B9CA"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Om cytopenin inte är leukemirelaterad, sänk Glivec-dosen till 260 mg.</w:t>
            </w:r>
          </w:p>
          <w:p w14:paraId="462C648E"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3.</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Om cytopenin kvarstår i 2 veckor, minska ytterligare till 200 mg.</w:t>
            </w:r>
          </w:p>
          <w:p w14:paraId="301A8430"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4.</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 xml:space="preserve">Om cytopenin kvarstår i 4 veckor och fortfarande inte har samband med leukemin, avbryt Glivec-behandlingen tills dess ANC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1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 xml:space="preserve">/l och trombocyter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20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/l, och återuppta sedan behandlingen med 200 mg.</w:t>
            </w:r>
          </w:p>
        </w:tc>
      </w:tr>
      <w:tr w:rsidR="003B175C" w:rsidRPr="00644A2E" w14:paraId="47246C39" w14:textId="77777777" w:rsidTr="00DF06CD">
        <w:trPr>
          <w:cantSplit/>
        </w:trPr>
        <w:tc>
          <w:tcPr>
            <w:tcW w:w="2376" w:type="dxa"/>
            <w:tcBorders>
              <w:top w:val="single" w:sz="4" w:space="0" w:color="auto"/>
              <w:left w:val="single" w:sz="4" w:space="0" w:color="auto"/>
              <w:bottom w:val="single" w:sz="4" w:space="0" w:color="auto"/>
              <w:right w:val="single" w:sz="4" w:space="0" w:color="auto"/>
            </w:tcBorders>
          </w:tcPr>
          <w:p w14:paraId="3CCEB4EB" w14:textId="77777777" w:rsidR="003B175C" w:rsidRPr="000E7AE9" w:rsidRDefault="003B175C" w:rsidP="00463647">
            <w:pPr>
              <w:pStyle w:val="EndnoteText"/>
              <w:widowControl w:val="0"/>
              <w:tabs>
                <w:tab w:val="clear" w:pos="567"/>
              </w:tabs>
              <w:rPr>
                <w:color w:val="000000"/>
                <w:szCs w:val="22"/>
                <w:lang w:val="sv-SE"/>
              </w:rPr>
            </w:pPr>
            <w:r w:rsidRPr="000E7AE9">
              <w:rPr>
                <w:color w:val="000000"/>
                <w:szCs w:val="22"/>
                <w:lang w:val="sv-SE"/>
              </w:rPr>
              <w:t>DFSP</w:t>
            </w:r>
          </w:p>
          <w:p w14:paraId="60FF66AC" w14:textId="77777777" w:rsidR="003B175C" w:rsidRPr="000E7AE9" w:rsidRDefault="003B175C" w:rsidP="00463647">
            <w:pPr>
              <w:pStyle w:val="EndnoteText"/>
              <w:widowControl w:val="0"/>
              <w:tabs>
                <w:tab w:val="clear" w:pos="567"/>
              </w:tabs>
              <w:rPr>
                <w:color w:val="000000"/>
                <w:szCs w:val="22"/>
                <w:lang w:val="sv-SE"/>
              </w:rPr>
            </w:pPr>
            <w:r w:rsidRPr="000E7AE9">
              <w:rPr>
                <w:color w:val="000000"/>
                <w:szCs w:val="22"/>
                <w:lang w:val="sv-SE"/>
              </w:rPr>
              <w:t>(vid 800 mg)</w:t>
            </w:r>
          </w:p>
        </w:tc>
        <w:tc>
          <w:tcPr>
            <w:tcW w:w="2400" w:type="dxa"/>
            <w:tcBorders>
              <w:top w:val="single" w:sz="4" w:space="0" w:color="auto"/>
              <w:left w:val="single" w:sz="4" w:space="0" w:color="auto"/>
              <w:bottom w:val="single" w:sz="4" w:space="0" w:color="auto"/>
              <w:right w:val="single" w:sz="4" w:space="0" w:color="auto"/>
            </w:tcBorders>
          </w:tcPr>
          <w:p w14:paraId="4112C361" w14:textId="77777777" w:rsidR="003B175C" w:rsidRPr="000E7AE9" w:rsidDel="000C345A" w:rsidRDefault="003B175C" w:rsidP="00463647">
            <w:pPr>
              <w:pStyle w:val="Table"/>
              <w:keepNext w:val="0"/>
              <w:keepLines w:val="0"/>
              <w:widowControl w:val="0"/>
              <w:spacing w:before="0" w:after="0"/>
              <w:rPr>
                <w:rFonts w:ascii="Times New Roman" w:hAnsi="Times New Roman"/>
                <w:color w:val="000000"/>
                <w:sz w:val="22"/>
                <w:szCs w:val="22"/>
                <w:vertAlign w:val="superscript"/>
                <w:lang w:val="sv-SE"/>
              </w:rPr>
            </w:pPr>
            <w:r w:rsidRPr="000E7AE9">
              <w:rPr>
                <w:rFonts w:ascii="Times New Roman" w:hAnsi="Times New Roman"/>
                <w:color w:val="000000"/>
                <w:sz w:val="22"/>
                <w:szCs w:val="22"/>
                <w:lang w:val="sv-SE"/>
              </w:rPr>
              <w:t>ANC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och/eller trombocyter &lt; 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07DE337D"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 xml:space="preserve">Sätt ut Glivec tills dess ANC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1,5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 xml:space="preserve">/l och trombocyter </w:t>
            </w:r>
            <w:r w:rsidR="003B175C" w:rsidRPr="000E7AE9">
              <w:rPr>
                <w:rFonts w:ascii="Times New Roman" w:hAnsi="Times New Roman"/>
                <w:color w:val="000000"/>
                <w:sz w:val="22"/>
                <w:szCs w:val="22"/>
                <w:lang w:val="sv-SE"/>
              </w:rPr>
              <w:sym w:font="Symbol" w:char="F0B3"/>
            </w:r>
            <w:r w:rsidR="003B175C" w:rsidRPr="000E7AE9">
              <w:rPr>
                <w:rFonts w:ascii="Times New Roman" w:hAnsi="Times New Roman"/>
                <w:color w:val="000000"/>
                <w:sz w:val="22"/>
                <w:szCs w:val="22"/>
                <w:lang w:val="sv-SE"/>
              </w:rPr>
              <w:t> 75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/l.</w:t>
            </w:r>
          </w:p>
          <w:p w14:paraId="7269EE51"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Återuppta behandling med 600 mg Glivec.</w:t>
            </w:r>
          </w:p>
          <w:p w14:paraId="64E88432" w14:textId="77777777" w:rsidR="003B175C"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3.</w:t>
            </w:r>
            <w:r>
              <w:rPr>
                <w:rFonts w:ascii="Times New Roman" w:hAnsi="Times New Roman"/>
                <w:color w:val="000000"/>
                <w:sz w:val="22"/>
                <w:szCs w:val="22"/>
                <w:lang w:val="sv-SE"/>
              </w:rPr>
              <w:tab/>
            </w:r>
            <w:r w:rsidR="003B175C" w:rsidRPr="000E7AE9">
              <w:rPr>
                <w:rFonts w:ascii="Times New Roman" w:hAnsi="Times New Roman"/>
                <w:color w:val="000000"/>
                <w:sz w:val="22"/>
                <w:szCs w:val="22"/>
                <w:lang w:val="sv-SE"/>
              </w:rPr>
              <w:t>Om ANC återgår till &lt; 1,0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/l och/eller trombocyter &lt; 50 x 10</w:t>
            </w:r>
            <w:r w:rsidR="003B175C" w:rsidRPr="000E7AE9">
              <w:rPr>
                <w:rFonts w:ascii="Times New Roman" w:hAnsi="Times New Roman"/>
                <w:color w:val="000000"/>
                <w:sz w:val="22"/>
                <w:szCs w:val="22"/>
                <w:vertAlign w:val="superscript"/>
                <w:lang w:val="sv-SE"/>
              </w:rPr>
              <w:t>9</w:t>
            </w:r>
            <w:r w:rsidR="003B175C" w:rsidRPr="000E7AE9">
              <w:rPr>
                <w:rFonts w:ascii="Times New Roman" w:hAnsi="Times New Roman"/>
                <w:color w:val="000000"/>
                <w:sz w:val="22"/>
                <w:szCs w:val="22"/>
                <w:lang w:val="sv-SE"/>
              </w:rPr>
              <w:t>/l, upprepa steg 1 och återuppta Glivec i reducerad dos om 400 mg.</w:t>
            </w:r>
          </w:p>
        </w:tc>
      </w:tr>
      <w:tr w:rsidR="003B175C" w:rsidRPr="00644A2E" w14:paraId="7175D3A4" w14:textId="77777777" w:rsidTr="00DF06CD">
        <w:trPr>
          <w:cantSplit/>
        </w:trPr>
        <w:tc>
          <w:tcPr>
            <w:tcW w:w="9180" w:type="dxa"/>
            <w:gridSpan w:val="3"/>
            <w:tcBorders>
              <w:top w:val="single" w:sz="4" w:space="0" w:color="auto"/>
              <w:left w:val="single" w:sz="4" w:space="0" w:color="auto"/>
              <w:right w:val="single" w:sz="4" w:space="0" w:color="auto"/>
            </w:tcBorders>
          </w:tcPr>
          <w:p w14:paraId="5B589C6C" w14:textId="77777777" w:rsidR="003B175C" w:rsidRPr="000E7AE9" w:rsidRDefault="003B175C" w:rsidP="00463647">
            <w:pPr>
              <w:pStyle w:val="EndnoteText"/>
              <w:widowControl w:val="0"/>
              <w:tabs>
                <w:tab w:val="clear" w:pos="567"/>
              </w:tabs>
              <w:ind w:left="469" w:hanging="469"/>
              <w:rPr>
                <w:color w:val="000000"/>
                <w:szCs w:val="22"/>
                <w:lang w:val="sv-SE"/>
              </w:rPr>
            </w:pPr>
            <w:r w:rsidRPr="000E7AE9">
              <w:rPr>
                <w:color w:val="000000"/>
                <w:szCs w:val="22"/>
                <w:lang w:val="sv-SE"/>
              </w:rPr>
              <w:t>ANC-värde = absolut antal neutrofiler</w:t>
            </w:r>
          </w:p>
        </w:tc>
      </w:tr>
      <w:tr w:rsidR="003B175C" w:rsidRPr="00F60A89" w14:paraId="0A548356" w14:textId="77777777" w:rsidTr="00DF06CD">
        <w:trPr>
          <w:cantSplit/>
        </w:trPr>
        <w:tc>
          <w:tcPr>
            <w:tcW w:w="9180" w:type="dxa"/>
            <w:gridSpan w:val="3"/>
            <w:tcBorders>
              <w:left w:val="single" w:sz="4" w:space="0" w:color="auto"/>
              <w:bottom w:val="single" w:sz="4" w:space="0" w:color="auto"/>
              <w:right w:val="single" w:sz="4" w:space="0" w:color="auto"/>
            </w:tcBorders>
          </w:tcPr>
          <w:p w14:paraId="504536CF" w14:textId="77777777" w:rsidR="003B175C" w:rsidRPr="000E7AE9" w:rsidRDefault="003B175C" w:rsidP="00463647">
            <w:pPr>
              <w:pStyle w:val="EndnoteText"/>
              <w:widowControl w:val="0"/>
              <w:tabs>
                <w:tab w:val="clear" w:pos="567"/>
              </w:tabs>
              <w:ind w:left="469" w:hanging="469"/>
              <w:rPr>
                <w:color w:val="000000"/>
                <w:szCs w:val="22"/>
                <w:lang w:val="sv-SE"/>
              </w:rPr>
            </w:pPr>
            <w:r w:rsidRPr="000E7AE9">
              <w:rPr>
                <w:color w:val="000000"/>
                <w:szCs w:val="22"/>
                <w:vertAlign w:val="superscript"/>
                <w:lang w:val="sv-SE"/>
              </w:rPr>
              <w:t>a</w:t>
            </w:r>
            <w:r w:rsidRPr="000E7AE9">
              <w:rPr>
                <w:color w:val="000000"/>
                <w:szCs w:val="22"/>
                <w:lang w:val="sv-SE"/>
              </w:rPr>
              <w:t>uppstår efter minst 1 månads behandling</w:t>
            </w:r>
          </w:p>
        </w:tc>
      </w:tr>
    </w:tbl>
    <w:p w14:paraId="673F2F70" w14:textId="77777777" w:rsidR="00620ABA" w:rsidRPr="000E7AE9" w:rsidRDefault="00620ABA" w:rsidP="00463647">
      <w:pPr>
        <w:pStyle w:val="EndnoteText"/>
        <w:widowControl w:val="0"/>
        <w:tabs>
          <w:tab w:val="clear" w:pos="567"/>
        </w:tabs>
        <w:rPr>
          <w:color w:val="000000"/>
          <w:szCs w:val="22"/>
          <w:lang w:val="sv-SE"/>
        </w:rPr>
      </w:pPr>
    </w:p>
    <w:p w14:paraId="7E0BDA8A" w14:textId="77777777" w:rsidR="00813718" w:rsidRPr="003D4D46" w:rsidRDefault="00813718" w:rsidP="00463647">
      <w:pPr>
        <w:pStyle w:val="EndnoteText"/>
        <w:keepNext/>
        <w:widowControl w:val="0"/>
        <w:tabs>
          <w:tab w:val="clear" w:pos="567"/>
        </w:tabs>
        <w:rPr>
          <w:color w:val="000000"/>
          <w:szCs w:val="22"/>
          <w:u w:val="single"/>
          <w:lang w:val="sv-SE"/>
        </w:rPr>
      </w:pPr>
      <w:r w:rsidRPr="003D4D46">
        <w:rPr>
          <w:color w:val="000000"/>
          <w:szCs w:val="22"/>
          <w:u w:val="single"/>
          <w:lang w:val="sv-SE"/>
        </w:rPr>
        <w:t>Särskilda grupper</w:t>
      </w:r>
    </w:p>
    <w:p w14:paraId="27CBCDD4" w14:textId="77777777" w:rsidR="00620ABA" w:rsidRPr="000E7AE9" w:rsidRDefault="00620ABA" w:rsidP="00463647">
      <w:pPr>
        <w:pStyle w:val="EndnoteText"/>
        <w:widowControl w:val="0"/>
        <w:tabs>
          <w:tab w:val="clear" w:pos="567"/>
        </w:tabs>
        <w:rPr>
          <w:color w:val="000000"/>
          <w:szCs w:val="22"/>
          <w:lang w:val="sv-SE"/>
        </w:rPr>
      </w:pPr>
      <w:r w:rsidRPr="00246A22">
        <w:rPr>
          <w:i/>
          <w:color w:val="000000"/>
          <w:szCs w:val="22"/>
          <w:lang w:val="sv-SE"/>
        </w:rPr>
        <w:t>Barn:</w:t>
      </w:r>
      <w:r w:rsidRPr="000E7AE9">
        <w:rPr>
          <w:color w:val="000000"/>
          <w:szCs w:val="22"/>
          <w:lang w:val="sv-SE"/>
        </w:rPr>
        <w:t xml:space="preserve"> Det finns ingen erfarenhet från barn under 2 år med KML </w:t>
      </w:r>
      <w:r w:rsidR="00456ABA">
        <w:rPr>
          <w:color w:val="000000"/>
          <w:szCs w:val="22"/>
          <w:lang w:val="sv-SE"/>
        </w:rPr>
        <w:t>och</w:t>
      </w:r>
      <w:r w:rsidR="006F0B2D">
        <w:rPr>
          <w:color w:val="000000"/>
          <w:szCs w:val="22"/>
          <w:lang w:val="sv-SE"/>
        </w:rPr>
        <w:t xml:space="preserve"> under 1 års ålder</w:t>
      </w:r>
      <w:r w:rsidR="00456ABA">
        <w:rPr>
          <w:color w:val="000000"/>
          <w:szCs w:val="22"/>
          <w:lang w:val="sv-SE"/>
        </w:rPr>
        <w:t xml:space="preserve"> med Ph+ ALL </w:t>
      </w:r>
      <w:r w:rsidRPr="000E7AE9">
        <w:rPr>
          <w:color w:val="000000"/>
          <w:szCs w:val="22"/>
          <w:lang w:val="sv-SE"/>
        </w:rPr>
        <w:t>(se avsnitt 5.1). Det finns</w:t>
      </w:r>
      <w:r w:rsidR="00C476F2" w:rsidRPr="000E7AE9">
        <w:rPr>
          <w:color w:val="000000"/>
          <w:szCs w:val="22"/>
          <w:lang w:val="sv-SE"/>
        </w:rPr>
        <w:t xml:space="preserve"> mycket begränsad erfarenhet från barn med </w:t>
      </w:r>
      <w:r w:rsidR="0046651F" w:rsidRPr="000E7AE9">
        <w:rPr>
          <w:color w:val="000000"/>
          <w:szCs w:val="22"/>
          <w:lang w:val="sv-SE"/>
        </w:rPr>
        <w:t>MDS/MPD</w:t>
      </w:r>
      <w:r w:rsidR="001F18B5">
        <w:rPr>
          <w:color w:val="000000"/>
          <w:szCs w:val="22"/>
          <w:lang w:val="sv-SE"/>
        </w:rPr>
        <w:t>,</w:t>
      </w:r>
      <w:r w:rsidR="00C476F2" w:rsidRPr="000E7AE9">
        <w:rPr>
          <w:color w:val="000000"/>
          <w:szCs w:val="22"/>
          <w:lang w:val="sv-SE"/>
        </w:rPr>
        <w:t xml:space="preserve"> DFSP</w:t>
      </w:r>
      <w:r w:rsidR="001F18B5">
        <w:rPr>
          <w:color w:val="000000"/>
          <w:szCs w:val="22"/>
          <w:lang w:val="sv-SE"/>
        </w:rPr>
        <w:t>,</w:t>
      </w:r>
      <w:r w:rsidRPr="000E7AE9">
        <w:rPr>
          <w:color w:val="000000"/>
          <w:szCs w:val="22"/>
          <w:lang w:val="sv-SE"/>
        </w:rPr>
        <w:t xml:space="preserve"> GIST</w:t>
      </w:r>
      <w:r w:rsidR="003B175C" w:rsidRPr="000E7AE9">
        <w:rPr>
          <w:color w:val="000000"/>
          <w:szCs w:val="22"/>
          <w:lang w:val="sv-SE"/>
        </w:rPr>
        <w:t xml:space="preserve"> och HES/CEL</w:t>
      </w:r>
      <w:r w:rsidRPr="000E7AE9">
        <w:rPr>
          <w:color w:val="000000"/>
          <w:szCs w:val="22"/>
          <w:lang w:val="sv-SE"/>
        </w:rPr>
        <w:t>.</w:t>
      </w:r>
    </w:p>
    <w:p w14:paraId="50A414DB" w14:textId="77777777" w:rsidR="00620ABA" w:rsidRDefault="00620ABA" w:rsidP="00463647">
      <w:pPr>
        <w:pStyle w:val="EndnoteText"/>
        <w:widowControl w:val="0"/>
        <w:tabs>
          <w:tab w:val="clear" w:pos="567"/>
        </w:tabs>
        <w:rPr>
          <w:color w:val="000000"/>
          <w:szCs w:val="22"/>
          <w:lang w:val="sv-SE"/>
        </w:rPr>
      </w:pPr>
    </w:p>
    <w:p w14:paraId="41C10367" w14:textId="77777777" w:rsidR="001F18B5" w:rsidRDefault="001F18B5" w:rsidP="00463647">
      <w:pPr>
        <w:pStyle w:val="EndnoteText"/>
        <w:widowControl w:val="0"/>
        <w:tabs>
          <w:tab w:val="clear" w:pos="567"/>
        </w:tabs>
        <w:rPr>
          <w:color w:val="000000"/>
          <w:szCs w:val="22"/>
          <w:lang w:val="sv-SE"/>
        </w:rPr>
      </w:pPr>
      <w:r>
        <w:rPr>
          <w:color w:val="000000"/>
          <w:szCs w:val="22"/>
          <w:lang w:val="sv-SE"/>
        </w:rPr>
        <w:t xml:space="preserve">Säkerhet och effekt </w:t>
      </w:r>
      <w:r w:rsidR="00C27B3A">
        <w:rPr>
          <w:color w:val="000000"/>
          <w:szCs w:val="22"/>
          <w:lang w:val="sv-SE"/>
        </w:rPr>
        <w:t>för</w:t>
      </w:r>
      <w:r>
        <w:rPr>
          <w:color w:val="000000"/>
          <w:szCs w:val="22"/>
          <w:lang w:val="sv-SE"/>
        </w:rPr>
        <w:t xml:space="preserve"> imatinib </w:t>
      </w:r>
      <w:r w:rsidR="00C27B3A">
        <w:rPr>
          <w:color w:val="000000"/>
          <w:szCs w:val="22"/>
          <w:lang w:val="sv-SE"/>
        </w:rPr>
        <w:t>för</w:t>
      </w:r>
      <w:r>
        <w:rPr>
          <w:color w:val="000000"/>
          <w:szCs w:val="22"/>
          <w:lang w:val="sv-SE"/>
        </w:rPr>
        <w:t xml:space="preserve"> barn med MDS/MPD, DFSP, GIST och HES/CEL yngre än 18</w:t>
      </w:r>
      <w:r w:rsidR="00983392">
        <w:rPr>
          <w:color w:val="000000"/>
          <w:szCs w:val="22"/>
          <w:lang w:val="sv-SE"/>
        </w:rPr>
        <w:t> </w:t>
      </w:r>
      <w:r>
        <w:rPr>
          <w:color w:val="000000"/>
          <w:szCs w:val="22"/>
          <w:lang w:val="sv-SE"/>
        </w:rPr>
        <w:t xml:space="preserve">år har inte fastställts i kliniska studier. </w:t>
      </w:r>
      <w:r w:rsidR="00C27B3A">
        <w:rPr>
          <w:color w:val="000000"/>
          <w:szCs w:val="22"/>
          <w:lang w:val="sv-SE"/>
        </w:rPr>
        <w:t>T</w:t>
      </w:r>
      <w:r>
        <w:rPr>
          <w:color w:val="000000"/>
          <w:szCs w:val="22"/>
          <w:lang w:val="sv-SE"/>
        </w:rPr>
        <w:t xml:space="preserve">illgänglig publicerad </w:t>
      </w:r>
      <w:r w:rsidR="00C27B3A">
        <w:rPr>
          <w:color w:val="000000"/>
          <w:szCs w:val="22"/>
          <w:lang w:val="sv-SE"/>
        </w:rPr>
        <w:t>information</w:t>
      </w:r>
      <w:r>
        <w:rPr>
          <w:color w:val="000000"/>
          <w:szCs w:val="22"/>
          <w:lang w:val="sv-SE"/>
        </w:rPr>
        <w:t xml:space="preserve"> summeras i </w:t>
      </w:r>
      <w:r w:rsidR="005D1320">
        <w:rPr>
          <w:color w:val="000000"/>
          <w:szCs w:val="22"/>
          <w:lang w:val="sv-SE"/>
        </w:rPr>
        <w:t>avsnitt</w:t>
      </w:r>
      <w:r w:rsidR="006632CC">
        <w:rPr>
          <w:color w:val="000000"/>
          <w:szCs w:val="22"/>
          <w:lang w:val="sv-SE"/>
        </w:rPr>
        <w:t xml:space="preserve"> 5.1 </w:t>
      </w:r>
      <w:r>
        <w:rPr>
          <w:color w:val="000000"/>
          <w:szCs w:val="22"/>
          <w:lang w:val="sv-SE"/>
        </w:rPr>
        <w:t xml:space="preserve">men </w:t>
      </w:r>
      <w:r w:rsidR="00C27B3A">
        <w:rPr>
          <w:color w:val="000000"/>
          <w:szCs w:val="22"/>
          <w:lang w:val="sv-SE"/>
        </w:rPr>
        <w:t>ingen doseringsrekommendation kan fastställas</w:t>
      </w:r>
      <w:r>
        <w:rPr>
          <w:color w:val="000000"/>
          <w:szCs w:val="22"/>
          <w:lang w:val="sv-SE"/>
        </w:rPr>
        <w:t>.</w:t>
      </w:r>
    </w:p>
    <w:p w14:paraId="24AC6B33" w14:textId="77777777" w:rsidR="001F18B5" w:rsidRPr="000E7AE9" w:rsidRDefault="001F18B5" w:rsidP="00463647">
      <w:pPr>
        <w:pStyle w:val="EndnoteText"/>
        <w:widowControl w:val="0"/>
        <w:tabs>
          <w:tab w:val="clear" w:pos="567"/>
        </w:tabs>
        <w:rPr>
          <w:color w:val="000000"/>
          <w:szCs w:val="22"/>
          <w:lang w:val="sv-SE"/>
        </w:rPr>
      </w:pPr>
    </w:p>
    <w:p w14:paraId="059942C5" w14:textId="77777777" w:rsidR="00620ABA" w:rsidRPr="000E7AE9" w:rsidRDefault="00620ABA" w:rsidP="00463647">
      <w:pPr>
        <w:pStyle w:val="EndnoteText"/>
        <w:widowControl w:val="0"/>
        <w:tabs>
          <w:tab w:val="clear" w:pos="567"/>
        </w:tabs>
        <w:rPr>
          <w:color w:val="000000"/>
          <w:szCs w:val="22"/>
          <w:lang w:val="sv-SE"/>
        </w:rPr>
      </w:pPr>
      <w:r w:rsidRPr="00246A22">
        <w:rPr>
          <w:i/>
          <w:color w:val="000000"/>
          <w:szCs w:val="22"/>
          <w:lang w:val="sv-SE"/>
        </w:rPr>
        <w:t>Leverinsufficiens:</w:t>
      </w:r>
      <w:r w:rsidRPr="000E7AE9">
        <w:rPr>
          <w:color w:val="000000"/>
          <w:szCs w:val="22"/>
          <w:lang w:val="sv-SE"/>
        </w:rPr>
        <w:t xml:space="preserve"> Imatinib metaboliseras huvudsakligen i levern. Patienter med mild, måttlig eller svår leverfunktionsrubbning skall få lägsta rekommenderade dos på 400 mg dagligen. Dosen kan reduceras om </w:t>
      </w:r>
      <w:r w:rsidR="003B175C" w:rsidRPr="000E7AE9">
        <w:rPr>
          <w:color w:val="000000"/>
          <w:szCs w:val="22"/>
          <w:lang w:val="sv-SE"/>
        </w:rPr>
        <w:t>den inte tolereras</w:t>
      </w:r>
      <w:r w:rsidRPr="000E7AE9">
        <w:rPr>
          <w:color w:val="000000"/>
          <w:szCs w:val="22"/>
          <w:lang w:val="sv-SE"/>
        </w:rPr>
        <w:t xml:space="preserve"> (se avsnitten 4.4, 4.8 och 5.2).</w:t>
      </w:r>
    </w:p>
    <w:p w14:paraId="63A33EBB" w14:textId="77777777" w:rsidR="00620ABA" w:rsidRPr="000E7AE9" w:rsidRDefault="00620ABA" w:rsidP="00463647">
      <w:pPr>
        <w:pStyle w:val="EndnoteText"/>
        <w:widowControl w:val="0"/>
        <w:tabs>
          <w:tab w:val="clear" w:pos="567"/>
        </w:tabs>
        <w:rPr>
          <w:color w:val="000000"/>
          <w:szCs w:val="22"/>
          <w:lang w:val="sv-SE"/>
        </w:rPr>
      </w:pPr>
    </w:p>
    <w:p w14:paraId="08AA6A7F" w14:textId="77777777" w:rsidR="00620ABA" w:rsidRPr="000E7AE9" w:rsidRDefault="00620ABA" w:rsidP="00463647">
      <w:pPr>
        <w:pStyle w:val="EndnoteText"/>
        <w:keepNext/>
        <w:keepLines/>
        <w:widowControl w:val="0"/>
        <w:tabs>
          <w:tab w:val="clear" w:pos="567"/>
        </w:tabs>
        <w:rPr>
          <w:bCs/>
          <w:color w:val="000000"/>
          <w:szCs w:val="22"/>
          <w:lang w:val="sv-SE"/>
        </w:rPr>
      </w:pPr>
      <w:r w:rsidRPr="000E7AE9">
        <w:rPr>
          <w:bCs/>
          <w:color w:val="000000"/>
          <w:szCs w:val="22"/>
          <w:lang w:val="sv-SE"/>
        </w:rPr>
        <w:t>Klassificering av leverfunktionsrubbning:</w:t>
      </w:r>
    </w:p>
    <w:p w14:paraId="0CC44675" w14:textId="77777777" w:rsidR="00620ABA" w:rsidRPr="000E7AE9" w:rsidRDefault="00620ABA" w:rsidP="00463647">
      <w:pPr>
        <w:pStyle w:val="EndnoteText"/>
        <w:keepNext/>
        <w:keepLines/>
        <w:widowControl w:val="0"/>
        <w:tabs>
          <w:tab w:val="clear" w:pos="567"/>
        </w:tabs>
        <w:rPr>
          <w:color w:val="000000"/>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4"/>
        <w:gridCol w:w="5737"/>
      </w:tblGrid>
      <w:tr w:rsidR="00620ABA" w:rsidRPr="00C67B16" w14:paraId="0FB90F99" w14:textId="77777777" w:rsidTr="00DF06CD">
        <w:trPr>
          <w:cantSplit/>
        </w:trPr>
        <w:tc>
          <w:tcPr>
            <w:tcW w:w="3369" w:type="dxa"/>
            <w:tcBorders>
              <w:top w:val="single" w:sz="4" w:space="0" w:color="auto"/>
              <w:left w:val="single" w:sz="4" w:space="0" w:color="auto"/>
              <w:bottom w:val="single" w:sz="4" w:space="0" w:color="auto"/>
              <w:right w:val="single" w:sz="4" w:space="0" w:color="auto"/>
            </w:tcBorders>
          </w:tcPr>
          <w:p w14:paraId="60CFB272" w14:textId="77777777" w:rsidR="00620ABA" w:rsidRPr="00C67B16" w:rsidRDefault="00620ABA" w:rsidP="00463647">
            <w:pPr>
              <w:pStyle w:val="TextChar"/>
              <w:keepNext/>
              <w:keepLines/>
              <w:widowControl w:val="0"/>
              <w:spacing w:before="0"/>
              <w:jc w:val="left"/>
              <w:rPr>
                <w:color w:val="000000"/>
                <w:sz w:val="22"/>
                <w:szCs w:val="22"/>
                <w:lang w:val="sv-SE"/>
              </w:rPr>
            </w:pPr>
            <w:r w:rsidRPr="00C67B16">
              <w:rPr>
                <w:color w:val="000000"/>
                <w:sz w:val="22"/>
                <w:szCs w:val="22"/>
                <w:lang w:val="sv-SE"/>
              </w:rPr>
              <w:t>Leverfunktionsrubbning</w:t>
            </w:r>
          </w:p>
        </w:tc>
        <w:tc>
          <w:tcPr>
            <w:tcW w:w="5918" w:type="dxa"/>
            <w:tcBorders>
              <w:left w:val="single" w:sz="4" w:space="0" w:color="auto"/>
            </w:tcBorders>
          </w:tcPr>
          <w:p w14:paraId="1AFDA53F" w14:textId="77777777" w:rsidR="00620ABA" w:rsidRPr="00C67B16" w:rsidRDefault="00620ABA" w:rsidP="00463647">
            <w:pPr>
              <w:pStyle w:val="TextChar"/>
              <w:keepNext/>
              <w:keepLines/>
              <w:widowControl w:val="0"/>
              <w:spacing w:before="0"/>
              <w:jc w:val="left"/>
              <w:rPr>
                <w:color w:val="000000"/>
                <w:sz w:val="22"/>
                <w:szCs w:val="22"/>
                <w:lang w:val="sv-SE"/>
              </w:rPr>
            </w:pPr>
            <w:r w:rsidRPr="00C67B16">
              <w:rPr>
                <w:color w:val="000000"/>
                <w:sz w:val="22"/>
                <w:szCs w:val="22"/>
                <w:lang w:val="sv-SE"/>
              </w:rPr>
              <w:t>Leverfunktionstest</w:t>
            </w:r>
          </w:p>
        </w:tc>
      </w:tr>
      <w:tr w:rsidR="00620ABA" w:rsidRPr="00644A2E" w14:paraId="01C66337" w14:textId="77777777" w:rsidTr="00DF06CD">
        <w:trPr>
          <w:cantSplit/>
        </w:trPr>
        <w:tc>
          <w:tcPr>
            <w:tcW w:w="3369" w:type="dxa"/>
            <w:tcBorders>
              <w:top w:val="single" w:sz="4" w:space="0" w:color="auto"/>
            </w:tcBorders>
          </w:tcPr>
          <w:p w14:paraId="49980C6A" w14:textId="77777777" w:rsidR="00620ABA" w:rsidRPr="00C67B16" w:rsidRDefault="00620ABA" w:rsidP="00463647">
            <w:pPr>
              <w:pStyle w:val="TextChar"/>
              <w:keepNext/>
              <w:keepLines/>
              <w:widowControl w:val="0"/>
              <w:spacing w:before="0"/>
              <w:jc w:val="left"/>
              <w:rPr>
                <w:color w:val="000000"/>
                <w:sz w:val="22"/>
                <w:szCs w:val="22"/>
                <w:lang w:val="sv-SE"/>
              </w:rPr>
            </w:pPr>
            <w:r w:rsidRPr="00C67B16">
              <w:rPr>
                <w:color w:val="000000"/>
                <w:sz w:val="22"/>
                <w:szCs w:val="22"/>
                <w:lang w:val="sv-SE"/>
              </w:rPr>
              <w:t>Mild</w:t>
            </w:r>
          </w:p>
        </w:tc>
        <w:tc>
          <w:tcPr>
            <w:tcW w:w="5918" w:type="dxa"/>
          </w:tcPr>
          <w:p w14:paraId="6921224F" w14:textId="77777777" w:rsidR="00620ABA" w:rsidRPr="00C67B16" w:rsidRDefault="00620ABA" w:rsidP="00463647">
            <w:pPr>
              <w:keepNext/>
              <w:keepLines/>
              <w:widowControl w:val="0"/>
              <w:spacing w:line="240" w:lineRule="auto"/>
              <w:rPr>
                <w:snapToGrid w:val="0"/>
                <w:color w:val="000000"/>
                <w:szCs w:val="22"/>
                <w:lang w:val="sv-SE"/>
              </w:rPr>
            </w:pPr>
            <w:r w:rsidRPr="00C67B16">
              <w:rPr>
                <w:snapToGrid w:val="0"/>
                <w:color w:val="000000"/>
                <w:szCs w:val="22"/>
                <w:lang w:val="sv-SE"/>
              </w:rPr>
              <w:t>Totalbilirubin: = 1,5 ULN</w:t>
            </w:r>
          </w:p>
          <w:p w14:paraId="372E2ECE" w14:textId="77777777" w:rsidR="00620ABA" w:rsidRPr="00C67B16" w:rsidRDefault="00620ABA" w:rsidP="00463647">
            <w:pPr>
              <w:pStyle w:val="TextChar"/>
              <w:keepNext/>
              <w:keepLines/>
              <w:widowControl w:val="0"/>
              <w:spacing w:before="0"/>
              <w:jc w:val="left"/>
              <w:rPr>
                <w:snapToGrid w:val="0"/>
                <w:color w:val="000000"/>
                <w:sz w:val="22"/>
                <w:szCs w:val="22"/>
                <w:lang w:val="sv-SE"/>
              </w:rPr>
            </w:pPr>
            <w:r w:rsidRPr="00C67B16">
              <w:rPr>
                <w:snapToGrid w:val="0"/>
                <w:color w:val="000000"/>
                <w:sz w:val="22"/>
                <w:szCs w:val="22"/>
                <w:lang w:val="sv-SE"/>
              </w:rPr>
              <w:t>ASAT: &gt; ULN (kan vara normal eller &lt; ULN om totalbilirubin är &gt; ULN)</w:t>
            </w:r>
          </w:p>
        </w:tc>
      </w:tr>
      <w:tr w:rsidR="00620ABA" w:rsidRPr="00644A2E" w14:paraId="5B4E05C6" w14:textId="77777777" w:rsidTr="00DF06CD">
        <w:trPr>
          <w:cantSplit/>
        </w:trPr>
        <w:tc>
          <w:tcPr>
            <w:tcW w:w="3369" w:type="dxa"/>
          </w:tcPr>
          <w:p w14:paraId="32D8E84F" w14:textId="77777777" w:rsidR="00620ABA" w:rsidRPr="00C67B16" w:rsidRDefault="00620ABA" w:rsidP="00463647">
            <w:pPr>
              <w:pStyle w:val="TextChar"/>
              <w:keepNext/>
              <w:keepLines/>
              <w:widowControl w:val="0"/>
              <w:spacing w:before="0"/>
              <w:jc w:val="left"/>
              <w:rPr>
                <w:color w:val="000000"/>
                <w:sz w:val="22"/>
                <w:szCs w:val="22"/>
                <w:lang w:val="sv-SE"/>
              </w:rPr>
            </w:pPr>
            <w:r w:rsidRPr="00C67B16">
              <w:rPr>
                <w:color w:val="000000"/>
                <w:sz w:val="22"/>
                <w:szCs w:val="22"/>
                <w:lang w:val="sv-SE"/>
              </w:rPr>
              <w:t>Måttlig</w:t>
            </w:r>
          </w:p>
        </w:tc>
        <w:tc>
          <w:tcPr>
            <w:tcW w:w="5918" w:type="dxa"/>
          </w:tcPr>
          <w:p w14:paraId="4654E270" w14:textId="77777777" w:rsidR="00620ABA" w:rsidRPr="00C67B16" w:rsidRDefault="00620ABA" w:rsidP="00463647">
            <w:pPr>
              <w:keepNext/>
              <w:keepLines/>
              <w:widowControl w:val="0"/>
              <w:spacing w:line="240" w:lineRule="auto"/>
              <w:rPr>
                <w:snapToGrid w:val="0"/>
                <w:color w:val="000000"/>
                <w:szCs w:val="22"/>
                <w:lang w:val="sv-SE"/>
              </w:rPr>
            </w:pPr>
            <w:r w:rsidRPr="00C67B16">
              <w:rPr>
                <w:snapToGrid w:val="0"/>
                <w:color w:val="000000"/>
                <w:szCs w:val="22"/>
                <w:lang w:val="sv-SE"/>
              </w:rPr>
              <w:t>Totalbilirubin: &gt; 1,5</w:t>
            </w:r>
            <w:r w:rsidRPr="00C67B16">
              <w:rPr>
                <w:color w:val="000000"/>
                <w:szCs w:val="22"/>
                <w:lang w:val="sv-SE"/>
              </w:rPr>
              <w:t>–</w:t>
            </w:r>
            <w:r w:rsidRPr="00C67B16">
              <w:rPr>
                <w:snapToGrid w:val="0"/>
                <w:color w:val="000000"/>
                <w:szCs w:val="22"/>
                <w:lang w:val="sv-SE"/>
              </w:rPr>
              <w:t>3,0 ULN</w:t>
            </w:r>
          </w:p>
          <w:p w14:paraId="417FB4F6" w14:textId="77777777" w:rsidR="00620ABA" w:rsidRPr="00C67B16" w:rsidRDefault="00620ABA" w:rsidP="00463647">
            <w:pPr>
              <w:pStyle w:val="TextChar"/>
              <w:keepNext/>
              <w:keepLines/>
              <w:widowControl w:val="0"/>
              <w:spacing w:before="0"/>
              <w:jc w:val="left"/>
              <w:rPr>
                <w:color w:val="000000"/>
                <w:sz w:val="22"/>
                <w:szCs w:val="22"/>
                <w:lang w:val="sv-SE"/>
              </w:rPr>
            </w:pPr>
            <w:r w:rsidRPr="00C67B16">
              <w:rPr>
                <w:snapToGrid w:val="0"/>
                <w:color w:val="000000"/>
                <w:sz w:val="22"/>
                <w:szCs w:val="22"/>
                <w:lang w:val="sv-SE"/>
              </w:rPr>
              <w:t>ASAT: oavsett värde</w:t>
            </w:r>
          </w:p>
        </w:tc>
      </w:tr>
      <w:tr w:rsidR="00620ABA" w:rsidRPr="00644A2E" w14:paraId="297A3C70" w14:textId="77777777" w:rsidTr="00DF06CD">
        <w:trPr>
          <w:cantSplit/>
        </w:trPr>
        <w:tc>
          <w:tcPr>
            <w:tcW w:w="3369" w:type="dxa"/>
          </w:tcPr>
          <w:p w14:paraId="5B4076E9" w14:textId="77777777" w:rsidR="00620ABA" w:rsidRPr="00C67B16" w:rsidRDefault="00620ABA" w:rsidP="00463647">
            <w:pPr>
              <w:pStyle w:val="TextChar"/>
              <w:keepNext/>
              <w:keepLines/>
              <w:widowControl w:val="0"/>
              <w:spacing w:before="0"/>
              <w:jc w:val="left"/>
              <w:rPr>
                <w:color w:val="000000"/>
                <w:sz w:val="22"/>
                <w:szCs w:val="22"/>
                <w:lang w:val="sv-SE"/>
              </w:rPr>
            </w:pPr>
            <w:r w:rsidRPr="00C67B16">
              <w:rPr>
                <w:color w:val="000000"/>
                <w:sz w:val="22"/>
                <w:szCs w:val="22"/>
                <w:lang w:val="sv-SE"/>
              </w:rPr>
              <w:t>Svår</w:t>
            </w:r>
          </w:p>
        </w:tc>
        <w:tc>
          <w:tcPr>
            <w:tcW w:w="5918" w:type="dxa"/>
          </w:tcPr>
          <w:p w14:paraId="531EBDC2" w14:textId="77777777" w:rsidR="00620ABA" w:rsidRPr="00C67B16" w:rsidRDefault="00620ABA" w:rsidP="00463647">
            <w:pPr>
              <w:keepNext/>
              <w:keepLines/>
              <w:widowControl w:val="0"/>
              <w:spacing w:line="240" w:lineRule="auto"/>
              <w:rPr>
                <w:snapToGrid w:val="0"/>
                <w:color w:val="000000"/>
                <w:szCs w:val="22"/>
                <w:lang w:val="sv-SE"/>
              </w:rPr>
            </w:pPr>
            <w:r w:rsidRPr="00C67B16">
              <w:rPr>
                <w:snapToGrid w:val="0"/>
                <w:color w:val="000000"/>
                <w:szCs w:val="22"/>
                <w:lang w:val="sv-SE"/>
              </w:rPr>
              <w:t>Totalbilirubin: &gt; 3</w:t>
            </w:r>
            <w:r w:rsidRPr="00C67B16">
              <w:rPr>
                <w:color w:val="000000"/>
                <w:szCs w:val="22"/>
                <w:lang w:val="sv-SE"/>
              </w:rPr>
              <w:t>–</w:t>
            </w:r>
            <w:r w:rsidRPr="00C67B16">
              <w:rPr>
                <w:snapToGrid w:val="0"/>
                <w:color w:val="000000"/>
                <w:szCs w:val="22"/>
                <w:lang w:val="sv-SE"/>
              </w:rPr>
              <w:t>10 ULN</w:t>
            </w:r>
          </w:p>
          <w:p w14:paraId="5D6291A5" w14:textId="77777777" w:rsidR="00620ABA" w:rsidRPr="00C67B16" w:rsidRDefault="00620ABA" w:rsidP="00463647">
            <w:pPr>
              <w:pStyle w:val="TextChar"/>
              <w:keepNext/>
              <w:keepLines/>
              <w:widowControl w:val="0"/>
              <w:spacing w:before="0"/>
              <w:jc w:val="left"/>
              <w:rPr>
                <w:color w:val="000000"/>
                <w:sz w:val="22"/>
                <w:szCs w:val="22"/>
                <w:lang w:val="sv-SE"/>
              </w:rPr>
            </w:pPr>
            <w:r w:rsidRPr="00C67B16">
              <w:rPr>
                <w:snapToGrid w:val="0"/>
                <w:color w:val="000000"/>
                <w:sz w:val="22"/>
                <w:szCs w:val="22"/>
                <w:lang w:val="sv-SE"/>
              </w:rPr>
              <w:t>ASAT: oavsett värde</w:t>
            </w:r>
          </w:p>
        </w:tc>
      </w:tr>
    </w:tbl>
    <w:p w14:paraId="516D51D4" w14:textId="77777777" w:rsidR="00620ABA" w:rsidRPr="000E7AE9" w:rsidRDefault="00620ABA" w:rsidP="00463647">
      <w:pPr>
        <w:pStyle w:val="TextChar"/>
        <w:keepNext/>
        <w:keepLines/>
        <w:widowControl w:val="0"/>
        <w:spacing w:before="0"/>
        <w:jc w:val="left"/>
        <w:rPr>
          <w:color w:val="000000"/>
          <w:sz w:val="22"/>
          <w:szCs w:val="22"/>
          <w:lang w:val="sv-SE"/>
        </w:rPr>
      </w:pPr>
      <w:r w:rsidRPr="000E7AE9">
        <w:rPr>
          <w:color w:val="000000"/>
          <w:sz w:val="22"/>
          <w:szCs w:val="22"/>
          <w:lang w:val="sv-SE"/>
        </w:rPr>
        <w:t>ULN = det institutionella övre normala gränsvärdet</w:t>
      </w:r>
    </w:p>
    <w:p w14:paraId="69E9143F"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rFonts w:eastAsia="MS Mincho"/>
          <w:bCs/>
          <w:color w:val="000000"/>
          <w:szCs w:val="22"/>
          <w:lang w:val="sv-SE" w:eastAsia="ja-JP"/>
        </w:rPr>
        <w:t xml:space="preserve">ASAT = </w:t>
      </w:r>
      <w:r w:rsidRPr="000E7AE9">
        <w:rPr>
          <w:color w:val="000000"/>
          <w:szCs w:val="22"/>
          <w:lang w:val="sv-SE"/>
        </w:rPr>
        <w:t>aspartataminotransferas</w:t>
      </w:r>
    </w:p>
    <w:p w14:paraId="2DBA93BF" w14:textId="77777777" w:rsidR="00620ABA" w:rsidRPr="000E7AE9" w:rsidRDefault="00620ABA" w:rsidP="00463647">
      <w:pPr>
        <w:pStyle w:val="EndnoteText"/>
        <w:widowControl w:val="0"/>
        <w:tabs>
          <w:tab w:val="clear" w:pos="567"/>
        </w:tabs>
        <w:rPr>
          <w:color w:val="000000"/>
          <w:szCs w:val="22"/>
          <w:lang w:val="sv-SE"/>
        </w:rPr>
      </w:pPr>
    </w:p>
    <w:p w14:paraId="69C2DE93" w14:textId="77777777" w:rsidR="00620ABA" w:rsidRPr="000E7AE9" w:rsidRDefault="00620ABA" w:rsidP="00463647">
      <w:pPr>
        <w:pStyle w:val="EndnoteText"/>
        <w:widowControl w:val="0"/>
        <w:tabs>
          <w:tab w:val="clear" w:pos="567"/>
        </w:tabs>
        <w:rPr>
          <w:color w:val="000000"/>
          <w:szCs w:val="22"/>
          <w:lang w:val="sv-SE"/>
        </w:rPr>
      </w:pPr>
      <w:r w:rsidRPr="00246A22">
        <w:rPr>
          <w:i/>
          <w:color w:val="000000"/>
          <w:szCs w:val="22"/>
          <w:lang w:val="sv-SE"/>
        </w:rPr>
        <w:t>Njurinsufficiens:</w:t>
      </w:r>
      <w:r w:rsidRPr="000E7AE9">
        <w:rPr>
          <w:color w:val="000000"/>
          <w:szCs w:val="22"/>
          <w:lang w:val="sv-SE"/>
        </w:rPr>
        <w:t xml:space="preserve"> Patienter med lätt nedsatt njurfunktion </w:t>
      </w:r>
      <w:r w:rsidR="00813718">
        <w:rPr>
          <w:color w:val="000000"/>
          <w:szCs w:val="22"/>
          <w:lang w:val="sv-SE"/>
        </w:rPr>
        <w:t>eller som går på dialys</w:t>
      </w:r>
      <w:r w:rsidR="00813718" w:rsidRPr="000E7AE9" w:rsidDel="00813718">
        <w:rPr>
          <w:color w:val="000000"/>
          <w:szCs w:val="22"/>
          <w:lang w:val="sv-SE"/>
        </w:rPr>
        <w:t xml:space="preserve"> </w:t>
      </w:r>
      <w:r w:rsidRPr="000E7AE9">
        <w:rPr>
          <w:color w:val="000000"/>
          <w:szCs w:val="22"/>
          <w:lang w:val="sv-SE"/>
        </w:rPr>
        <w:t>skall ges lägsta rekommenderade dos om 400</w:t>
      </w:r>
      <w:r w:rsidR="00E80015" w:rsidRPr="000E7AE9">
        <w:rPr>
          <w:color w:val="000000"/>
          <w:szCs w:val="22"/>
          <w:lang w:val="sv-SE"/>
        </w:rPr>
        <w:t> </w:t>
      </w:r>
      <w:r w:rsidRPr="000E7AE9">
        <w:rPr>
          <w:color w:val="000000"/>
          <w:szCs w:val="22"/>
          <w:lang w:val="sv-SE"/>
        </w:rPr>
        <w:t>mg/dag som startdos. Emellertid rekommenderas försiktighet med dessa patienter. Dosen kan minskas om den inte tolereras</w:t>
      </w:r>
      <w:r w:rsidR="00813718">
        <w:rPr>
          <w:color w:val="000000"/>
          <w:szCs w:val="22"/>
          <w:lang w:val="sv-SE"/>
        </w:rPr>
        <w:t>. Om dosen tolereras kan den</w:t>
      </w:r>
      <w:r w:rsidRPr="000E7AE9">
        <w:rPr>
          <w:color w:val="000000"/>
          <w:szCs w:val="22"/>
          <w:lang w:val="sv-SE"/>
        </w:rPr>
        <w:t xml:space="preserve"> ökas om effekten uteblir (se </w:t>
      </w:r>
      <w:r w:rsidR="007D1555" w:rsidRPr="000E7AE9">
        <w:rPr>
          <w:color w:val="000000"/>
          <w:szCs w:val="22"/>
          <w:lang w:val="sv-SE"/>
        </w:rPr>
        <w:t xml:space="preserve">avsnitten </w:t>
      </w:r>
      <w:r w:rsidRPr="000E7AE9">
        <w:rPr>
          <w:color w:val="000000"/>
          <w:szCs w:val="22"/>
          <w:lang w:val="sv-SE"/>
        </w:rPr>
        <w:t>4.4 och 5.2).</w:t>
      </w:r>
    </w:p>
    <w:p w14:paraId="73E1A596" w14:textId="77777777" w:rsidR="00620ABA" w:rsidRPr="000E7AE9" w:rsidRDefault="00620ABA" w:rsidP="00463647">
      <w:pPr>
        <w:pStyle w:val="EndnoteText"/>
        <w:widowControl w:val="0"/>
        <w:tabs>
          <w:tab w:val="clear" w:pos="567"/>
        </w:tabs>
        <w:rPr>
          <w:color w:val="000000"/>
          <w:szCs w:val="22"/>
          <w:lang w:val="sv-SE"/>
        </w:rPr>
      </w:pPr>
    </w:p>
    <w:p w14:paraId="329A52D2" w14:textId="77777777" w:rsidR="00620ABA" w:rsidRPr="000E7AE9" w:rsidRDefault="00C54FAA" w:rsidP="00463647">
      <w:pPr>
        <w:pStyle w:val="EndnoteText"/>
        <w:widowControl w:val="0"/>
        <w:tabs>
          <w:tab w:val="clear" w:pos="567"/>
        </w:tabs>
        <w:rPr>
          <w:color w:val="000000"/>
          <w:szCs w:val="22"/>
          <w:lang w:val="sv-SE"/>
        </w:rPr>
      </w:pPr>
      <w:r>
        <w:rPr>
          <w:i/>
          <w:color w:val="000000"/>
          <w:szCs w:val="22"/>
          <w:lang w:val="sv-SE"/>
        </w:rPr>
        <w:t>Äldre</w:t>
      </w:r>
      <w:r w:rsidR="007A5716">
        <w:rPr>
          <w:i/>
          <w:color w:val="000000"/>
          <w:szCs w:val="22"/>
          <w:lang w:val="sv-SE"/>
        </w:rPr>
        <w:t xml:space="preserve"> personer</w:t>
      </w:r>
      <w:r w:rsidR="00620ABA" w:rsidRPr="00246A22">
        <w:rPr>
          <w:i/>
          <w:color w:val="000000"/>
          <w:szCs w:val="22"/>
          <w:lang w:val="sv-SE"/>
        </w:rPr>
        <w:t>:</w:t>
      </w:r>
      <w:r w:rsidR="00620ABA" w:rsidRPr="000E7AE9">
        <w:rPr>
          <w:color w:val="000000"/>
          <w:szCs w:val="22"/>
          <w:lang w:val="sv-SE"/>
        </w:rPr>
        <w:t xml:space="preserve"> Imatinibs farmakokinetik har inte specifikt studerats hos äldre</w:t>
      </w:r>
      <w:r w:rsidR="007A5716">
        <w:rPr>
          <w:color w:val="000000"/>
          <w:szCs w:val="22"/>
          <w:lang w:val="sv-SE"/>
        </w:rPr>
        <w:t xml:space="preserve"> personer</w:t>
      </w:r>
      <w:r w:rsidR="00620ABA" w:rsidRPr="000E7AE9">
        <w:rPr>
          <w:color w:val="000000"/>
          <w:szCs w:val="22"/>
          <w:lang w:val="sv-SE"/>
        </w:rPr>
        <w:t xml:space="preserve">. Inga betydande åldersrelaterade skillnader i farmakokinetik har noterats på vuxna patienter i kliniska </w:t>
      </w:r>
      <w:r w:rsidR="00620ABA" w:rsidRPr="000E7AE9">
        <w:rPr>
          <w:color w:val="000000"/>
          <w:szCs w:val="22"/>
          <w:lang w:val="sv-SE"/>
        </w:rPr>
        <w:lastRenderedPageBreak/>
        <w:t>studier, som inkluderade mer än 20</w:t>
      </w:r>
      <w:r w:rsidR="00794E0C">
        <w:rPr>
          <w:color w:val="000000"/>
          <w:szCs w:val="22"/>
          <w:lang w:val="sv-SE"/>
        </w:rPr>
        <w:t> </w:t>
      </w:r>
      <w:r w:rsidR="00620ABA" w:rsidRPr="000E7AE9">
        <w:rPr>
          <w:color w:val="000000"/>
          <w:szCs w:val="22"/>
          <w:lang w:val="sv-SE"/>
        </w:rPr>
        <w:t>% patienter i åldern 65 år och äldre. Inga särskilda dosrekommendationer är nödvändiga för äldre</w:t>
      </w:r>
      <w:r w:rsidR="007A5716">
        <w:rPr>
          <w:color w:val="000000"/>
          <w:szCs w:val="22"/>
          <w:lang w:val="sv-SE"/>
        </w:rPr>
        <w:t xml:space="preserve"> personer</w:t>
      </w:r>
      <w:r w:rsidR="00620ABA" w:rsidRPr="000E7AE9">
        <w:rPr>
          <w:color w:val="000000"/>
          <w:szCs w:val="22"/>
          <w:lang w:val="sv-SE"/>
        </w:rPr>
        <w:t>.</w:t>
      </w:r>
    </w:p>
    <w:p w14:paraId="65680858" w14:textId="77777777" w:rsidR="00620ABA" w:rsidRPr="000E7AE9" w:rsidRDefault="00620ABA" w:rsidP="00463647">
      <w:pPr>
        <w:pStyle w:val="EndnoteText"/>
        <w:widowControl w:val="0"/>
        <w:tabs>
          <w:tab w:val="clear" w:pos="567"/>
        </w:tabs>
        <w:rPr>
          <w:color w:val="000000"/>
          <w:szCs w:val="22"/>
          <w:lang w:val="sv-SE"/>
        </w:rPr>
      </w:pPr>
    </w:p>
    <w:p w14:paraId="631511CD"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4.3</w:t>
      </w:r>
      <w:r w:rsidRPr="000E7AE9">
        <w:rPr>
          <w:noProof w:val="0"/>
          <w:color w:val="000000"/>
          <w:szCs w:val="22"/>
          <w:lang w:val="sv-SE"/>
        </w:rPr>
        <w:tab/>
        <w:t>Kontraindikationer</w:t>
      </w:r>
    </w:p>
    <w:p w14:paraId="3A58CCA6" w14:textId="77777777" w:rsidR="00620ABA" w:rsidRPr="000E7AE9" w:rsidRDefault="00620ABA" w:rsidP="00463647">
      <w:pPr>
        <w:pStyle w:val="EndnoteText"/>
        <w:keepNext/>
        <w:widowControl w:val="0"/>
        <w:tabs>
          <w:tab w:val="clear" w:pos="567"/>
        </w:tabs>
        <w:rPr>
          <w:color w:val="000000"/>
          <w:szCs w:val="22"/>
          <w:lang w:val="sv-SE"/>
        </w:rPr>
      </w:pPr>
    </w:p>
    <w:p w14:paraId="7BAFDAB6"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Överkänslighet mot den aktiva substansen eller </w:t>
      </w:r>
      <w:r w:rsidR="00544B28">
        <w:rPr>
          <w:color w:val="000000"/>
          <w:szCs w:val="22"/>
          <w:lang w:val="sv-SE"/>
        </w:rPr>
        <w:t xml:space="preserve">mot </w:t>
      </w:r>
      <w:r w:rsidRPr="000E7AE9">
        <w:rPr>
          <w:color w:val="000000"/>
          <w:szCs w:val="22"/>
          <w:lang w:val="sv-SE"/>
        </w:rPr>
        <w:t>något hjälpämne</w:t>
      </w:r>
      <w:r w:rsidR="004F2021">
        <w:rPr>
          <w:color w:val="000000"/>
          <w:szCs w:val="22"/>
          <w:lang w:val="sv-SE"/>
        </w:rPr>
        <w:t xml:space="preserve"> </w:t>
      </w:r>
      <w:r w:rsidR="00C3433D">
        <w:rPr>
          <w:color w:val="000000"/>
          <w:szCs w:val="22"/>
          <w:lang w:val="sv-SE"/>
        </w:rPr>
        <w:t>som anges</w:t>
      </w:r>
      <w:r w:rsidR="004F2021">
        <w:rPr>
          <w:color w:val="000000"/>
          <w:szCs w:val="22"/>
          <w:lang w:val="sv-SE"/>
        </w:rPr>
        <w:t xml:space="preserve"> i avsnitt 6.1</w:t>
      </w:r>
      <w:r w:rsidRPr="000E7AE9">
        <w:rPr>
          <w:color w:val="000000"/>
          <w:szCs w:val="22"/>
          <w:lang w:val="sv-SE"/>
        </w:rPr>
        <w:t>.</w:t>
      </w:r>
    </w:p>
    <w:p w14:paraId="2466733A" w14:textId="77777777" w:rsidR="00620ABA" w:rsidRPr="000E7AE9" w:rsidRDefault="00620ABA" w:rsidP="00463647">
      <w:pPr>
        <w:pStyle w:val="EndnoteText"/>
        <w:widowControl w:val="0"/>
        <w:tabs>
          <w:tab w:val="clear" w:pos="567"/>
        </w:tabs>
        <w:rPr>
          <w:color w:val="000000"/>
          <w:szCs w:val="22"/>
          <w:lang w:val="sv-SE"/>
        </w:rPr>
      </w:pPr>
    </w:p>
    <w:p w14:paraId="095F3C55"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4.4</w:t>
      </w:r>
      <w:r w:rsidRPr="000E7AE9">
        <w:rPr>
          <w:noProof w:val="0"/>
          <w:color w:val="000000"/>
          <w:szCs w:val="22"/>
          <w:lang w:val="sv-SE"/>
        </w:rPr>
        <w:tab/>
        <w:t>Varningar och försiktighet</w:t>
      </w:r>
    </w:p>
    <w:p w14:paraId="259A4E90" w14:textId="77777777" w:rsidR="00620ABA" w:rsidRPr="000E7AE9" w:rsidRDefault="00620ABA" w:rsidP="00463647">
      <w:pPr>
        <w:pStyle w:val="EndnoteText"/>
        <w:keepNext/>
        <w:widowControl w:val="0"/>
        <w:tabs>
          <w:tab w:val="clear" w:pos="567"/>
        </w:tabs>
        <w:rPr>
          <w:color w:val="000000"/>
          <w:szCs w:val="22"/>
          <w:lang w:val="sv-SE"/>
        </w:rPr>
      </w:pPr>
    </w:p>
    <w:p w14:paraId="2BC4C14E" w14:textId="77777777" w:rsidR="00620ABA" w:rsidRPr="000E7AE9" w:rsidRDefault="00620ABA" w:rsidP="00463647">
      <w:pPr>
        <w:pStyle w:val="EndnoteText"/>
        <w:widowControl w:val="0"/>
        <w:tabs>
          <w:tab w:val="clear" w:pos="567"/>
          <w:tab w:val="left" w:pos="7655"/>
        </w:tabs>
        <w:rPr>
          <w:color w:val="000000"/>
          <w:szCs w:val="22"/>
          <w:lang w:val="sv-SE"/>
        </w:rPr>
      </w:pPr>
      <w:r w:rsidRPr="000E7AE9">
        <w:rPr>
          <w:color w:val="000000"/>
          <w:szCs w:val="22"/>
          <w:lang w:val="sv-SE"/>
        </w:rPr>
        <w:t>När Glivec ges tillsammans med andra läkemedel kan det finnas en risk för interaktioner</w:t>
      </w:r>
      <w:r w:rsidR="00A07102">
        <w:rPr>
          <w:color w:val="000000"/>
          <w:szCs w:val="22"/>
          <w:lang w:val="sv-SE"/>
        </w:rPr>
        <w:t xml:space="preserve">. Försiktighet bör iakttas vid intag av Glivec med </w:t>
      </w:r>
      <w:r w:rsidR="0031729D">
        <w:rPr>
          <w:color w:val="000000"/>
          <w:szCs w:val="22"/>
          <w:lang w:val="sv-SE"/>
        </w:rPr>
        <w:t>proteashämmare, antimykotikum, viss</w:t>
      </w:r>
      <w:r w:rsidR="00E6278C">
        <w:rPr>
          <w:color w:val="000000"/>
          <w:szCs w:val="22"/>
          <w:lang w:val="sv-SE"/>
        </w:rPr>
        <w:t>a</w:t>
      </w:r>
      <w:r w:rsidR="0031729D">
        <w:rPr>
          <w:color w:val="000000"/>
          <w:szCs w:val="22"/>
          <w:lang w:val="sv-SE"/>
        </w:rPr>
        <w:t xml:space="preserve"> makrolider (se avsnitt 4.5),</w:t>
      </w:r>
      <w:r w:rsidR="00A07102">
        <w:rPr>
          <w:color w:val="000000"/>
          <w:szCs w:val="22"/>
          <w:lang w:val="sv-SE"/>
        </w:rPr>
        <w:t xml:space="preserve"> CYP3A4-substrat med smalt terapeutiskt fönster (t</w:t>
      </w:r>
      <w:r w:rsidR="008B1C36">
        <w:rPr>
          <w:color w:val="000000"/>
          <w:szCs w:val="22"/>
          <w:lang w:val="sv-SE"/>
        </w:rPr>
        <w:t> </w:t>
      </w:r>
      <w:r w:rsidR="00A07102">
        <w:rPr>
          <w:color w:val="000000"/>
          <w:szCs w:val="22"/>
          <w:lang w:val="sv-SE"/>
        </w:rPr>
        <w:t>ex ciklosporin</w:t>
      </w:r>
      <w:r w:rsidR="0031729D">
        <w:rPr>
          <w:color w:val="000000"/>
          <w:szCs w:val="22"/>
          <w:lang w:val="sv-SE"/>
        </w:rPr>
        <w:t>,</w:t>
      </w:r>
      <w:r w:rsidR="00A07102">
        <w:rPr>
          <w:color w:val="000000"/>
          <w:szCs w:val="22"/>
          <w:lang w:val="sv-SE"/>
        </w:rPr>
        <w:t xml:space="preserve"> pimozid</w:t>
      </w:r>
      <w:r w:rsidR="0031729D">
        <w:rPr>
          <w:color w:val="000000"/>
          <w:szCs w:val="22"/>
          <w:lang w:val="sv-SE"/>
        </w:rPr>
        <w:t>, takrolimus, sirolimus, ergotamin, diergotamin, fentanyl, alfentanil, terfenadin, bortesomib, doketaxel, cinkonidin</w:t>
      </w:r>
      <w:r w:rsidR="00A07102">
        <w:rPr>
          <w:color w:val="000000"/>
          <w:szCs w:val="22"/>
          <w:lang w:val="sv-SE"/>
        </w:rPr>
        <w:t>) eller warfarin och andra kumarinderivat</w:t>
      </w:r>
      <w:r w:rsidRPr="000E7AE9">
        <w:rPr>
          <w:color w:val="000000"/>
          <w:szCs w:val="22"/>
          <w:lang w:val="sv-SE"/>
        </w:rPr>
        <w:t xml:space="preserve"> (se avsnitt 4.5)</w:t>
      </w:r>
      <w:r w:rsidR="00A07102">
        <w:rPr>
          <w:color w:val="000000"/>
          <w:szCs w:val="22"/>
          <w:lang w:val="sv-SE"/>
        </w:rPr>
        <w:t>.</w:t>
      </w:r>
    </w:p>
    <w:p w14:paraId="3638A2C1" w14:textId="77777777" w:rsidR="00620ABA" w:rsidRPr="000E7AE9" w:rsidRDefault="00620ABA" w:rsidP="00463647">
      <w:pPr>
        <w:pStyle w:val="EndnoteText"/>
        <w:widowControl w:val="0"/>
        <w:tabs>
          <w:tab w:val="clear" w:pos="567"/>
          <w:tab w:val="left" w:pos="7655"/>
        </w:tabs>
        <w:rPr>
          <w:color w:val="000000"/>
          <w:szCs w:val="22"/>
          <w:lang w:val="sv-SE"/>
        </w:rPr>
      </w:pPr>
    </w:p>
    <w:p w14:paraId="35C8A2A7" w14:textId="77777777" w:rsidR="00620ABA" w:rsidRPr="000E7AE9" w:rsidRDefault="00620ABA" w:rsidP="00463647">
      <w:pPr>
        <w:pStyle w:val="EndnoteText"/>
        <w:widowControl w:val="0"/>
        <w:tabs>
          <w:tab w:val="clear" w:pos="567"/>
          <w:tab w:val="left" w:pos="7655"/>
        </w:tabs>
        <w:rPr>
          <w:color w:val="000000"/>
          <w:szCs w:val="22"/>
          <w:lang w:val="sv-SE"/>
        </w:rPr>
      </w:pPr>
      <w:r w:rsidRPr="000E7AE9">
        <w:rPr>
          <w:color w:val="000000"/>
          <w:szCs w:val="22"/>
          <w:lang w:val="sv-SE"/>
        </w:rPr>
        <w:t xml:space="preserve">Samtidig användning av imatinib och läkemedel som inducerar CYP3A4 (t.ex. dexametason, fenytoin, karbamazepin, rifampicin, fenobarbital eller </w:t>
      </w:r>
      <w:r w:rsidRPr="000E7AE9">
        <w:rPr>
          <w:i/>
          <w:color w:val="000000"/>
          <w:szCs w:val="22"/>
          <w:lang w:val="sv-SE"/>
        </w:rPr>
        <w:t>Hypericum perforatum</w:t>
      </w:r>
      <w:r w:rsidRPr="000E7AE9">
        <w:rPr>
          <w:color w:val="000000"/>
          <w:szCs w:val="22"/>
          <w:lang w:val="sv-SE"/>
        </w:rPr>
        <w:t>, även känd som johannesört) kan signifikant minska exponeringen för Glivec och därigenom öka risken för terapisvikt. Därför skall samtidig användning av starka inducerare av CYP3A4 och imatinib undvikas (se avsnitt 4.5).</w:t>
      </w:r>
    </w:p>
    <w:p w14:paraId="6D14A0A8" w14:textId="77777777" w:rsidR="00620ABA" w:rsidRDefault="00620ABA" w:rsidP="00463647">
      <w:pPr>
        <w:pStyle w:val="EndnoteText"/>
        <w:widowControl w:val="0"/>
        <w:tabs>
          <w:tab w:val="clear" w:pos="567"/>
          <w:tab w:val="left" w:pos="7655"/>
        </w:tabs>
        <w:rPr>
          <w:color w:val="000000"/>
          <w:szCs w:val="22"/>
          <w:lang w:val="sv-SE"/>
        </w:rPr>
      </w:pPr>
    </w:p>
    <w:p w14:paraId="4B642B84" w14:textId="77777777" w:rsidR="00100FA1" w:rsidRPr="00FB6631" w:rsidRDefault="00100FA1" w:rsidP="00463647">
      <w:pPr>
        <w:pStyle w:val="EndnoteText"/>
        <w:keepNext/>
        <w:widowControl w:val="0"/>
        <w:tabs>
          <w:tab w:val="clear" w:pos="567"/>
          <w:tab w:val="left" w:pos="7655"/>
        </w:tabs>
        <w:rPr>
          <w:color w:val="000000"/>
          <w:szCs w:val="22"/>
          <w:u w:val="single"/>
          <w:lang w:val="sv-SE"/>
        </w:rPr>
      </w:pPr>
      <w:r w:rsidRPr="00FB6631">
        <w:rPr>
          <w:color w:val="000000"/>
          <w:szCs w:val="22"/>
          <w:u w:val="single"/>
          <w:lang w:val="sv-SE"/>
        </w:rPr>
        <w:t>Hypotyr</w:t>
      </w:r>
      <w:r>
        <w:rPr>
          <w:color w:val="000000"/>
          <w:szCs w:val="22"/>
          <w:u w:val="single"/>
          <w:lang w:val="sv-SE"/>
        </w:rPr>
        <w:t>eos</w:t>
      </w:r>
    </w:p>
    <w:p w14:paraId="5CE642BD" w14:textId="77777777" w:rsidR="00620ABA" w:rsidRPr="000E7AE9" w:rsidRDefault="00620ABA" w:rsidP="00463647">
      <w:pPr>
        <w:widowControl w:val="0"/>
        <w:autoSpaceDE w:val="0"/>
        <w:autoSpaceDN w:val="0"/>
        <w:adjustRightInd w:val="0"/>
        <w:spacing w:line="240" w:lineRule="auto"/>
        <w:rPr>
          <w:color w:val="000000"/>
          <w:szCs w:val="22"/>
          <w:lang w:val="sv-SE"/>
        </w:rPr>
      </w:pPr>
      <w:r w:rsidRPr="000E7AE9">
        <w:rPr>
          <w:color w:val="000000"/>
          <w:szCs w:val="22"/>
          <w:lang w:val="sv-SE"/>
        </w:rPr>
        <w:t>Kliniska fall av hypotyreos har rapporterats hos patienter som har genomgått tyreoidektomi och som får substitutionsterapi med levotyroxin under behandlingen med Glivec</w:t>
      </w:r>
      <w:r w:rsidR="00CA3069" w:rsidRPr="000E7AE9">
        <w:rPr>
          <w:color w:val="000000"/>
          <w:szCs w:val="22"/>
          <w:lang w:val="sv-SE"/>
        </w:rPr>
        <w:t xml:space="preserve"> (se avsnitt 4.5)</w:t>
      </w:r>
      <w:r w:rsidRPr="000E7AE9">
        <w:rPr>
          <w:color w:val="000000"/>
          <w:szCs w:val="22"/>
          <w:lang w:val="sv-SE"/>
        </w:rPr>
        <w:t xml:space="preserve">. </w:t>
      </w:r>
      <w:r w:rsidR="00A07102">
        <w:rPr>
          <w:color w:val="000000"/>
          <w:szCs w:val="22"/>
          <w:lang w:val="sv-SE"/>
        </w:rPr>
        <w:t>Thyroid-stimulerande hormon (</w:t>
      </w:r>
      <w:r w:rsidRPr="000E7AE9">
        <w:rPr>
          <w:color w:val="000000"/>
          <w:szCs w:val="22"/>
          <w:lang w:val="sv-SE"/>
        </w:rPr>
        <w:t>TSH</w:t>
      </w:r>
      <w:r w:rsidR="00A07102">
        <w:rPr>
          <w:color w:val="000000"/>
          <w:szCs w:val="22"/>
          <w:lang w:val="sv-SE"/>
        </w:rPr>
        <w:t>)</w:t>
      </w:r>
      <w:r w:rsidRPr="000E7AE9">
        <w:rPr>
          <w:color w:val="000000"/>
          <w:szCs w:val="22"/>
          <w:lang w:val="sv-SE"/>
        </w:rPr>
        <w:t>-nivåerna skall följas upp noggrant hos dessa patienter.</w:t>
      </w:r>
    </w:p>
    <w:p w14:paraId="089B3A0F" w14:textId="77777777" w:rsidR="00620ABA" w:rsidRPr="000E7AE9" w:rsidRDefault="00620ABA" w:rsidP="00463647">
      <w:pPr>
        <w:widowControl w:val="0"/>
        <w:autoSpaceDE w:val="0"/>
        <w:autoSpaceDN w:val="0"/>
        <w:adjustRightInd w:val="0"/>
        <w:spacing w:line="240" w:lineRule="auto"/>
        <w:rPr>
          <w:color w:val="000000"/>
          <w:szCs w:val="22"/>
          <w:lang w:val="sv-SE"/>
        </w:rPr>
      </w:pPr>
    </w:p>
    <w:p w14:paraId="460F0C6B" w14:textId="77777777" w:rsidR="00100FA1" w:rsidRDefault="00100FA1" w:rsidP="00463647">
      <w:pPr>
        <w:pStyle w:val="EndnoteText"/>
        <w:keepNext/>
        <w:widowControl w:val="0"/>
        <w:tabs>
          <w:tab w:val="clear" w:pos="567"/>
        </w:tabs>
        <w:rPr>
          <w:color w:val="000000"/>
          <w:szCs w:val="22"/>
          <w:u w:val="single"/>
          <w:lang w:val="sv-SE"/>
        </w:rPr>
      </w:pPr>
      <w:r>
        <w:rPr>
          <w:color w:val="000000"/>
          <w:szCs w:val="22"/>
          <w:u w:val="single"/>
          <w:lang w:val="sv-SE"/>
        </w:rPr>
        <w:t>Levertoxicitet</w:t>
      </w:r>
    </w:p>
    <w:p w14:paraId="4A5C3CD6"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Glivec metaboliseras huvudsakligen via levern och endast 13</w:t>
      </w:r>
      <w:r w:rsidR="00794E0C">
        <w:rPr>
          <w:color w:val="000000"/>
          <w:szCs w:val="22"/>
          <w:lang w:val="sv-SE"/>
        </w:rPr>
        <w:t> </w:t>
      </w:r>
      <w:r w:rsidRPr="000E7AE9">
        <w:rPr>
          <w:color w:val="000000"/>
          <w:szCs w:val="22"/>
          <w:lang w:val="sv-SE"/>
        </w:rPr>
        <w:t>% av utsöndringen sker genom njurarna. Hos patienter med leverfunktionsrubbning (mild, måttlig eller svår) skall perifer blodstatus och leverenzymer övervakas noggrant (se avsnitten 4.2, 4.8 och 5.2). Det skall noteras att GIST-patienter kan ha levermetastaser, som kan leda till nedsatt leverfunktion.</w:t>
      </w:r>
    </w:p>
    <w:p w14:paraId="4F96C106" w14:textId="77777777" w:rsidR="00620ABA" w:rsidRPr="000E7AE9" w:rsidRDefault="00620ABA" w:rsidP="00463647">
      <w:pPr>
        <w:pStyle w:val="EndnoteText"/>
        <w:widowControl w:val="0"/>
        <w:tabs>
          <w:tab w:val="clear" w:pos="567"/>
        </w:tabs>
        <w:rPr>
          <w:color w:val="000000"/>
          <w:szCs w:val="22"/>
          <w:lang w:val="sv-SE"/>
        </w:rPr>
      </w:pPr>
    </w:p>
    <w:p w14:paraId="6577D081" w14:textId="77777777" w:rsidR="00620ABA" w:rsidRPr="000E7AE9" w:rsidRDefault="00E13CBA" w:rsidP="00463647">
      <w:pPr>
        <w:pStyle w:val="EndnoteText"/>
        <w:widowControl w:val="0"/>
        <w:tabs>
          <w:tab w:val="clear" w:pos="567"/>
        </w:tabs>
        <w:rPr>
          <w:color w:val="000000"/>
          <w:szCs w:val="22"/>
          <w:lang w:val="sv-SE"/>
        </w:rPr>
      </w:pPr>
      <w:r w:rsidRPr="000E7AE9">
        <w:rPr>
          <w:color w:val="000000"/>
          <w:szCs w:val="22"/>
          <w:lang w:val="sv-SE"/>
        </w:rPr>
        <w:t>F</w:t>
      </w:r>
      <w:r w:rsidR="007D063A" w:rsidRPr="000E7AE9">
        <w:rPr>
          <w:color w:val="000000"/>
          <w:szCs w:val="22"/>
          <w:lang w:val="sv-SE"/>
        </w:rPr>
        <w:t>all</w:t>
      </w:r>
      <w:r w:rsidRPr="000E7AE9">
        <w:rPr>
          <w:color w:val="000000"/>
          <w:szCs w:val="22"/>
          <w:lang w:val="sv-SE"/>
        </w:rPr>
        <w:t xml:space="preserve"> med leverskada</w:t>
      </w:r>
      <w:r w:rsidR="007D063A" w:rsidRPr="000E7AE9">
        <w:rPr>
          <w:color w:val="000000"/>
          <w:szCs w:val="22"/>
          <w:lang w:val="sv-SE"/>
        </w:rPr>
        <w:t xml:space="preserve">, </w:t>
      </w:r>
      <w:r w:rsidRPr="000E7AE9">
        <w:rPr>
          <w:color w:val="000000"/>
          <w:szCs w:val="22"/>
          <w:lang w:val="sv-SE"/>
        </w:rPr>
        <w:t>inklusive</w:t>
      </w:r>
      <w:r w:rsidR="007D063A" w:rsidRPr="000E7AE9">
        <w:rPr>
          <w:color w:val="000000"/>
          <w:szCs w:val="22"/>
          <w:lang w:val="sv-SE"/>
        </w:rPr>
        <w:t xml:space="preserve"> leversvikt och levernekros, har observerats vid behandling med imatinib. </w:t>
      </w:r>
      <w:r w:rsidR="00620ABA" w:rsidRPr="000E7AE9">
        <w:rPr>
          <w:color w:val="000000"/>
          <w:szCs w:val="22"/>
          <w:lang w:val="sv-SE"/>
        </w:rPr>
        <w:t xml:space="preserve">När imatinib kombineras med kemoterapibehandlingar i högdos </w:t>
      </w:r>
      <w:r w:rsidR="007D063A" w:rsidRPr="000E7AE9">
        <w:rPr>
          <w:color w:val="000000"/>
          <w:szCs w:val="22"/>
          <w:lang w:val="sv-SE"/>
        </w:rPr>
        <w:t xml:space="preserve">har en ökning av allvarliga leverreaktioner upptäckts. Leverfunktion skall monitoreras noggrant </w:t>
      </w:r>
      <w:r w:rsidR="00620ABA" w:rsidRPr="000E7AE9">
        <w:rPr>
          <w:color w:val="000000"/>
          <w:szCs w:val="22"/>
          <w:lang w:val="sv-SE"/>
        </w:rPr>
        <w:t xml:space="preserve">i de fall då imatinib kombineras med kemoterapibehandlingar som </w:t>
      </w:r>
      <w:r w:rsidRPr="000E7AE9">
        <w:rPr>
          <w:color w:val="000000"/>
          <w:szCs w:val="22"/>
          <w:lang w:val="sv-SE"/>
        </w:rPr>
        <w:t xml:space="preserve">enligt vad </w:t>
      </w:r>
      <w:r w:rsidR="00620ABA" w:rsidRPr="000E7AE9">
        <w:rPr>
          <w:color w:val="000000"/>
          <w:szCs w:val="22"/>
          <w:lang w:val="sv-SE"/>
        </w:rPr>
        <w:t xml:space="preserve">man </w:t>
      </w:r>
      <w:r w:rsidRPr="000E7AE9">
        <w:rPr>
          <w:color w:val="000000"/>
          <w:szCs w:val="22"/>
          <w:lang w:val="sv-SE"/>
        </w:rPr>
        <w:t>känner till också</w:t>
      </w:r>
      <w:r w:rsidR="00620ABA" w:rsidRPr="000E7AE9">
        <w:rPr>
          <w:color w:val="000000"/>
          <w:szCs w:val="22"/>
          <w:lang w:val="sv-SE"/>
        </w:rPr>
        <w:t xml:space="preserve"> har samband med leverdysfunktion (se avsnitt 4.5 och 4.8).</w:t>
      </w:r>
    </w:p>
    <w:p w14:paraId="4086D016" w14:textId="77777777" w:rsidR="00620ABA" w:rsidRPr="000E7AE9" w:rsidRDefault="00620ABA" w:rsidP="00463647">
      <w:pPr>
        <w:pStyle w:val="EndnoteText"/>
        <w:widowControl w:val="0"/>
        <w:tabs>
          <w:tab w:val="clear" w:pos="567"/>
        </w:tabs>
        <w:rPr>
          <w:color w:val="000000"/>
          <w:szCs w:val="22"/>
          <w:lang w:val="sv-SE"/>
        </w:rPr>
      </w:pPr>
    </w:p>
    <w:p w14:paraId="0EE9B310" w14:textId="77777777" w:rsidR="00100FA1" w:rsidRPr="00FB6631" w:rsidRDefault="00100FA1" w:rsidP="00463647">
      <w:pPr>
        <w:pStyle w:val="EndnoteText"/>
        <w:keepNext/>
        <w:widowControl w:val="0"/>
        <w:tabs>
          <w:tab w:val="clear" w:pos="567"/>
        </w:tabs>
        <w:rPr>
          <w:color w:val="000000"/>
          <w:szCs w:val="22"/>
          <w:u w:val="single"/>
          <w:lang w:val="sv-SE"/>
        </w:rPr>
      </w:pPr>
      <w:r w:rsidRPr="00FB6631">
        <w:rPr>
          <w:color w:val="000000"/>
          <w:szCs w:val="22"/>
          <w:u w:val="single"/>
          <w:lang w:val="sv-SE"/>
        </w:rPr>
        <w:t>Vätskeretention</w:t>
      </w:r>
    </w:p>
    <w:p w14:paraId="368722D6" w14:textId="77777777" w:rsidR="00620ABA" w:rsidRPr="000E7AE9" w:rsidRDefault="00620ABA" w:rsidP="00463647">
      <w:pPr>
        <w:pStyle w:val="EndnoteText"/>
        <w:widowControl w:val="0"/>
        <w:tabs>
          <w:tab w:val="clear" w:pos="567"/>
        </w:tabs>
        <w:rPr>
          <w:color w:val="000000"/>
          <w:szCs w:val="22"/>
          <w:lang w:val="sv-SE"/>
        </w:rPr>
      </w:pPr>
      <w:r w:rsidRPr="00100FA1">
        <w:rPr>
          <w:color w:val="000000"/>
          <w:szCs w:val="22"/>
          <w:lang w:val="sv-SE"/>
        </w:rPr>
        <w:t>Svår</w:t>
      </w:r>
      <w:r w:rsidRPr="000E7AE9">
        <w:rPr>
          <w:color w:val="000000"/>
          <w:szCs w:val="22"/>
          <w:lang w:val="sv-SE"/>
        </w:rPr>
        <w:t xml:space="preserve"> vätskeretention (pleurautgjutning, ödem, lungödem, ascites</w:t>
      </w:r>
      <w:r w:rsidR="00CA3069" w:rsidRPr="000E7AE9">
        <w:rPr>
          <w:color w:val="000000"/>
          <w:szCs w:val="22"/>
          <w:lang w:val="sv-SE"/>
        </w:rPr>
        <w:t>, ytliga ödem</w:t>
      </w:r>
      <w:r w:rsidRPr="000E7AE9">
        <w:rPr>
          <w:color w:val="000000"/>
          <w:szCs w:val="22"/>
          <w:lang w:val="sv-SE"/>
        </w:rPr>
        <w:t>) har rapporterats hos ungefär 2,5</w:t>
      </w:r>
      <w:r w:rsidR="00794E0C">
        <w:rPr>
          <w:color w:val="000000"/>
          <w:szCs w:val="22"/>
          <w:lang w:val="sv-SE"/>
        </w:rPr>
        <w:t> </w:t>
      </w:r>
      <w:r w:rsidRPr="000E7AE9">
        <w:rPr>
          <w:color w:val="000000"/>
          <w:szCs w:val="22"/>
          <w:lang w:val="sv-SE"/>
        </w:rPr>
        <w:t>% av nydiagnostiserade KML-patienter som får behandling med Glivec. Patienterna skall därför vägas regelbundet. Oväntat snabb viktuppgång skall utredas noggrant och adekvat understödjande vård och terapeutiska åtgärder vidtas vid behov. Det var en ökad incidens av dessa händelser i kliniska studier på äldre</w:t>
      </w:r>
      <w:r w:rsidR="00D81971">
        <w:rPr>
          <w:color w:val="000000"/>
          <w:szCs w:val="22"/>
          <w:lang w:val="sv-SE"/>
        </w:rPr>
        <w:t xml:space="preserve"> personer</w:t>
      </w:r>
      <w:r w:rsidRPr="000E7AE9">
        <w:rPr>
          <w:color w:val="000000"/>
          <w:szCs w:val="22"/>
          <w:lang w:val="sv-SE"/>
        </w:rPr>
        <w:t xml:space="preserve"> och hos de som tidigare haft hjärtsjukdom. Därför skall man iaktta försiktighet hos patienter med nedsatt hjärtfunktion.</w:t>
      </w:r>
    </w:p>
    <w:p w14:paraId="79504428" w14:textId="77777777" w:rsidR="001D41EE" w:rsidRPr="000E7AE9" w:rsidRDefault="001D41EE" w:rsidP="00463647">
      <w:pPr>
        <w:pStyle w:val="EndnoteText"/>
        <w:widowControl w:val="0"/>
        <w:tabs>
          <w:tab w:val="clear" w:pos="567"/>
        </w:tabs>
        <w:rPr>
          <w:color w:val="000000"/>
          <w:szCs w:val="22"/>
          <w:lang w:val="sv-SE"/>
        </w:rPr>
      </w:pPr>
    </w:p>
    <w:p w14:paraId="17539943" w14:textId="77777777" w:rsidR="00100FA1" w:rsidRDefault="00100FA1" w:rsidP="00463647">
      <w:pPr>
        <w:pStyle w:val="EndnoteText"/>
        <w:keepNext/>
        <w:widowControl w:val="0"/>
        <w:tabs>
          <w:tab w:val="clear" w:pos="567"/>
        </w:tabs>
        <w:rPr>
          <w:color w:val="000000"/>
          <w:szCs w:val="22"/>
          <w:lang w:val="sv-SE"/>
        </w:rPr>
      </w:pPr>
      <w:r>
        <w:rPr>
          <w:color w:val="000000"/>
          <w:szCs w:val="22"/>
          <w:u w:val="single"/>
          <w:lang w:val="sv-SE"/>
        </w:rPr>
        <w:t xml:space="preserve">Patienter med </w:t>
      </w:r>
      <w:r w:rsidRPr="00282B51">
        <w:rPr>
          <w:color w:val="000000"/>
          <w:szCs w:val="22"/>
          <w:u w:val="single"/>
          <w:lang w:val="sv-SE"/>
        </w:rPr>
        <w:t>hjärtsjukdomar</w:t>
      </w:r>
    </w:p>
    <w:p w14:paraId="7D2B5403" w14:textId="77777777" w:rsidR="001D41EE" w:rsidRPr="000E7AE9" w:rsidRDefault="001D41EE" w:rsidP="00463647">
      <w:pPr>
        <w:pStyle w:val="EndnoteText"/>
        <w:widowControl w:val="0"/>
        <w:tabs>
          <w:tab w:val="clear" w:pos="567"/>
        </w:tabs>
        <w:rPr>
          <w:color w:val="000000"/>
          <w:szCs w:val="22"/>
          <w:lang w:val="sv-SE"/>
        </w:rPr>
      </w:pPr>
      <w:r w:rsidRPr="00100FA1">
        <w:rPr>
          <w:color w:val="000000"/>
          <w:szCs w:val="22"/>
          <w:lang w:val="sv-SE"/>
        </w:rPr>
        <w:t>Patienter</w:t>
      </w:r>
      <w:r w:rsidRPr="000E7AE9">
        <w:rPr>
          <w:color w:val="000000"/>
          <w:szCs w:val="22"/>
          <w:lang w:val="sv-SE"/>
        </w:rPr>
        <w:t xml:space="preserve"> med hjärtsjukdomar</w:t>
      </w:r>
      <w:r w:rsidR="002A5CF9">
        <w:rPr>
          <w:color w:val="000000"/>
          <w:szCs w:val="22"/>
          <w:lang w:val="sv-SE"/>
        </w:rPr>
        <w:t>,</w:t>
      </w:r>
      <w:r w:rsidRPr="000E7AE9">
        <w:rPr>
          <w:color w:val="000000"/>
          <w:szCs w:val="22"/>
          <w:lang w:val="sv-SE"/>
        </w:rPr>
        <w:t xml:space="preserve"> riskfaktorer för hjärtsvikt </w:t>
      </w:r>
      <w:r w:rsidR="002A5CF9">
        <w:rPr>
          <w:color w:val="000000"/>
          <w:szCs w:val="22"/>
          <w:lang w:val="sv-SE"/>
        </w:rPr>
        <w:t xml:space="preserve">eller njursvikt i anamnesen </w:t>
      </w:r>
      <w:r w:rsidRPr="000E7AE9">
        <w:rPr>
          <w:color w:val="000000"/>
          <w:szCs w:val="22"/>
          <w:lang w:val="sv-SE"/>
        </w:rPr>
        <w:t xml:space="preserve">skall monitoreras noggrant och alla patienter med tecken eller symtom, som överensstämmer med hjärtsvikt </w:t>
      </w:r>
      <w:r w:rsidR="002A5CF9">
        <w:rPr>
          <w:color w:val="000000"/>
          <w:szCs w:val="22"/>
          <w:lang w:val="sv-SE"/>
        </w:rPr>
        <w:t xml:space="preserve">eller njursvikt </w:t>
      </w:r>
      <w:r w:rsidRPr="000E7AE9">
        <w:rPr>
          <w:color w:val="000000"/>
          <w:szCs w:val="22"/>
          <w:lang w:val="sv-SE"/>
        </w:rPr>
        <w:t>skall utvärderas och behandlas.</w:t>
      </w:r>
    </w:p>
    <w:p w14:paraId="0242EB88" w14:textId="77777777" w:rsidR="001D41EE" w:rsidRPr="000E7AE9" w:rsidRDefault="001D41EE" w:rsidP="00463647">
      <w:pPr>
        <w:pStyle w:val="EndnoteText"/>
        <w:widowControl w:val="0"/>
        <w:tabs>
          <w:tab w:val="clear" w:pos="567"/>
        </w:tabs>
        <w:rPr>
          <w:color w:val="000000"/>
          <w:szCs w:val="22"/>
          <w:lang w:val="sv-SE"/>
        </w:rPr>
      </w:pPr>
    </w:p>
    <w:p w14:paraId="5C527E5F" w14:textId="77777777" w:rsidR="005018CF" w:rsidRDefault="001D41EE" w:rsidP="00463647">
      <w:pPr>
        <w:pStyle w:val="EndnoteText"/>
        <w:widowControl w:val="0"/>
        <w:tabs>
          <w:tab w:val="clear" w:pos="567"/>
        </w:tabs>
        <w:rPr>
          <w:color w:val="000000"/>
          <w:szCs w:val="22"/>
          <w:lang w:val="sv-SE"/>
        </w:rPr>
      </w:pPr>
      <w:r w:rsidRPr="000E7AE9">
        <w:rPr>
          <w:color w:val="000000"/>
          <w:szCs w:val="22"/>
          <w:lang w:val="sv-SE"/>
        </w:rPr>
        <w:t xml:space="preserve">Hos patienter med hypereosinofilt syndrom (HES) </w:t>
      </w:r>
      <w:r w:rsidR="000475B4">
        <w:rPr>
          <w:color w:val="000000"/>
          <w:szCs w:val="22"/>
          <w:lang w:val="sv-SE"/>
        </w:rPr>
        <w:t xml:space="preserve">med </w:t>
      </w:r>
      <w:r w:rsidR="002874D9">
        <w:rPr>
          <w:color w:val="000000"/>
          <w:szCs w:val="22"/>
          <w:lang w:val="sv-SE"/>
        </w:rPr>
        <w:t>ockult infiltration av HES-celler i hjärtmuskeln</w:t>
      </w:r>
      <w:r w:rsidRPr="000E7AE9">
        <w:rPr>
          <w:color w:val="000000"/>
          <w:szCs w:val="22"/>
          <w:lang w:val="sv-SE"/>
        </w:rPr>
        <w:t xml:space="preserve">, har enstaka fall av kardiogen chock/vänster kammardysfunktion förknippats med </w:t>
      </w:r>
      <w:r w:rsidR="00E0120F">
        <w:rPr>
          <w:color w:val="000000"/>
          <w:szCs w:val="22"/>
          <w:lang w:val="sv-SE"/>
        </w:rPr>
        <w:t xml:space="preserve">degranulering av HES-celler i samband med </w:t>
      </w:r>
      <w:r w:rsidRPr="000E7AE9">
        <w:rPr>
          <w:color w:val="000000"/>
          <w:szCs w:val="22"/>
          <w:lang w:val="sv-SE"/>
        </w:rPr>
        <w:t>inledande av imatinibbehandling. Tillståndet rapporterades vara reversibelt vid administration av systemiska steroider, åtgärder för cirkulatorisk support och temporärt uppehåll med imatinib. Eftersom hjärtbiverkningar rapporterats som ovanliga med imatinib, skall en noggrann bedömning av nytta/riskförhållandet för imatinibbehandling övervägas hos HES/CEL-populationen före behandlingens början.</w:t>
      </w:r>
    </w:p>
    <w:p w14:paraId="63C6E4AB" w14:textId="77777777" w:rsidR="005018CF" w:rsidRDefault="005018CF" w:rsidP="00463647">
      <w:pPr>
        <w:pStyle w:val="EndnoteText"/>
        <w:widowControl w:val="0"/>
        <w:tabs>
          <w:tab w:val="clear" w:pos="567"/>
        </w:tabs>
        <w:rPr>
          <w:color w:val="000000"/>
          <w:szCs w:val="22"/>
          <w:lang w:val="sv-SE"/>
        </w:rPr>
      </w:pPr>
    </w:p>
    <w:p w14:paraId="603F6303" w14:textId="77777777" w:rsidR="001D41EE" w:rsidRPr="000E7AE9" w:rsidRDefault="001D41EE" w:rsidP="00463647">
      <w:pPr>
        <w:pStyle w:val="EndnoteText"/>
        <w:widowControl w:val="0"/>
        <w:tabs>
          <w:tab w:val="clear" w:pos="567"/>
        </w:tabs>
        <w:rPr>
          <w:color w:val="000000"/>
          <w:szCs w:val="22"/>
          <w:lang w:val="sv-SE"/>
        </w:rPr>
      </w:pPr>
      <w:r w:rsidRPr="000E7AE9">
        <w:rPr>
          <w:color w:val="000000"/>
          <w:szCs w:val="22"/>
          <w:lang w:val="sv-SE"/>
        </w:rPr>
        <w:t xml:space="preserve">Myelodysplastisk/myeloproliferativa sjukdomar förenat med rearrangemang av PDGFR-genen skulle kunna förknippas med höga eosinofil-nivåer. Utvärdering av en kardiologspecialist, utförande av ekokardiogram och bestämmande av troponin i serum skall därför övervägas hos patienter med HES/CEL och hos patienter med MDS/MPD i samband med höga eosinofil-nivåer innan imatinib ges. Om </w:t>
      </w:r>
      <w:r w:rsidR="004E4AC8" w:rsidRPr="000E7AE9">
        <w:rPr>
          <w:color w:val="000000"/>
          <w:szCs w:val="22"/>
          <w:lang w:val="sv-SE"/>
        </w:rPr>
        <w:t xml:space="preserve">någotdera </w:t>
      </w:r>
      <w:r w:rsidRPr="000E7AE9">
        <w:rPr>
          <w:color w:val="000000"/>
          <w:szCs w:val="22"/>
          <w:lang w:val="sv-SE"/>
        </w:rPr>
        <w:t>är onormal</w:t>
      </w:r>
      <w:r w:rsidR="004E4AC8" w:rsidRPr="000E7AE9">
        <w:rPr>
          <w:color w:val="000000"/>
          <w:szCs w:val="22"/>
          <w:lang w:val="sv-SE"/>
        </w:rPr>
        <w:t>t</w:t>
      </w:r>
      <w:r w:rsidRPr="000E7AE9">
        <w:rPr>
          <w:color w:val="000000"/>
          <w:szCs w:val="22"/>
          <w:lang w:val="sv-SE"/>
        </w:rPr>
        <w:t xml:space="preserve">, skall </w:t>
      </w:r>
      <w:r w:rsidR="00760E2F" w:rsidRPr="000E7AE9">
        <w:rPr>
          <w:color w:val="000000"/>
          <w:szCs w:val="22"/>
          <w:lang w:val="sv-SE"/>
        </w:rPr>
        <w:t xml:space="preserve">uppföljning av en kardiologspecialist och </w:t>
      </w:r>
      <w:r w:rsidRPr="000E7AE9">
        <w:rPr>
          <w:color w:val="000000"/>
          <w:szCs w:val="22"/>
          <w:lang w:val="sv-SE"/>
        </w:rPr>
        <w:t>profylaktisk användning av systemiska steroider (1</w:t>
      </w:r>
      <w:r w:rsidRPr="000E7AE9">
        <w:rPr>
          <w:color w:val="000000"/>
          <w:szCs w:val="22"/>
          <w:lang w:val="sv-SE"/>
        </w:rPr>
        <w:noBreakHyphen/>
        <w:t>2 mg/kg) i en eller två veckor tillsammans med imatinib övervägas vid behandlingens början.</w:t>
      </w:r>
    </w:p>
    <w:p w14:paraId="7AC663B2" w14:textId="77777777" w:rsidR="00620ABA" w:rsidRPr="000E7AE9" w:rsidRDefault="00620ABA" w:rsidP="00463647">
      <w:pPr>
        <w:pStyle w:val="EndnoteText"/>
        <w:widowControl w:val="0"/>
        <w:tabs>
          <w:tab w:val="clear" w:pos="567"/>
        </w:tabs>
        <w:rPr>
          <w:color w:val="000000"/>
          <w:szCs w:val="22"/>
          <w:lang w:val="sv-SE"/>
        </w:rPr>
      </w:pPr>
    </w:p>
    <w:p w14:paraId="27EB9C4D" w14:textId="77777777" w:rsidR="00100FA1" w:rsidRDefault="00100FA1" w:rsidP="00463647">
      <w:pPr>
        <w:pStyle w:val="EndnoteText"/>
        <w:keepNext/>
        <w:widowControl w:val="0"/>
        <w:tabs>
          <w:tab w:val="clear" w:pos="567"/>
        </w:tabs>
        <w:rPr>
          <w:color w:val="000000"/>
          <w:szCs w:val="22"/>
          <w:lang w:val="sv-SE"/>
        </w:rPr>
      </w:pPr>
      <w:r>
        <w:rPr>
          <w:color w:val="000000"/>
          <w:szCs w:val="22"/>
          <w:u w:val="single"/>
          <w:lang w:val="sv-SE"/>
        </w:rPr>
        <w:t>Gastrointestinala</w:t>
      </w:r>
      <w:r w:rsidRPr="00FB6631">
        <w:rPr>
          <w:color w:val="000000"/>
          <w:szCs w:val="22"/>
          <w:u w:val="single"/>
          <w:lang w:val="sv-SE"/>
        </w:rPr>
        <w:t xml:space="preserve"> blödningar</w:t>
      </w:r>
    </w:p>
    <w:p w14:paraId="14D7FA89" w14:textId="77777777" w:rsidR="00620ABA" w:rsidRDefault="00D17AB6" w:rsidP="00463647">
      <w:pPr>
        <w:pStyle w:val="EndnoteText"/>
        <w:widowControl w:val="0"/>
        <w:tabs>
          <w:tab w:val="clear" w:pos="567"/>
        </w:tabs>
        <w:rPr>
          <w:color w:val="000000"/>
          <w:szCs w:val="22"/>
          <w:lang w:val="sv-SE"/>
        </w:rPr>
      </w:pPr>
      <w:r w:rsidRPr="00100FA1">
        <w:rPr>
          <w:color w:val="000000"/>
          <w:szCs w:val="22"/>
          <w:lang w:val="sv-SE"/>
        </w:rPr>
        <w:t>I</w:t>
      </w:r>
      <w:r w:rsidRPr="000E7AE9">
        <w:rPr>
          <w:color w:val="000000"/>
          <w:szCs w:val="22"/>
          <w:lang w:val="sv-SE"/>
        </w:rPr>
        <w:t xml:space="preserve"> </w:t>
      </w:r>
      <w:r>
        <w:rPr>
          <w:color w:val="000000"/>
          <w:szCs w:val="22"/>
          <w:lang w:val="sv-SE"/>
        </w:rPr>
        <w:t>studien på patienter med icke-resercerbar och/eller metastaserande</w:t>
      </w:r>
      <w:r w:rsidRPr="000E7AE9">
        <w:rPr>
          <w:color w:val="000000"/>
          <w:szCs w:val="22"/>
          <w:lang w:val="sv-SE"/>
        </w:rPr>
        <w:t xml:space="preserve"> GIST</w:t>
      </w:r>
      <w:r w:rsidR="00620ABA" w:rsidRPr="000E7AE9">
        <w:rPr>
          <w:color w:val="000000"/>
          <w:szCs w:val="22"/>
          <w:lang w:val="sv-SE"/>
        </w:rPr>
        <w:t xml:space="preserve"> rapporterades både gastrointestinala och intratumorala blödningar (se avsnitt 4.8). Baserat på tillgängliga data har inga faktorer (t.ex. tumörstorlek, tumörplacering, koagulationsrubbningar) identifierats, som identifierar patienter för en högre risk för någondera typen av blödningar. Eftersom ökad kärlteckning och risk för blödning är en del av naturalförloppet vid GIST, skall standardmetoder och procedurer tillämpas för monitorering och handhavande av blödningar hos alla patienter.</w:t>
      </w:r>
    </w:p>
    <w:p w14:paraId="3CB314F7" w14:textId="77777777" w:rsidR="009572A7" w:rsidRDefault="009572A7" w:rsidP="00463647">
      <w:pPr>
        <w:pStyle w:val="EndnoteText"/>
        <w:widowControl w:val="0"/>
        <w:tabs>
          <w:tab w:val="clear" w:pos="567"/>
        </w:tabs>
        <w:rPr>
          <w:color w:val="000000"/>
          <w:szCs w:val="22"/>
          <w:lang w:val="sv-SE"/>
        </w:rPr>
      </w:pPr>
    </w:p>
    <w:p w14:paraId="3D380E3D" w14:textId="77777777" w:rsidR="00553790" w:rsidRDefault="009572A7" w:rsidP="00463647">
      <w:pPr>
        <w:pStyle w:val="EndnoteText"/>
        <w:widowControl w:val="0"/>
        <w:tabs>
          <w:tab w:val="clear" w:pos="567"/>
        </w:tabs>
        <w:rPr>
          <w:color w:val="000000"/>
          <w:szCs w:val="22"/>
          <w:lang w:val="sv-SE"/>
        </w:rPr>
      </w:pPr>
      <w:r>
        <w:rPr>
          <w:color w:val="000000"/>
          <w:szCs w:val="22"/>
          <w:lang w:val="sv-SE"/>
        </w:rPr>
        <w:t xml:space="preserve">Dessutom har </w:t>
      </w:r>
      <w:r w:rsidR="009803C9">
        <w:rPr>
          <w:color w:val="000000"/>
          <w:szCs w:val="22"/>
          <w:lang w:val="sv-SE"/>
        </w:rPr>
        <w:t xml:space="preserve">antrala kärlektasier (GAVE), en </w:t>
      </w:r>
      <w:r w:rsidR="007B3143">
        <w:rPr>
          <w:color w:val="000000"/>
          <w:szCs w:val="22"/>
          <w:lang w:val="sv-SE"/>
        </w:rPr>
        <w:t>ovanlig</w:t>
      </w:r>
      <w:r w:rsidR="009803C9">
        <w:rPr>
          <w:color w:val="000000"/>
          <w:szCs w:val="22"/>
          <w:lang w:val="sv-SE"/>
        </w:rPr>
        <w:t xml:space="preserve"> orsak till gastrointestinal blödning</w:t>
      </w:r>
      <w:r w:rsidR="007B3143">
        <w:rPr>
          <w:color w:val="000000"/>
          <w:szCs w:val="22"/>
          <w:lang w:val="sv-SE"/>
        </w:rPr>
        <w:t>, rapporterats efter marknads</w:t>
      </w:r>
      <w:r w:rsidR="00127FDA">
        <w:rPr>
          <w:color w:val="000000"/>
          <w:szCs w:val="22"/>
          <w:lang w:val="sv-SE"/>
        </w:rPr>
        <w:t>introduktion</w:t>
      </w:r>
      <w:r w:rsidR="007B3143">
        <w:rPr>
          <w:color w:val="000000"/>
          <w:szCs w:val="22"/>
          <w:lang w:val="sv-SE"/>
        </w:rPr>
        <w:t xml:space="preserve"> hos patienter med KML, ALL och andra sjukdomar (se avsnitt</w:t>
      </w:r>
      <w:r w:rsidR="001F7CE3">
        <w:rPr>
          <w:color w:val="000000"/>
          <w:szCs w:val="22"/>
          <w:lang w:val="sv-SE"/>
        </w:rPr>
        <w:t> </w:t>
      </w:r>
      <w:r w:rsidR="007B3143">
        <w:rPr>
          <w:color w:val="000000"/>
          <w:szCs w:val="22"/>
          <w:lang w:val="sv-SE"/>
        </w:rPr>
        <w:t xml:space="preserve">4.8). Vid behov kan </w:t>
      </w:r>
      <w:r w:rsidR="007B143D">
        <w:rPr>
          <w:color w:val="000000"/>
          <w:szCs w:val="22"/>
          <w:lang w:val="sv-SE"/>
        </w:rPr>
        <w:t xml:space="preserve">övervägas att avbryta </w:t>
      </w:r>
      <w:r w:rsidR="007B3143">
        <w:rPr>
          <w:color w:val="000000"/>
          <w:szCs w:val="22"/>
          <w:lang w:val="sv-SE"/>
        </w:rPr>
        <w:t xml:space="preserve">behandlingen med </w:t>
      </w:r>
      <w:r w:rsidR="007B143D">
        <w:rPr>
          <w:color w:val="000000"/>
          <w:szCs w:val="22"/>
          <w:lang w:val="sv-SE"/>
        </w:rPr>
        <w:t>Glivec.</w:t>
      </w:r>
    </w:p>
    <w:p w14:paraId="2A871114" w14:textId="77777777" w:rsidR="002D322C" w:rsidRPr="002D322C" w:rsidRDefault="002D322C" w:rsidP="00463647">
      <w:pPr>
        <w:pStyle w:val="EndnoteText"/>
        <w:widowControl w:val="0"/>
        <w:tabs>
          <w:tab w:val="clear" w:pos="567"/>
        </w:tabs>
        <w:rPr>
          <w:color w:val="000000"/>
          <w:szCs w:val="22"/>
          <w:lang w:val="sv-SE"/>
        </w:rPr>
      </w:pPr>
    </w:p>
    <w:p w14:paraId="1AA6FAB8" w14:textId="77777777" w:rsidR="009B5411" w:rsidRPr="00FB6631" w:rsidRDefault="009B5411" w:rsidP="00463647">
      <w:pPr>
        <w:pStyle w:val="EndnoteText"/>
        <w:keepNext/>
        <w:widowControl w:val="0"/>
        <w:tabs>
          <w:tab w:val="clear" w:pos="567"/>
        </w:tabs>
        <w:rPr>
          <w:color w:val="000000"/>
          <w:szCs w:val="22"/>
          <w:u w:val="single"/>
          <w:lang w:val="sv-SE"/>
        </w:rPr>
      </w:pPr>
      <w:r w:rsidRPr="00FB6631">
        <w:rPr>
          <w:color w:val="000000"/>
          <w:szCs w:val="22"/>
          <w:u w:val="single"/>
          <w:lang w:val="sv-SE"/>
        </w:rPr>
        <w:t>Tumörlyssyndrom</w:t>
      </w:r>
    </w:p>
    <w:p w14:paraId="12ED1F24" w14:textId="77777777" w:rsidR="00553790" w:rsidRDefault="00553790" w:rsidP="00463647">
      <w:pPr>
        <w:pStyle w:val="EndnoteText"/>
        <w:widowControl w:val="0"/>
        <w:tabs>
          <w:tab w:val="clear" w:pos="567"/>
        </w:tabs>
        <w:rPr>
          <w:color w:val="000000"/>
          <w:szCs w:val="22"/>
          <w:lang w:val="sv-SE"/>
        </w:rPr>
      </w:pPr>
      <w:r w:rsidRPr="009B5411">
        <w:rPr>
          <w:color w:val="000000"/>
          <w:szCs w:val="22"/>
          <w:lang w:val="sv-SE"/>
        </w:rPr>
        <w:t>På</w:t>
      </w:r>
      <w:r>
        <w:rPr>
          <w:color w:val="000000"/>
          <w:szCs w:val="22"/>
          <w:lang w:val="sv-SE"/>
        </w:rPr>
        <w:t xml:space="preserve"> grund av</w:t>
      </w:r>
      <w:r w:rsidR="00404A2B">
        <w:rPr>
          <w:color w:val="000000"/>
          <w:szCs w:val="22"/>
          <w:lang w:val="sv-SE"/>
        </w:rPr>
        <w:t xml:space="preserve"> en eventuell förekomst </w:t>
      </w:r>
      <w:r w:rsidR="006B3D9E">
        <w:rPr>
          <w:color w:val="000000"/>
          <w:szCs w:val="22"/>
          <w:lang w:val="sv-SE"/>
        </w:rPr>
        <w:t>av tumörlys</w:t>
      </w:r>
      <w:r>
        <w:rPr>
          <w:color w:val="000000"/>
          <w:szCs w:val="22"/>
          <w:lang w:val="sv-SE"/>
        </w:rPr>
        <w:t>syndrom (TLS)</w:t>
      </w:r>
      <w:r w:rsidR="00404A2B">
        <w:rPr>
          <w:color w:val="000000"/>
          <w:szCs w:val="22"/>
          <w:lang w:val="sv-SE"/>
        </w:rPr>
        <w:t xml:space="preserve"> </w:t>
      </w:r>
      <w:r w:rsidR="00B82617">
        <w:rPr>
          <w:color w:val="000000"/>
          <w:szCs w:val="22"/>
          <w:lang w:val="sv-SE"/>
        </w:rPr>
        <w:t xml:space="preserve">rekommenderas </w:t>
      </w:r>
      <w:r w:rsidR="00386FBC">
        <w:rPr>
          <w:color w:val="000000"/>
          <w:szCs w:val="22"/>
          <w:lang w:val="sv-SE"/>
        </w:rPr>
        <w:t xml:space="preserve">korrigering av </w:t>
      </w:r>
      <w:r w:rsidR="00F95E5E">
        <w:rPr>
          <w:color w:val="000000"/>
          <w:szCs w:val="22"/>
          <w:lang w:val="sv-SE"/>
        </w:rPr>
        <w:t xml:space="preserve">dehydrering, om </w:t>
      </w:r>
      <w:r w:rsidR="00386FBC">
        <w:rPr>
          <w:color w:val="000000"/>
          <w:szCs w:val="22"/>
          <w:lang w:val="sv-SE"/>
        </w:rPr>
        <w:t>klinisk</w:t>
      </w:r>
      <w:r w:rsidR="00F95E5E">
        <w:rPr>
          <w:color w:val="000000"/>
          <w:szCs w:val="22"/>
          <w:lang w:val="sv-SE"/>
        </w:rPr>
        <w:t xml:space="preserve"> signifikant, </w:t>
      </w:r>
      <w:r w:rsidR="001E34D3">
        <w:rPr>
          <w:color w:val="000000"/>
          <w:szCs w:val="22"/>
          <w:lang w:val="sv-SE"/>
        </w:rPr>
        <w:t>samt</w:t>
      </w:r>
      <w:r>
        <w:rPr>
          <w:color w:val="000000"/>
          <w:szCs w:val="22"/>
          <w:lang w:val="sv-SE"/>
        </w:rPr>
        <w:t xml:space="preserve"> behandling av hög</w:t>
      </w:r>
      <w:r w:rsidR="00B82617">
        <w:rPr>
          <w:color w:val="000000"/>
          <w:szCs w:val="22"/>
          <w:lang w:val="sv-SE"/>
        </w:rPr>
        <w:t>a</w:t>
      </w:r>
      <w:r>
        <w:rPr>
          <w:color w:val="000000"/>
          <w:szCs w:val="22"/>
          <w:lang w:val="sv-SE"/>
        </w:rPr>
        <w:t xml:space="preserve"> u</w:t>
      </w:r>
      <w:r w:rsidR="00386FBC">
        <w:rPr>
          <w:color w:val="000000"/>
          <w:szCs w:val="22"/>
          <w:lang w:val="sv-SE"/>
        </w:rPr>
        <w:t>rinsyra</w:t>
      </w:r>
      <w:r w:rsidR="00B82617">
        <w:rPr>
          <w:color w:val="000000"/>
          <w:szCs w:val="22"/>
          <w:lang w:val="sv-SE"/>
        </w:rPr>
        <w:t xml:space="preserve">nivåer </w:t>
      </w:r>
      <w:r>
        <w:rPr>
          <w:color w:val="000000"/>
          <w:szCs w:val="22"/>
          <w:lang w:val="sv-SE"/>
        </w:rPr>
        <w:t>före insättning av Glivec (se avsnitt 4.8).</w:t>
      </w:r>
    </w:p>
    <w:p w14:paraId="2DD067B2" w14:textId="77777777" w:rsidR="003B7108" w:rsidRDefault="003B7108" w:rsidP="00463647">
      <w:pPr>
        <w:pStyle w:val="EndnoteText"/>
        <w:widowControl w:val="0"/>
        <w:tabs>
          <w:tab w:val="clear" w:pos="567"/>
        </w:tabs>
        <w:rPr>
          <w:color w:val="000000"/>
          <w:szCs w:val="22"/>
          <w:lang w:val="sv-SE"/>
        </w:rPr>
      </w:pPr>
    </w:p>
    <w:p w14:paraId="2F26D34F" w14:textId="77777777" w:rsidR="003B7108" w:rsidRPr="005F1948" w:rsidRDefault="003B7108" w:rsidP="00463647">
      <w:pPr>
        <w:pStyle w:val="EndnoteText"/>
        <w:keepNext/>
        <w:widowControl w:val="0"/>
        <w:tabs>
          <w:tab w:val="clear" w:pos="567"/>
        </w:tabs>
        <w:rPr>
          <w:color w:val="000000"/>
          <w:szCs w:val="22"/>
          <w:lang w:val="sv-SE"/>
        </w:rPr>
      </w:pPr>
      <w:r w:rsidRPr="005F1948">
        <w:rPr>
          <w:color w:val="000000"/>
          <w:szCs w:val="22"/>
          <w:u w:val="single"/>
          <w:lang w:val="sv-SE"/>
        </w:rPr>
        <w:t>Hepatit B-reaktivering</w:t>
      </w:r>
    </w:p>
    <w:p w14:paraId="7F8547A6" w14:textId="77777777" w:rsidR="003B7108" w:rsidRDefault="003B7108" w:rsidP="00463647">
      <w:pPr>
        <w:pStyle w:val="EndnoteText"/>
        <w:widowControl w:val="0"/>
        <w:rPr>
          <w:color w:val="000000"/>
          <w:szCs w:val="22"/>
          <w:lang w:val="sv-SE"/>
        </w:rPr>
      </w:pPr>
      <w:r w:rsidRPr="005F1948">
        <w:rPr>
          <w:color w:val="000000"/>
          <w:szCs w:val="22"/>
          <w:lang w:val="sv-SE"/>
        </w:rPr>
        <w:t>Hos kroniska bärare av hepatit B virus har reaktivering av hepatit B förekommit efter att dessa patienter fått BCR-ABL tyrosinkinashämmare. Vissa fall ledde till akut leversvikt eller fulminant hepatit med levertransplantation eller dödlig utgång som följd.</w:t>
      </w:r>
    </w:p>
    <w:p w14:paraId="371AB639" w14:textId="77777777" w:rsidR="0023611A" w:rsidRPr="005F1948" w:rsidRDefault="0023611A" w:rsidP="00463647">
      <w:pPr>
        <w:pStyle w:val="EndnoteText"/>
        <w:widowControl w:val="0"/>
        <w:tabs>
          <w:tab w:val="clear" w:pos="567"/>
          <w:tab w:val="left" w:pos="2024"/>
        </w:tabs>
        <w:rPr>
          <w:color w:val="000000"/>
          <w:szCs w:val="22"/>
          <w:lang w:val="sv-SE"/>
        </w:rPr>
      </w:pPr>
    </w:p>
    <w:p w14:paraId="16CD798F" w14:textId="77777777" w:rsidR="003B7108" w:rsidRDefault="003B7108" w:rsidP="00463647">
      <w:pPr>
        <w:pStyle w:val="EndnoteText"/>
        <w:widowControl w:val="0"/>
        <w:tabs>
          <w:tab w:val="clear" w:pos="567"/>
        </w:tabs>
        <w:rPr>
          <w:color w:val="000000"/>
          <w:szCs w:val="22"/>
          <w:lang w:val="sv-SE"/>
        </w:rPr>
      </w:pPr>
      <w:r w:rsidRPr="005F1948">
        <w:rPr>
          <w:color w:val="000000"/>
          <w:szCs w:val="22"/>
          <w:lang w:val="sv-SE"/>
        </w:rPr>
        <w:t xml:space="preserve">Patienter ska testas för HBV-infektion innan behandling med </w:t>
      </w:r>
      <w:r>
        <w:rPr>
          <w:color w:val="000000"/>
          <w:szCs w:val="22"/>
          <w:lang w:val="sv-SE"/>
        </w:rPr>
        <w:t>Glivec</w:t>
      </w:r>
      <w:r w:rsidRPr="005F1948">
        <w:rPr>
          <w:color w:val="000000"/>
          <w:szCs w:val="22"/>
          <w:lang w:val="sv-SE"/>
        </w:rPr>
        <w:t xml:space="preserve"> påbörjas. Specialister på leversjukdomar och på behandling av hepatit B bör konsulteras innan behandling påbörjas hos patienter som testats positivt för hepatit B-serologi (inräknat dem med aktiv sjukdom) och vid patienter som testas positivt för HBV-infektion under behandlingen. Bärare av HBV som behöver behandling med </w:t>
      </w:r>
      <w:r w:rsidR="0023611A">
        <w:rPr>
          <w:color w:val="000000"/>
          <w:szCs w:val="22"/>
          <w:lang w:val="sv-SE"/>
        </w:rPr>
        <w:t>Glivec</w:t>
      </w:r>
      <w:r w:rsidRPr="005F1948">
        <w:rPr>
          <w:color w:val="000000"/>
          <w:szCs w:val="22"/>
          <w:lang w:val="sv-SE"/>
        </w:rPr>
        <w:t xml:space="preserve"> ska följas noga avseende tecken och symtom på aktiv HBV-infektion under hela behandlingen och i flera månader efter avslutad behandling (se avsnitt 4.8).</w:t>
      </w:r>
    </w:p>
    <w:p w14:paraId="63BD160C" w14:textId="77777777" w:rsidR="00374A8E" w:rsidRDefault="00374A8E" w:rsidP="00463647">
      <w:pPr>
        <w:pStyle w:val="EndnoteText"/>
        <w:widowControl w:val="0"/>
        <w:tabs>
          <w:tab w:val="clear" w:pos="567"/>
        </w:tabs>
        <w:rPr>
          <w:color w:val="000000"/>
          <w:szCs w:val="22"/>
          <w:lang w:val="sv-SE"/>
        </w:rPr>
      </w:pPr>
    </w:p>
    <w:p w14:paraId="6803C5EA" w14:textId="77777777" w:rsidR="005B7932" w:rsidRDefault="00374A8E" w:rsidP="00463647">
      <w:pPr>
        <w:pStyle w:val="EndnoteText"/>
        <w:keepNext/>
        <w:widowControl w:val="0"/>
        <w:tabs>
          <w:tab w:val="clear" w:pos="567"/>
        </w:tabs>
        <w:rPr>
          <w:color w:val="000000"/>
          <w:szCs w:val="22"/>
          <w:lang w:val="sv-SE"/>
        </w:rPr>
      </w:pPr>
      <w:r w:rsidRPr="005B7932">
        <w:rPr>
          <w:color w:val="000000"/>
          <w:szCs w:val="22"/>
          <w:u w:val="single"/>
          <w:lang w:val="sv-SE"/>
        </w:rPr>
        <w:t>Fototoxicitet</w:t>
      </w:r>
    </w:p>
    <w:p w14:paraId="73CC9000" w14:textId="77777777" w:rsidR="00374A8E" w:rsidRDefault="00374A8E" w:rsidP="00463647">
      <w:pPr>
        <w:pStyle w:val="EndnoteText"/>
        <w:widowControl w:val="0"/>
        <w:tabs>
          <w:tab w:val="clear" w:pos="567"/>
        </w:tabs>
        <w:rPr>
          <w:color w:val="000000"/>
          <w:szCs w:val="22"/>
          <w:lang w:val="sv-SE"/>
        </w:rPr>
      </w:pPr>
      <w:r w:rsidRPr="00374A8E">
        <w:rPr>
          <w:color w:val="000000"/>
          <w:szCs w:val="22"/>
          <w:lang w:val="sv-SE"/>
        </w:rPr>
        <w:t xml:space="preserve">Exponering för direkt solljus </w:t>
      </w:r>
      <w:r>
        <w:rPr>
          <w:color w:val="000000"/>
          <w:szCs w:val="22"/>
          <w:lang w:val="sv-SE"/>
        </w:rPr>
        <w:t>ska</w:t>
      </w:r>
      <w:r w:rsidRPr="00374A8E">
        <w:rPr>
          <w:color w:val="000000"/>
          <w:szCs w:val="22"/>
          <w:lang w:val="sv-SE"/>
        </w:rPr>
        <w:t xml:space="preserve"> undvikas eller minimeras på grund av risken för fototoxicitet i samband med imatinibbehandling. Patienterna </w:t>
      </w:r>
      <w:r>
        <w:rPr>
          <w:color w:val="000000"/>
          <w:szCs w:val="22"/>
          <w:lang w:val="sv-SE"/>
        </w:rPr>
        <w:t xml:space="preserve">ska </w:t>
      </w:r>
      <w:r w:rsidRPr="00374A8E">
        <w:rPr>
          <w:color w:val="000000"/>
          <w:szCs w:val="22"/>
          <w:lang w:val="sv-SE"/>
        </w:rPr>
        <w:t>instrueras att använda skydd</w:t>
      </w:r>
      <w:r w:rsidR="005362C4">
        <w:rPr>
          <w:color w:val="000000"/>
          <w:szCs w:val="22"/>
          <w:lang w:val="sv-SE"/>
        </w:rPr>
        <w:t xml:space="preserve">ande </w:t>
      </w:r>
      <w:r w:rsidRPr="00374A8E">
        <w:rPr>
          <w:color w:val="000000"/>
          <w:szCs w:val="22"/>
          <w:lang w:val="sv-SE"/>
        </w:rPr>
        <w:t>kläder och solskyddsmedel med hög solskyddsfaktor (SPF).</w:t>
      </w:r>
    </w:p>
    <w:p w14:paraId="09BD42B8" w14:textId="77777777" w:rsidR="002C316E" w:rsidRDefault="002C316E" w:rsidP="00463647">
      <w:pPr>
        <w:pStyle w:val="EndnoteText"/>
        <w:widowControl w:val="0"/>
        <w:tabs>
          <w:tab w:val="clear" w:pos="567"/>
        </w:tabs>
        <w:rPr>
          <w:color w:val="000000"/>
          <w:szCs w:val="22"/>
          <w:lang w:val="sv-SE"/>
        </w:rPr>
      </w:pPr>
    </w:p>
    <w:p w14:paraId="3CB543EB" w14:textId="77777777" w:rsidR="000622FA" w:rsidRPr="00274174" w:rsidRDefault="000622FA" w:rsidP="00463647">
      <w:pPr>
        <w:pStyle w:val="EndnoteText"/>
        <w:keepNext/>
        <w:widowControl w:val="0"/>
        <w:tabs>
          <w:tab w:val="clear" w:pos="567"/>
        </w:tabs>
        <w:rPr>
          <w:snapToGrid w:val="0"/>
          <w:color w:val="000000"/>
          <w:szCs w:val="22"/>
          <w:u w:val="single"/>
          <w:lang w:val="sv-SE"/>
        </w:rPr>
      </w:pPr>
      <w:r w:rsidRPr="00DF06CD">
        <w:rPr>
          <w:color w:val="000000"/>
          <w:szCs w:val="22"/>
          <w:u w:val="single"/>
          <w:lang w:val="sv-SE"/>
        </w:rPr>
        <w:t>Trombotisk</w:t>
      </w:r>
      <w:r w:rsidRPr="00274174">
        <w:rPr>
          <w:snapToGrid w:val="0"/>
          <w:color w:val="000000"/>
          <w:szCs w:val="22"/>
          <w:u w:val="single"/>
          <w:lang w:val="sv-SE"/>
        </w:rPr>
        <w:t xml:space="preserve"> mi</w:t>
      </w:r>
      <w:r>
        <w:rPr>
          <w:snapToGrid w:val="0"/>
          <w:color w:val="000000"/>
          <w:szCs w:val="22"/>
          <w:u w:val="single"/>
          <w:lang w:val="sv-SE"/>
        </w:rPr>
        <w:t>k</w:t>
      </w:r>
      <w:r w:rsidRPr="00274174">
        <w:rPr>
          <w:snapToGrid w:val="0"/>
          <w:color w:val="000000"/>
          <w:szCs w:val="22"/>
          <w:u w:val="single"/>
          <w:lang w:val="sv-SE"/>
        </w:rPr>
        <w:t>roangiopat</w:t>
      </w:r>
      <w:r>
        <w:rPr>
          <w:snapToGrid w:val="0"/>
          <w:color w:val="000000"/>
          <w:szCs w:val="22"/>
          <w:u w:val="single"/>
          <w:lang w:val="sv-SE"/>
        </w:rPr>
        <w:t>i</w:t>
      </w:r>
    </w:p>
    <w:p w14:paraId="10FB5542" w14:textId="77777777" w:rsidR="002C316E" w:rsidRPr="00030751" w:rsidRDefault="0044078A" w:rsidP="00463647">
      <w:pPr>
        <w:pStyle w:val="EndnoteText"/>
        <w:widowControl w:val="0"/>
        <w:tabs>
          <w:tab w:val="clear" w:pos="567"/>
        </w:tabs>
        <w:rPr>
          <w:color w:val="000000"/>
          <w:szCs w:val="22"/>
          <w:lang w:val="sv-SE"/>
        </w:rPr>
      </w:pPr>
      <w:r w:rsidRPr="00030751">
        <w:rPr>
          <w:color w:val="000000"/>
          <w:szCs w:val="22"/>
          <w:lang w:val="sv-SE"/>
        </w:rPr>
        <w:t xml:space="preserve">BCR-ABL </w:t>
      </w:r>
      <w:r w:rsidRPr="00035EFE">
        <w:rPr>
          <w:color w:val="000000"/>
          <w:szCs w:val="22"/>
          <w:lang w:val="sv-SE"/>
        </w:rPr>
        <w:t xml:space="preserve">tyrosinkinashämmare </w:t>
      </w:r>
      <w:r w:rsidR="00E169CD" w:rsidRPr="00035EFE">
        <w:rPr>
          <w:color w:val="000000"/>
          <w:szCs w:val="22"/>
          <w:lang w:val="sv-SE"/>
        </w:rPr>
        <w:t xml:space="preserve">(TKI) </w:t>
      </w:r>
      <w:r w:rsidRPr="00035EFE">
        <w:rPr>
          <w:color w:val="000000"/>
          <w:szCs w:val="22"/>
          <w:lang w:val="sv-SE"/>
        </w:rPr>
        <w:t xml:space="preserve">har </w:t>
      </w:r>
      <w:r w:rsidR="000622FA" w:rsidRPr="00035EFE">
        <w:rPr>
          <w:color w:val="000000"/>
          <w:szCs w:val="22"/>
          <w:lang w:val="sv-SE"/>
        </w:rPr>
        <w:t>associerats</w:t>
      </w:r>
      <w:r w:rsidR="00030751" w:rsidRPr="00035EFE">
        <w:rPr>
          <w:color w:val="000000"/>
          <w:szCs w:val="22"/>
          <w:lang w:val="sv-SE"/>
        </w:rPr>
        <w:t xml:space="preserve"> med</w:t>
      </w:r>
      <w:r w:rsidRPr="00035EFE">
        <w:rPr>
          <w:color w:val="000000"/>
          <w:szCs w:val="22"/>
          <w:lang w:val="sv-SE"/>
        </w:rPr>
        <w:t xml:space="preserve"> trom</w:t>
      </w:r>
      <w:r w:rsidRPr="00030751">
        <w:rPr>
          <w:color w:val="000000"/>
          <w:szCs w:val="22"/>
          <w:lang w:val="sv-SE"/>
        </w:rPr>
        <w:t>botisk mikroangiopati (TMA)</w:t>
      </w:r>
      <w:r w:rsidR="00030751">
        <w:rPr>
          <w:color w:val="000000"/>
          <w:szCs w:val="22"/>
          <w:lang w:val="sv-SE"/>
        </w:rPr>
        <w:t xml:space="preserve">, </w:t>
      </w:r>
      <w:r w:rsidR="00852E1C">
        <w:rPr>
          <w:color w:val="000000"/>
          <w:szCs w:val="22"/>
          <w:lang w:val="sv-SE"/>
        </w:rPr>
        <w:t>inkluderande</w:t>
      </w:r>
      <w:r w:rsidR="00030751">
        <w:rPr>
          <w:color w:val="000000"/>
          <w:szCs w:val="22"/>
          <w:lang w:val="sv-SE"/>
        </w:rPr>
        <w:t xml:space="preserve"> individuella </w:t>
      </w:r>
      <w:r w:rsidR="00397CB4">
        <w:rPr>
          <w:color w:val="000000"/>
          <w:szCs w:val="22"/>
          <w:lang w:val="sv-SE"/>
        </w:rPr>
        <w:t>fallrapporter för Glivec (se avsnitt 4.8)</w:t>
      </w:r>
      <w:r w:rsidR="00620FD7">
        <w:rPr>
          <w:color w:val="000000"/>
          <w:szCs w:val="22"/>
          <w:lang w:val="sv-SE"/>
        </w:rPr>
        <w:t xml:space="preserve">. </w:t>
      </w:r>
      <w:r w:rsidR="00852E1C">
        <w:rPr>
          <w:color w:val="000000"/>
          <w:szCs w:val="22"/>
          <w:lang w:val="sv-SE"/>
        </w:rPr>
        <w:t>Vid förekomst av l</w:t>
      </w:r>
      <w:r w:rsidR="00620FD7">
        <w:rPr>
          <w:color w:val="000000"/>
          <w:szCs w:val="22"/>
          <w:lang w:val="sv-SE"/>
        </w:rPr>
        <w:t>aboratorie</w:t>
      </w:r>
      <w:r w:rsidR="004E3400">
        <w:rPr>
          <w:color w:val="000000"/>
          <w:szCs w:val="22"/>
          <w:lang w:val="sv-SE"/>
        </w:rPr>
        <w:t>-</w:t>
      </w:r>
      <w:r w:rsidR="00620FD7">
        <w:rPr>
          <w:color w:val="000000"/>
          <w:szCs w:val="22"/>
          <w:lang w:val="sv-SE"/>
        </w:rPr>
        <w:t xml:space="preserve"> eller kliniska</w:t>
      </w:r>
      <w:r w:rsidR="00852E1C">
        <w:rPr>
          <w:color w:val="000000"/>
          <w:szCs w:val="22"/>
          <w:lang w:val="sv-SE"/>
        </w:rPr>
        <w:t xml:space="preserve"> fynd</w:t>
      </w:r>
      <w:r w:rsidR="000622FA">
        <w:rPr>
          <w:color w:val="000000"/>
          <w:szCs w:val="22"/>
          <w:lang w:val="sv-SE"/>
        </w:rPr>
        <w:t xml:space="preserve"> associerade</w:t>
      </w:r>
      <w:r w:rsidR="00252B63">
        <w:rPr>
          <w:color w:val="000000"/>
          <w:szCs w:val="22"/>
          <w:lang w:val="sv-SE"/>
        </w:rPr>
        <w:t xml:space="preserve"> </w:t>
      </w:r>
      <w:r w:rsidR="00852E1C">
        <w:rPr>
          <w:color w:val="000000"/>
          <w:szCs w:val="22"/>
          <w:lang w:val="sv-SE"/>
        </w:rPr>
        <w:t>med TMA hos en p</w:t>
      </w:r>
      <w:r w:rsidR="00252B63">
        <w:rPr>
          <w:color w:val="000000"/>
          <w:szCs w:val="22"/>
          <w:lang w:val="sv-SE"/>
        </w:rPr>
        <w:t>atient som får Glivec ska behan</w:t>
      </w:r>
      <w:r w:rsidR="00852E1C">
        <w:rPr>
          <w:color w:val="000000"/>
          <w:szCs w:val="22"/>
          <w:lang w:val="sv-SE"/>
        </w:rPr>
        <w:t>d</w:t>
      </w:r>
      <w:r w:rsidR="00252B63">
        <w:rPr>
          <w:color w:val="000000"/>
          <w:szCs w:val="22"/>
          <w:lang w:val="sv-SE"/>
        </w:rPr>
        <w:t>l</w:t>
      </w:r>
      <w:r w:rsidR="00852E1C">
        <w:rPr>
          <w:color w:val="000000"/>
          <w:szCs w:val="22"/>
          <w:lang w:val="sv-SE"/>
        </w:rPr>
        <w:t xml:space="preserve">ingen avbrytas och grundlig utvärdering </w:t>
      </w:r>
      <w:r w:rsidR="00252B63">
        <w:rPr>
          <w:color w:val="000000"/>
          <w:szCs w:val="22"/>
          <w:lang w:val="sv-SE"/>
        </w:rPr>
        <w:t>för TMA</w:t>
      </w:r>
      <w:r w:rsidR="000622FA">
        <w:rPr>
          <w:color w:val="000000"/>
          <w:szCs w:val="22"/>
          <w:lang w:val="sv-SE"/>
        </w:rPr>
        <w:t xml:space="preserve"> ska genomföras</w:t>
      </w:r>
      <w:r w:rsidR="00252B63">
        <w:rPr>
          <w:color w:val="000000"/>
          <w:szCs w:val="22"/>
          <w:lang w:val="sv-SE"/>
        </w:rPr>
        <w:t>, inklu</w:t>
      </w:r>
      <w:r w:rsidR="000622FA">
        <w:rPr>
          <w:color w:val="000000"/>
          <w:szCs w:val="22"/>
          <w:lang w:val="sv-SE"/>
        </w:rPr>
        <w:t xml:space="preserve">derande bestämning av </w:t>
      </w:r>
      <w:r w:rsidR="00252B63">
        <w:rPr>
          <w:color w:val="000000"/>
          <w:szCs w:val="22"/>
          <w:lang w:val="sv-SE"/>
        </w:rPr>
        <w:t>ADAMTS13-aktivitet</w:t>
      </w:r>
      <w:r w:rsidR="00620FD7">
        <w:rPr>
          <w:color w:val="000000"/>
          <w:szCs w:val="22"/>
          <w:lang w:val="sv-SE"/>
        </w:rPr>
        <w:t xml:space="preserve"> </w:t>
      </w:r>
      <w:r w:rsidR="00252B63">
        <w:rPr>
          <w:color w:val="000000"/>
          <w:szCs w:val="22"/>
          <w:lang w:val="sv-SE"/>
        </w:rPr>
        <w:t>och anti-ADAMTS13-antikroppar. Om anti-ADAMTS13-antikropp är förhöjd</w:t>
      </w:r>
      <w:r w:rsidR="00480E14">
        <w:rPr>
          <w:color w:val="000000"/>
          <w:szCs w:val="22"/>
          <w:lang w:val="sv-SE"/>
        </w:rPr>
        <w:t xml:space="preserve"> </w:t>
      </w:r>
      <w:r w:rsidR="001005E7">
        <w:rPr>
          <w:color w:val="000000"/>
          <w:szCs w:val="22"/>
          <w:lang w:val="sv-SE"/>
        </w:rPr>
        <w:t xml:space="preserve">i samband med att </w:t>
      </w:r>
      <w:r w:rsidR="000622FA">
        <w:rPr>
          <w:color w:val="000000"/>
          <w:szCs w:val="22"/>
          <w:lang w:val="sv-SE"/>
        </w:rPr>
        <w:t>ADAMTS13-aktivitet</w:t>
      </w:r>
      <w:r w:rsidR="001005E7">
        <w:rPr>
          <w:color w:val="000000"/>
          <w:szCs w:val="22"/>
          <w:lang w:val="sv-SE"/>
        </w:rPr>
        <w:t>en är låg</w:t>
      </w:r>
      <w:r w:rsidR="000622FA">
        <w:rPr>
          <w:color w:val="000000"/>
          <w:szCs w:val="22"/>
          <w:lang w:val="sv-SE"/>
        </w:rPr>
        <w:t xml:space="preserve"> ska behan</w:t>
      </w:r>
      <w:r w:rsidR="00252B63">
        <w:rPr>
          <w:color w:val="000000"/>
          <w:szCs w:val="22"/>
          <w:lang w:val="sv-SE"/>
        </w:rPr>
        <w:t>d</w:t>
      </w:r>
      <w:r w:rsidR="000622FA">
        <w:rPr>
          <w:color w:val="000000"/>
          <w:szCs w:val="22"/>
          <w:lang w:val="sv-SE"/>
        </w:rPr>
        <w:t>l</w:t>
      </w:r>
      <w:r w:rsidR="00252B63">
        <w:rPr>
          <w:color w:val="000000"/>
          <w:szCs w:val="22"/>
          <w:lang w:val="sv-SE"/>
        </w:rPr>
        <w:t>ing med Glivec inte återupptas.</w:t>
      </w:r>
    </w:p>
    <w:p w14:paraId="15027203" w14:textId="77777777" w:rsidR="00620ABA" w:rsidRPr="0023611A" w:rsidRDefault="00620ABA" w:rsidP="00463647">
      <w:pPr>
        <w:pStyle w:val="EndnoteText"/>
        <w:widowControl w:val="0"/>
        <w:tabs>
          <w:tab w:val="clear" w:pos="567"/>
        </w:tabs>
        <w:rPr>
          <w:color w:val="000000"/>
          <w:szCs w:val="22"/>
          <w:lang w:val="sv-SE"/>
        </w:rPr>
      </w:pPr>
    </w:p>
    <w:p w14:paraId="19DC96F0" w14:textId="77777777" w:rsidR="00620ABA" w:rsidRPr="000E7AE9" w:rsidRDefault="00620ABA" w:rsidP="00463647">
      <w:pPr>
        <w:pStyle w:val="EndnoteText"/>
        <w:keepNext/>
        <w:widowControl w:val="0"/>
        <w:tabs>
          <w:tab w:val="clear" w:pos="567"/>
        </w:tabs>
        <w:rPr>
          <w:color w:val="000000"/>
          <w:szCs w:val="22"/>
          <w:lang w:val="sv-SE"/>
        </w:rPr>
      </w:pPr>
      <w:r w:rsidRPr="000E7AE9">
        <w:rPr>
          <w:color w:val="000000"/>
          <w:szCs w:val="22"/>
          <w:u w:val="single"/>
          <w:lang w:val="sv-SE"/>
        </w:rPr>
        <w:t>Laboratorieundersökningar</w:t>
      </w:r>
    </w:p>
    <w:p w14:paraId="3E97315B"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Fullständig blodstatus skall kontrolleras regelbundet under behandling med Glivec. Glivec har förknippats med neutropeni eller trombocytopeni vid behandling av patienter med KML. Dessa cytopenier är dock troligen förknippade med den behandlade sjukdomens olika stadier och är därför vanligare hos patienter med KML i accelererad fas eller blastkris än hos patienter med KML i kronisk fas. Behandling med Glivec kan avbrytas eller dosen reduceras enligt rekommendationer i avsnitt 4.2.</w:t>
      </w:r>
    </w:p>
    <w:p w14:paraId="494D446D" w14:textId="77777777" w:rsidR="00620ABA" w:rsidRPr="000E7AE9" w:rsidRDefault="00620ABA" w:rsidP="00463647">
      <w:pPr>
        <w:pStyle w:val="EndnoteText"/>
        <w:widowControl w:val="0"/>
        <w:tabs>
          <w:tab w:val="clear" w:pos="567"/>
        </w:tabs>
        <w:rPr>
          <w:color w:val="000000"/>
          <w:szCs w:val="22"/>
          <w:lang w:val="sv-SE"/>
        </w:rPr>
      </w:pPr>
    </w:p>
    <w:p w14:paraId="3446F7AB"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Leverfunktionen (transaminaser, bilirubin, alkaliskt fosfatas) skall övervakas regelbundet hos patienter som får behandling med Glivec.</w:t>
      </w:r>
    </w:p>
    <w:p w14:paraId="21982E72" w14:textId="77777777" w:rsidR="00620ABA" w:rsidRPr="000E7AE9" w:rsidRDefault="00620ABA" w:rsidP="00463647">
      <w:pPr>
        <w:pStyle w:val="EndnoteText"/>
        <w:widowControl w:val="0"/>
        <w:tabs>
          <w:tab w:val="clear" w:pos="567"/>
        </w:tabs>
        <w:rPr>
          <w:color w:val="000000"/>
          <w:szCs w:val="22"/>
          <w:lang w:val="sv-SE"/>
        </w:rPr>
      </w:pPr>
    </w:p>
    <w:p w14:paraId="663A7E4A" w14:textId="77777777" w:rsidR="003B6350" w:rsidRDefault="00620ABA" w:rsidP="00463647">
      <w:pPr>
        <w:pStyle w:val="EndnoteText"/>
        <w:widowControl w:val="0"/>
        <w:tabs>
          <w:tab w:val="clear" w:pos="567"/>
        </w:tabs>
        <w:rPr>
          <w:color w:val="000000"/>
          <w:szCs w:val="22"/>
          <w:lang w:val="sv-SE"/>
        </w:rPr>
      </w:pPr>
      <w:r w:rsidRPr="000E7AE9">
        <w:rPr>
          <w:color w:val="000000"/>
          <w:szCs w:val="22"/>
          <w:lang w:val="sv-SE"/>
        </w:rPr>
        <w:t xml:space="preserve">Hos patienter med nedsatt njurfunktion tycks plasmaexponeringen av imatinib vara högre än hos patienter med normal njurfunktion, förmodligen beroende på förhöjd plasmanivå av </w:t>
      </w:r>
      <w:r w:rsidR="004E4AC8" w:rsidRPr="000E7AE9">
        <w:rPr>
          <w:color w:val="000000"/>
          <w:szCs w:val="22"/>
          <w:lang w:val="sv-SE"/>
        </w:rPr>
        <w:t xml:space="preserve">surt </w:t>
      </w:r>
      <w:r w:rsidRPr="000E7AE9">
        <w:rPr>
          <w:color w:val="000000"/>
          <w:szCs w:val="22"/>
          <w:lang w:val="sv-SE"/>
        </w:rPr>
        <w:t xml:space="preserve">alfa-1 glykoprotein (AGP), ett protein som binder imatinib, hos </w:t>
      </w:r>
      <w:r w:rsidR="00CA3069" w:rsidRPr="000E7AE9">
        <w:rPr>
          <w:color w:val="000000"/>
          <w:szCs w:val="22"/>
          <w:lang w:val="sv-SE"/>
        </w:rPr>
        <w:t xml:space="preserve">dessa </w:t>
      </w:r>
      <w:r w:rsidRPr="000E7AE9">
        <w:rPr>
          <w:color w:val="000000"/>
          <w:szCs w:val="22"/>
          <w:lang w:val="sv-SE"/>
        </w:rPr>
        <w:t>patienter</w:t>
      </w:r>
      <w:r w:rsidR="00CA3069" w:rsidRPr="000E7AE9">
        <w:rPr>
          <w:color w:val="000000"/>
          <w:szCs w:val="22"/>
          <w:lang w:val="sv-SE"/>
        </w:rPr>
        <w:t xml:space="preserve">. Patienter med nedsatt njurfunktion skall ges den lägsta startdosen. Patienter med kraftigt nedsatt njurfunktion skall behandlas med försiktighet. Dosen kan minskas om den inte tolereras </w:t>
      </w:r>
      <w:r w:rsidR="00133082" w:rsidRPr="000E7AE9">
        <w:rPr>
          <w:color w:val="000000"/>
          <w:szCs w:val="22"/>
          <w:lang w:val="sv-SE"/>
        </w:rPr>
        <w:t xml:space="preserve">(se avsnitt </w:t>
      </w:r>
      <w:r w:rsidR="00CA3069" w:rsidRPr="000E7AE9">
        <w:rPr>
          <w:color w:val="000000"/>
          <w:szCs w:val="22"/>
          <w:lang w:val="sv-SE"/>
        </w:rPr>
        <w:t>4.2</w:t>
      </w:r>
      <w:r w:rsidR="00133082" w:rsidRPr="000E7AE9">
        <w:rPr>
          <w:color w:val="000000"/>
          <w:szCs w:val="22"/>
          <w:lang w:val="sv-SE"/>
        </w:rPr>
        <w:t xml:space="preserve"> och 5.2)</w:t>
      </w:r>
      <w:r w:rsidR="00CA3069" w:rsidRPr="000E7AE9">
        <w:rPr>
          <w:color w:val="000000"/>
          <w:szCs w:val="22"/>
          <w:lang w:val="sv-SE"/>
        </w:rPr>
        <w:t>.</w:t>
      </w:r>
    </w:p>
    <w:p w14:paraId="6D0BC388" w14:textId="77777777" w:rsidR="00F00853" w:rsidRDefault="00F00853" w:rsidP="00463647">
      <w:pPr>
        <w:pStyle w:val="EndnoteText"/>
        <w:widowControl w:val="0"/>
        <w:tabs>
          <w:tab w:val="clear" w:pos="567"/>
        </w:tabs>
        <w:rPr>
          <w:color w:val="000000"/>
          <w:szCs w:val="22"/>
          <w:lang w:val="sv-SE"/>
        </w:rPr>
      </w:pPr>
    </w:p>
    <w:p w14:paraId="775932C3" w14:textId="77777777" w:rsidR="00F00853" w:rsidRDefault="00F00853" w:rsidP="00463647">
      <w:pPr>
        <w:pStyle w:val="EndnoteText"/>
        <w:widowControl w:val="0"/>
        <w:tabs>
          <w:tab w:val="clear" w:pos="567"/>
        </w:tabs>
        <w:rPr>
          <w:color w:val="000000"/>
          <w:szCs w:val="22"/>
          <w:lang w:val="sv-SE"/>
        </w:rPr>
      </w:pPr>
      <w:r>
        <w:rPr>
          <w:color w:val="000000"/>
          <w:szCs w:val="22"/>
          <w:lang w:val="sv-SE"/>
        </w:rPr>
        <w:t xml:space="preserve">Långtidsbehandling </w:t>
      </w:r>
      <w:r w:rsidR="00B338A6">
        <w:rPr>
          <w:color w:val="000000"/>
          <w:szCs w:val="22"/>
          <w:lang w:val="sv-SE"/>
        </w:rPr>
        <w:t xml:space="preserve">med imatinib kan vara </w:t>
      </w:r>
      <w:r w:rsidR="00C73A3B" w:rsidRPr="0021118B">
        <w:rPr>
          <w:color w:val="000000"/>
          <w:szCs w:val="22"/>
          <w:lang w:val="sv-SE"/>
        </w:rPr>
        <w:t xml:space="preserve">förknippad </w:t>
      </w:r>
      <w:r>
        <w:rPr>
          <w:color w:val="000000"/>
          <w:szCs w:val="22"/>
          <w:lang w:val="sv-SE"/>
        </w:rPr>
        <w:t xml:space="preserve">med en kliniskt signifikant </w:t>
      </w:r>
      <w:r w:rsidR="00EB01B9">
        <w:rPr>
          <w:color w:val="000000"/>
          <w:szCs w:val="22"/>
          <w:lang w:val="sv-SE"/>
        </w:rPr>
        <w:t>försämring</w:t>
      </w:r>
      <w:r w:rsidR="00B338A6">
        <w:rPr>
          <w:color w:val="000000"/>
          <w:szCs w:val="22"/>
          <w:lang w:val="sv-SE"/>
        </w:rPr>
        <w:t xml:space="preserve"> av njurfunktionen</w:t>
      </w:r>
      <w:r w:rsidR="003E29E8">
        <w:rPr>
          <w:color w:val="000000"/>
          <w:szCs w:val="22"/>
          <w:lang w:val="sv-SE"/>
        </w:rPr>
        <w:t xml:space="preserve">. </w:t>
      </w:r>
      <w:r w:rsidRPr="00F00853">
        <w:rPr>
          <w:color w:val="000000"/>
          <w:szCs w:val="22"/>
          <w:lang w:val="sv-SE"/>
        </w:rPr>
        <w:t xml:space="preserve">Njurfunktionen bör därför utvärderas </w:t>
      </w:r>
      <w:r w:rsidR="003E29E8">
        <w:rPr>
          <w:color w:val="000000"/>
          <w:szCs w:val="22"/>
          <w:lang w:val="sv-SE"/>
        </w:rPr>
        <w:t>före starten</w:t>
      </w:r>
      <w:r w:rsidRPr="00F00853">
        <w:rPr>
          <w:color w:val="000000"/>
          <w:szCs w:val="22"/>
          <w:lang w:val="sv-SE"/>
        </w:rPr>
        <w:t xml:space="preserve"> av imatinib-behandling och följas noga under behandling, med särskild uppmärksamhet på patienter </w:t>
      </w:r>
      <w:r w:rsidR="00C73A3B">
        <w:rPr>
          <w:color w:val="000000"/>
          <w:szCs w:val="22"/>
          <w:lang w:val="sv-SE"/>
        </w:rPr>
        <w:t>med</w:t>
      </w:r>
      <w:r w:rsidRPr="00F00853">
        <w:rPr>
          <w:color w:val="000000"/>
          <w:szCs w:val="22"/>
          <w:lang w:val="sv-SE"/>
        </w:rPr>
        <w:t xml:space="preserve"> riskfaktorer för nedsatt njurfunktion. Om </w:t>
      </w:r>
      <w:r w:rsidR="00C73A3B" w:rsidRPr="0021118B">
        <w:rPr>
          <w:color w:val="000000"/>
          <w:szCs w:val="22"/>
          <w:lang w:val="sv-SE"/>
        </w:rPr>
        <w:t xml:space="preserve">nedsatt njurfunktion </w:t>
      </w:r>
      <w:r w:rsidRPr="00F00853">
        <w:rPr>
          <w:color w:val="000000"/>
          <w:szCs w:val="22"/>
          <w:lang w:val="sv-SE"/>
        </w:rPr>
        <w:t xml:space="preserve">observeras, bör lämplig hantering och behandling </w:t>
      </w:r>
      <w:r w:rsidR="003E29E8">
        <w:rPr>
          <w:color w:val="000000"/>
          <w:szCs w:val="22"/>
          <w:lang w:val="sv-SE"/>
        </w:rPr>
        <w:t>för</w:t>
      </w:r>
      <w:r w:rsidRPr="00F00853">
        <w:rPr>
          <w:color w:val="000000"/>
          <w:szCs w:val="22"/>
          <w:lang w:val="sv-SE"/>
        </w:rPr>
        <w:t>skrivas i enlighet med standard</w:t>
      </w:r>
      <w:r w:rsidR="003E29E8">
        <w:rPr>
          <w:color w:val="000000"/>
          <w:szCs w:val="22"/>
          <w:lang w:val="sv-SE"/>
        </w:rPr>
        <w:t xml:space="preserve">iserade </w:t>
      </w:r>
      <w:r w:rsidRPr="00F00853">
        <w:rPr>
          <w:color w:val="000000"/>
          <w:szCs w:val="22"/>
          <w:lang w:val="sv-SE"/>
        </w:rPr>
        <w:t>behandlingsriktlinjer.</w:t>
      </w:r>
    </w:p>
    <w:p w14:paraId="33FD5482" w14:textId="77777777" w:rsidR="003B6350" w:rsidRPr="00A11489" w:rsidRDefault="003B6350" w:rsidP="00463647">
      <w:pPr>
        <w:pStyle w:val="EndnoteText"/>
        <w:widowControl w:val="0"/>
        <w:tabs>
          <w:tab w:val="clear" w:pos="567"/>
        </w:tabs>
        <w:rPr>
          <w:color w:val="000000"/>
          <w:szCs w:val="22"/>
          <w:lang w:val="sv-SE"/>
        </w:rPr>
      </w:pPr>
    </w:p>
    <w:p w14:paraId="189FC7D6" w14:textId="77777777" w:rsidR="003B6350" w:rsidRPr="00B10EAC" w:rsidRDefault="009B5411" w:rsidP="00463647">
      <w:pPr>
        <w:pStyle w:val="EndnoteText"/>
        <w:keepNext/>
        <w:widowControl w:val="0"/>
        <w:tabs>
          <w:tab w:val="clear" w:pos="567"/>
        </w:tabs>
        <w:rPr>
          <w:lang w:val="sv-SE"/>
        </w:rPr>
      </w:pPr>
      <w:r w:rsidRPr="00B10EAC">
        <w:rPr>
          <w:u w:val="single"/>
          <w:lang w:val="sv-SE"/>
        </w:rPr>
        <w:t xml:space="preserve">Pediatrisk </w:t>
      </w:r>
      <w:r w:rsidRPr="00DF06CD">
        <w:rPr>
          <w:color w:val="000000"/>
          <w:szCs w:val="22"/>
          <w:u w:val="single"/>
          <w:lang w:val="sv-SE"/>
        </w:rPr>
        <w:t>population</w:t>
      </w:r>
    </w:p>
    <w:p w14:paraId="44C21098" w14:textId="77777777" w:rsidR="003B6350" w:rsidRPr="00E442F4" w:rsidRDefault="00A11489" w:rsidP="00463647">
      <w:pPr>
        <w:pStyle w:val="EndnoteText"/>
        <w:widowControl w:val="0"/>
        <w:tabs>
          <w:tab w:val="clear" w:pos="567"/>
        </w:tabs>
        <w:rPr>
          <w:szCs w:val="22"/>
          <w:lang w:val="nb-NO" w:bidi="kn-IN"/>
        </w:rPr>
      </w:pPr>
      <w:r w:rsidRPr="007F2818">
        <w:rPr>
          <w:szCs w:val="22"/>
          <w:lang w:val="sv-SE" w:bidi="kn-IN"/>
        </w:rPr>
        <w:t xml:space="preserve">Det har förekommit </w:t>
      </w:r>
      <w:r w:rsidR="006A3024" w:rsidRPr="007F2818">
        <w:rPr>
          <w:szCs w:val="22"/>
          <w:lang w:val="sv-SE" w:bidi="kn-IN"/>
        </w:rPr>
        <w:t>fallbeskrivnings</w:t>
      </w:r>
      <w:r w:rsidRPr="007F2818">
        <w:rPr>
          <w:szCs w:val="22"/>
          <w:lang w:val="sv-SE" w:bidi="kn-IN"/>
        </w:rPr>
        <w:t xml:space="preserve">rapporter om </w:t>
      </w:r>
      <w:r w:rsidR="002C6548">
        <w:rPr>
          <w:szCs w:val="22"/>
          <w:lang w:val="sv-SE" w:bidi="kn-IN"/>
        </w:rPr>
        <w:t>tillväxthämning</w:t>
      </w:r>
      <w:r w:rsidRPr="007F2818">
        <w:rPr>
          <w:szCs w:val="22"/>
          <w:lang w:val="sv-SE" w:bidi="kn-IN"/>
        </w:rPr>
        <w:t xml:space="preserve"> hos barn och ungdomar </w:t>
      </w:r>
      <w:r w:rsidR="002C6548">
        <w:rPr>
          <w:szCs w:val="22"/>
          <w:lang w:val="sv-SE" w:bidi="kn-IN"/>
        </w:rPr>
        <w:t>i förpuberteten</w:t>
      </w:r>
      <w:r w:rsidRPr="007F2818">
        <w:rPr>
          <w:szCs w:val="22"/>
          <w:lang w:val="sv-SE" w:bidi="kn-IN"/>
        </w:rPr>
        <w:t xml:space="preserve"> </w:t>
      </w:r>
      <w:r w:rsidR="006A3024" w:rsidRPr="007F2818">
        <w:rPr>
          <w:szCs w:val="22"/>
          <w:lang w:val="sv-SE" w:bidi="kn-IN"/>
        </w:rPr>
        <w:t>som</w:t>
      </w:r>
      <w:r w:rsidR="002C6548">
        <w:rPr>
          <w:szCs w:val="22"/>
          <w:lang w:val="sv-SE" w:bidi="kn-IN"/>
        </w:rPr>
        <w:t xml:space="preserve"> har fått </w:t>
      </w:r>
      <w:r w:rsidRPr="007F2818">
        <w:rPr>
          <w:szCs w:val="22"/>
          <w:lang w:val="sv-SE" w:bidi="kn-IN"/>
        </w:rPr>
        <w:t xml:space="preserve">imatinib. </w:t>
      </w:r>
      <w:r w:rsidR="000F6425" w:rsidRPr="007F16E1">
        <w:rPr>
          <w:szCs w:val="22"/>
          <w:lang w:val="sv-SE" w:bidi="kn-IN"/>
        </w:rPr>
        <w:t xml:space="preserve">I en observationsstudie </w:t>
      </w:r>
      <w:r w:rsidR="00093E76" w:rsidRPr="007F16E1">
        <w:rPr>
          <w:szCs w:val="22"/>
          <w:lang w:val="sv-SE" w:bidi="kn-IN"/>
        </w:rPr>
        <w:t>på</w:t>
      </w:r>
      <w:r w:rsidR="000F6425" w:rsidRPr="007F16E1">
        <w:rPr>
          <w:szCs w:val="22"/>
          <w:lang w:val="sv-SE" w:bidi="kn-IN"/>
        </w:rPr>
        <w:t xml:space="preserve"> den pediatriska KML populationen rapporterades en </w:t>
      </w:r>
      <w:r w:rsidR="00551C16">
        <w:rPr>
          <w:szCs w:val="22"/>
          <w:lang w:val="sv-SE" w:bidi="kn-IN"/>
        </w:rPr>
        <w:t>stati</w:t>
      </w:r>
      <w:r w:rsidR="00116EAF">
        <w:rPr>
          <w:szCs w:val="22"/>
          <w:lang w:val="sv-SE" w:bidi="kn-IN"/>
        </w:rPr>
        <w:t>s</w:t>
      </w:r>
      <w:r w:rsidR="00551C16">
        <w:rPr>
          <w:szCs w:val="22"/>
          <w:lang w:val="sv-SE" w:bidi="kn-IN"/>
        </w:rPr>
        <w:t>ti</w:t>
      </w:r>
      <w:r w:rsidR="00116EAF">
        <w:rPr>
          <w:szCs w:val="22"/>
          <w:lang w:val="sv-SE" w:bidi="kn-IN"/>
        </w:rPr>
        <w:t>s</w:t>
      </w:r>
      <w:r w:rsidR="00551C16">
        <w:rPr>
          <w:szCs w:val="22"/>
          <w:lang w:val="sv-SE" w:bidi="kn-IN"/>
        </w:rPr>
        <w:t>kt signifikant minskning (men av osäker klinisk betydelse) i median längd standard</w:t>
      </w:r>
      <w:r w:rsidR="00E82690">
        <w:rPr>
          <w:szCs w:val="22"/>
          <w:lang w:val="sv-SE" w:bidi="kn-IN"/>
        </w:rPr>
        <w:t xml:space="preserve">avvikelsepoäng </w:t>
      </w:r>
      <w:r w:rsidR="00551C16">
        <w:rPr>
          <w:szCs w:val="22"/>
          <w:lang w:val="sv-SE" w:bidi="kn-IN"/>
        </w:rPr>
        <w:t xml:space="preserve">efter </w:t>
      </w:r>
      <w:r w:rsidR="00093E76" w:rsidRPr="007F16E1">
        <w:rPr>
          <w:bCs/>
          <w:szCs w:val="22"/>
          <w:lang w:val="sv-SE" w:bidi="kn-IN"/>
        </w:rPr>
        <w:t xml:space="preserve">12 och 24 månaders behandling i två små undergrupper oberoende av pubertal status och kön. </w:t>
      </w:r>
      <w:r w:rsidR="00093E76" w:rsidRPr="007F16E1">
        <w:rPr>
          <w:szCs w:val="22"/>
          <w:lang w:val="nb-NO" w:bidi="kn-IN"/>
        </w:rPr>
        <w:t>Noggrann övervakning</w:t>
      </w:r>
      <w:r w:rsidR="00A1635C" w:rsidRPr="007F16E1">
        <w:rPr>
          <w:szCs w:val="22"/>
          <w:lang w:val="nb-NO" w:bidi="kn-IN"/>
        </w:rPr>
        <w:t xml:space="preserve"> av tillväxt</w:t>
      </w:r>
      <w:r w:rsidR="008D7E62" w:rsidRPr="007F16E1">
        <w:rPr>
          <w:szCs w:val="22"/>
          <w:lang w:val="nb-NO" w:bidi="kn-IN"/>
        </w:rPr>
        <w:t>en</w:t>
      </w:r>
      <w:r w:rsidR="00A1635C" w:rsidRPr="007F16E1">
        <w:rPr>
          <w:szCs w:val="22"/>
          <w:lang w:val="nb-NO" w:bidi="kn-IN"/>
        </w:rPr>
        <w:t xml:space="preserve"> hos barn som</w:t>
      </w:r>
      <w:r w:rsidR="002C6548" w:rsidRPr="007F16E1">
        <w:rPr>
          <w:szCs w:val="22"/>
          <w:lang w:val="nb-NO" w:bidi="kn-IN"/>
        </w:rPr>
        <w:t xml:space="preserve"> behandlats med </w:t>
      </w:r>
      <w:r w:rsidR="00A1635C" w:rsidRPr="007F16E1">
        <w:rPr>
          <w:szCs w:val="22"/>
          <w:lang w:val="nb-NO" w:bidi="kn-IN"/>
        </w:rPr>
        <w:t xml:space="preserve">imatinib </w:t>
      </w:r>
      <w:r w:rsidR="00093E76" w:rsidRPr="007F16E1">
        <w:rPr>
          <w:szCs w:val="22"/>
          <w:lang w:val="nb-NO" w:bidi="kn-IN"/>
        </w:rPr>
        <w:t>rekommenderas</w:t>
      </w:r>
      <w:r w:rsidR="00093E76">
        <w:rPr>
          <w:szCs w:val="22"/>
          <w:lang w:val="nb-NO" w:bidi="kn-IN"/>
        </w:rPr>
        <w:t xml:space="preserve"> </w:t>
      </w:r>
      <w:r w:rsidR="00A1635C" w:rsidRPr="00E442F4">
        <w:rPr>
          <w:szCs w:val="22"/>
          <w:lang w:val="nb-NO" w:bidi="kn-IN"/>
        </w:rPr>
        <w:t>(se avsnitt 4.8).</w:t>
      </w:r>
    </w:p>
    <w:p w14:paraId="6403655E" w14:textId="77777777" w:rsidR="00620ABA" w:rsidRPr="000E7AE9" w:rsidRDefault="00620ABA" w:rsidP="00463647">
      <w:pPr>
        <w:pStyle w:val="EndnoteText"/>
        <w:widowControl w:val="0"/>
        <w:tabs>
          <w:tab w:val="clear" w:pos="567"/>
        </w:tabs>
        <w:rPr>
          <w:color w:val="000000"/>
          <w:szCs w:val="22"/>
          <w:lang w:val="sv-SE"/>
        </w:rPr>
      </w:pPr>
    </w:p>
    <w:p w14:paraId="7154B24B"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4.5</w:t>
      </w:r>
      <w:r w:rsidRPr="000E7AE9">
        <w:rPr>
          <w:noProof w:val="0"/>
          <w:color w:val="000000"/>
          <w:szCs w:val="22"/>
          <w:lang w:val="sv-SE"/>
        </w:rPr>
        <w:tab/>
        <w:t>Interaktioner med andra läkemedel och övriga interaktioner</w:t>
      </w:r>
    </w:p>
    <w:p w14:paraId="5948DDB5" w14:textId="77777777" w:rsidR="00620ABA" w:rsidRPr="000E7AE9" w:rsidRDefault="00620ABA" w:rsidP="00463647">
      <w:pPr>
        <w:pStyle w:val="EndnoteText"/>
        <w:keepNext/>
        <w:widowControl w:val="0"/>
        <w:tabs>
          <w:tab w:val="clear" w:pos="567"/>
        </w:tabs>
        <w:rPr>
          <w:color w:val="000000"/>
          <w:szCs w:val="22"/>
          <w:lang w:val="sv-SE"/>
        </w:rPr>
      </w:pPr>
    </w:p>
    <w:p w14:paraId="5B6E4956" w14:textId="77777777" w:rsidR="00620ABA" w:rsidRPr="000E7AE9" w:rsidRDefault="00620ABA" w:rsidP="00463647">
      <w:pPr>
        <w:pStyle w:val="TextChar"/>
        <w:keepNext/>
        <w:widowControl w:val="0"/>
        <w:spacing w:before="0"/>
        <w:jc w:val="left"/>
        <w:rPr>
          <w:color w:val="000000"/>
          <w:sz w:val="22"/>
          <w:szCs w:val="22"/>
          <w:u w:val="single"/>
          <w:lang w:val="sv-SE"/>
        </w:rPr>
      </w:pPr>
      <w:r w:rsidRPr="000E7AE9">
        <w:rPr>
          <w:color w:val="000000"/>
          <w:sz w:val="22"/>
          <w:szCs w:val="22"/>
          <w:u w:val="single"/>
          <w:lang w:val="sv-SE"/>
        </w:rPr>
        <w:t xml:space="preserve">Aktiva substanser som kan </w:t>
      </w:r>
      <w:r w:rsidRPr="000E7AE9">
        <w:rPr>
          <w:b/>
          <w:color w:val="000000"/>
          <w:sz w:val="22"/>
          <w:szCs w:val="22"/>
          <w:u w:val="single"/>
          <w:lang w:val="sv-SE"/>
        </w:rPr>
        <w:t>öka</w:t>
      </w:r>
      <w:r w:rsidRPr="000E7AE9">
        <w:rPr>
          <w:color w:val="000000"/>
          <w:sz w:val="22"/>
          <w:szCs w:val="22"/>
          <w:u w:val="single"/>
          <w:lang w:val="sv-SE"/>
        </w:rPr>
        <w:t xml:space="preserve"> plasmakoncentrationen av imatinib:</w:t>
      </w:r>
    </w:p>
    <w:p w14:paraId="31004741"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 xml:space="preserve">Substanser som hämmar aktiviteten av cytokrom P450-isoenzymet CYP3A4 (t ex </w:t>
      </w:r>
      <w:r w:rsidR="001455C0">
        <w:rPr>
          <w:color w:val="000000"/>
          <w:sz w:val="22"/>
          <w:szCs w:val="22"/>
          <w:lang w:val="sv-SE"/>
        </w:rPr>
        <w:t xml:space="preserve">proteashämmare såsom indinavir, lopinavir/ritonavir, ritonavir, saquinavir, telaprevir, nelfinavir, </w:t>
      </w:r>
      <w:r w:rsidR="00726615">
        <w:rPr>
          <w:color w:val="000000"/>
          <w:sz w:val="22"/>
          <w:szCs w:val="22"/>
          <w:lang w:val="sv-SE"/>
        </w:rPr>
        <w:t>boceprevir</w:t>
      </w:r>
      <w:r w:rsidR="001455C0">
        <w:rPr>
          <w:color w:val="000000"/>
          <w:sz w:val="22"/>
          <w:szCs w:val="22"/>
          <w:lang w:val="sv-SE"/>
        </w:rPr>
        <w:t xml:space="preserve">; antimykotikum inkluderande </w:t>
      </w:r>
      <w:r w:rsidRPr="000E7AE9">
        <w:rPr>
          <w:color w:val="000000"/>
          <w:sz w:val="22"/>
          <w:szCs w:val="22"/>
          <w:lang w:val="sv-SE"/>
        </w:rPr>
        <w:t xml:space="preserve">ketokonazol, itrakonazol, </w:t>
      </w:r>
      <w:r w:rsidR="001455C0">
        <w:rPr>
          <w:color w:val="000000"/>
          <w:sz w:val="22"/>
          <w:szCs w:val="22"/>
          <w:lang w:val="sv-SE"/>
        </w:rPr>
        <w:t xml:space="preserve">posakonazol, vorikonazol; vissa makrolider såsom </w:t>
      </w:r>
      <w:r w:rsidRPr="000E7AE9">
        <w:rPr>
          <w:color w:val="000000"/>
          <w:sz w:val="22"/>
          <w:szCs w:val="22"/>
          <w:lang w:val="sv-SE"/>
        </w:rPr>
        <w:t>erytromycin, klaritromycin</w:t>
      </w:r>
      <w:r w:rsidR="001455C0">
        <w:rPr>
          <w:color w:val="000000"/>
          <w:sz w:val="22"/>
          <w:szCs w:val="22"/>
          <w:lang w:val="sv-SE"/>
        </w:rPr>
        <w:t xml:space="preserve"> och telitromycin</w:t>
      </w:r>
      <w:r w:rsidRPr="000E7AE9">
        <w:rPr>
          <w:color w:val="000000"/>
          <w:sz w:val="22"/>
          <w:szCs w:val="22"/>
          <w:lang w:val="sv-SE"/>
        </w:rPr>
        <w:t>) kan minska metabolismen och öka koncentrationen av imatinib. En signifikant ökning av exponeringen för imatinib noterades (genomsnittligt C</w:t>
      </w:r>
      <w:r w:rsidRPr="000E7AE9">
        <w:rPr>
          <w:color w:val="000000"/>
          <w:sz w:val="22"/>
          <w:szCs w:val="22"/>
          <w:vertAlign w:val="subscript"/>
          <w:lang w:val="sv-SE"/>
        </w:rPr>
        <w:t>max</w:t>
      </w:r>
      <w:r w:rsidRPr="000E7AE9">
        <w:rPr>
          <w:color w:val="000000"/>
          <w:sz w:val="22"/>
          <w:szCs w:val="22"/>
          <w:lang w:val="sv-SE"/>
        </w:rPr>
        <w:t xml:space="preserve"> och AUC av imatinib ökade med 26</w:t>
      </w:r>
      <w:r w:rsidR="00794E0C">
        <w:rPr>
          <w:color w:val="000000"/>
          <w:sz w:val="22"/>
          <w:szCs w:val="22"/>
          <w:lang w:val="sv-SE"/>
        </w:rPr>
        <w:t> </w:t>
      </w:r>
      <w:r w:rsidRPr="000E7AE9">
        <w:rPr>
          <w:color w:val="000000"/>
          <w:sz w:val="22"/>
          <w:szCs w:val="22"/>
          <w:lang w:val="sv-SE"/>
        </w:rPr>
        <w:t>% respektive 40</w:t>
      </w:r>
      <w:r w:rsidR="00794E0C">
        <w:rPr>
          <w:color w:val="000000"/>
          <w:sz w:val="22"/>
          <w:szCs w:val="22"/>
          <w:lang w:val="sv-SE"/>
        </w:rPr>
        <w:t> </w:t>
      </w:r>
      <w:r w:rsidRPr="000E7AE9">
        <w:rPr>
          <w:color w:val="000000"/>
          <w:sz w:val="22"/>
          <w:szCs w:val="22"/>
          <w:lang w:val="sv-SE"/>
        </w:rPr>
        <w:t>%) hos friska individer när det gavs samtidigt med en enstaka dos ketokonazol (en CYP3A4-hämmare). Försiktighet skall iakttas när Glivec ges samtidigt som CYP3A4-hämmare.</w:t>
      </w:r>
    </w:p>
    <w:p w14:paraId="72BA4860" w14:textId="77777777" w:rsidR="00620ABA" w:rsidRPr="000E7AE9" w:rsidRDefault="00620ABA" w:rsidP="00463647">
      <w:pPr>
        <w:pStyle w:val="TextChar"/>
        <w:widowControl w:val="0"/>
        <w:spacing w:before="0"/>
        <w:jc w:val="left"/>
        <w:rPr>
          <w:color w:val="000000"/>
          <w:sz w:val="22"/>
          <w:szCs w:val="22"/>
          <w:lang w:val="sv-SE"/>
        </w:rPr>
      </w:pPr>
    </w:p>
    <w:p w14:paraId="6F777AD1" w14:textId="77777777" w:rsidR="00620ABA" w:rsidRPr="000E7AE9" w:rsidRDefault="00620ABA" w:rsidP="00463647">
      <w:pPr>
        <w:pStyle w:val="TextChar"/>
        <w:keepNext/>
        <w:widowControl w:val="0"/>
        <w:spacing w:before="0"/>
        <w:jc w:val="left"/>
        <w:rPr>
          <w:color w:val="000000"/>
          <w:sz w:val="22"/>
          <w:szCs w:val="22"/>
          <w:u w:val="single"/>
          <w:lang w:val="sv-SE"/>
        </w:rPr>
      </w:pPr>
      <w:r w:rsidRPr="000E7AE9">
        <w:rPr>
          <w:color w:val="000000"/>
          <w:sz w:val="22"/>
          <w:szCs w:val="22"/>
          <w:u w:val="single"/>
          <w:lang w:val="sv-SE"/>
        </w:rPr>
        <w:t xml:space="preserve">Aktiva substanser som kan </w:t>
      </w:r>
      <w:r w:rsidRPr="000E7AE9">
        <w:rPr>
          <w:b/>
          <w:color w:val="000000"/>
          <w:sz w:val="22"/>
          <w:szCs w:val="22"/>
          <w:u w:val="single"/>
          <w:lang w:val="sv-SE"/>
        </w:rPr>
        <w:t>minska</w:t>
      </w:r>
      <w:r w:rsidRPr="000E7AE9">
        <w:rPr>
          <w:color w:val="000000"/>
          <w:sz w:val="22"/>
          <w:szCs w:val="22"/>
          <w:u w:val="single"/>
          <w:lang w:val="sv-SE"/>
        </w:rPr>
        <w:t xml:space="preserve"> plasmakoncentrationen av imatinib:</w:t>
      </w:r>
    </w:p>
    <w:p w14:paraId="55AF8C26"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Substanser som inducerar CYP3A4-aktivitet (t ex dexametason, fenytoin, karbamazepin, rifampicin, fenobarbital</w:t>
      </w:r>
      <w:r w:rsidR="000E0464" w:rsidRPr="000E7AE9">
        <w:rPr>
          <w:color w:val="000000"/>
          <w:sz w:val="22"/>
          <w:szCs w:val="22"/>
          <w:lang w:val="sv-SE"/>
        </w:rPr>
        <w:t>, fosfenytoin, primidon</w:t>
      </w:r>
      <w:r w:rsidRPr="000E7AE9">
        <w:rPr>
          <w:color w:val="000000"/>
          <w:sz w:val="22"/>
          <w:szCs w:val="22"/>
          <w:lang w:val="sv-SE"/>
        </w:rPr>
        <w:t xml:space="preserve"> eller </w:t>
      </w:r>
      <w:r w:rsidRPr="000E7AE9">
        <w:rPr>
          <w:i/>
          <w:color w:val="000000"/>
          <w:sz w:val="22"/>
          <w:szCs w:val="22"/>
          <w:lang w:val="sv-SE"/>
        </w:rPr>
        <w:t>Hypericum perforatum</w:t>
      </w:r>
      <w:r w:rsidRPr="000E7AE9">
        <w:rPr>
          <w:color w:val="000000"/>
          <w:sz w:val="22"/>
          <w:szCs w:val="22"/>
          <w:lang w:val="sv-SE"/>
        </w:rPr>
        <w:t>, även känd som johannesört) kan signifikant minska exponeringen för Glivec och därigenom öka risken för terapisvikt. Förbehandling med flera doser rifampicin, 600 mg dagligen, följt av en engångsdos Glivec om 400 mg, ledde till en minskning av C</w:t>
      </w:r>
      <w:r w:rsidRPr="000E7AE9">
        <w:rPr>
          <w:color w:val="000000"/>
          <w:sz w:val="22"/>
          <w:szCs w:val="22"/>
          <w:vertAlign w:val="subscript"/>
          <w:lang w:val="sv-SE"/>
        </w:rPr>
        <w:t>max</w:t>
      </w:r>
      <w:r w:rsidRPr="000E7AE9">
        <w:rPr>
          <w:color w:val="000000"/>
          <w:sz w:val="22"/>
          <w:szCs w:val="22"/>
          <w:lang w:val="sv-SE"/>
        </w:rPr>
        <w:t xml:space="preserve"> och AUC</w:t>
      </w:r>
      <w:r w:rsidRPr="000E7AE9">
        <w:rPr>
          <w:color w:val="000000"/>
          <w:sz w:val="22"/>
          <w:szCs w:val="22"/>
          <w:vertAlign w:val="subscript"/>
          <w:lang w:val="sv-SE"/>
        </w:rPr>
        <w:t>(0-∞)</w:t>
      </w:r>
      <w:r w:rsidRPr="000E7AE9">
        <w:rPr>
          <w:color w:val="000000"/>
          <w:sz w:val="22"/>
          <w:szCs w:val="22"/>
          <w:lang w:val="sv-SE"/>
        </w:rPr>
        <w:t xml:space="preserve"> med åtminstone 54</w:t>
      </w:r>
      <w:r w:rsidR="00794E0C">
        <w:rPr>
          <w:color w:val="000000"/>
          <w:sz w:val="22"/>
          <w:szCs w:val="22"/>
          <w:lang w:val="sv-SE"/>
        </w:rPr>
        <w:t> </w:t>
      </w:r>
      <w:r w:rsidRPr="000E7AE9">
        <w:rPr>
          <w:color w:val="000000"/>
          <w:sz w:val="22"/>
          <w:szCs w:val="22"/>
          <w:lang w:val="sv-SE"/>
        </w:rPr>
        <w:t>% och 74</w:t>
      </w:r>
      <w:r w:rsidR="00794E0C">
        <w:rPr>
          <w:color w:val="000000"/>
          <w:sz w:val="22"/>
          <w:szCs w:val="22"/>
          <w:lang w:val="sv-SE"/>
        </w:rPr>
        <w:t> </w:t>
      </w:r>
      <w:r w:rsidRPr="000E7AE9">
        <w:rPr>
          <w:color w:val="000000"/>
          <w:sz w:val="22"/>
          <w:szCs w:val="22"/>
          <w:lang w:val="sv-SE"/>
        </w:rPr>
        <w:t>% av respektive värde utan behandling med ri</w:t>
      </w:r>
      <w:r w:rsidRPr="000E7AE9">
        <w:rPr>
          <w:snapToGrid w:val="0"/>
          <w:color w:val="000000"/>
          <w:sz w:val="22"/>
          <w:szCs w:val="22"/>
          <w:lang w:val="sv-SE"/>
        </w:rPr>
        <w:t>fampicin.</w:t>
      </w:r>
      <w:r w:rsidRPr="000E7AE9">
        <w:rPr>
          <w:color w:val="000000"/>
          <w:sz w:val="22"/>
          <w:szCs w:val="22"/>
          <w:lang w:val="sv-SE"/>
        </w:rPr>
        <w:t xml:space="preserve"> </w:t>
      </w:r>
      <w:r w:rsidR="001E7D21" w:rsidRPr="000E7AE9">
        <w:rPr>
          <w:color w:val="000000"/>
          <w:sz w:val="22"/>
          <w:szCs w:val="22"/>
          <w:lang w:val="sv-SE"/>
        </w:rPr>
        <w:t xml:space="preserve">Liknande resultat har observerats hos patienter med maligna gliom som behandlades med Glivec samtidigt som de använde enzyminducerande antiepileptiska läkemedel (EIAED) såsom karbamazepin, </w:t>
      </w:r>
      <w:r w:rsidR="00D17AB6" w:rsidRPr="000E7AE9">
        <w:rPr>
          <w:color w:val="000000"/>
          <w:sz w:val="22"/>
          <w:szCs w:val="22"/>
          <w:lang w:val="sv-SE"/>
        </w:rPr>
        <w:t>oxkarbazepin</w:t>
      </w:r>
      <w:r w:rsidR="0058566A" w:rsidRPr="000E7AE9">
        <w:rPr>
          <w:color w:val="000000"/>
          <w:sz w:val="22"/>
          <w:szCs w:val="22"/>
          <w:lang w:val="sv-SE"/>
        </w:rPr>
        <w:t xml:space="preserve"> och</w:t>
      </w:r>
      <w:r w:rsidR="001E7D21" w:rsidRPr="000E7AE9">
        <w:rPr>
          <w:color w:val="000000"/>
          <w:sz w:val="22"/>
          <w:szCs w:val="22"/>
          <w:lang w:val="sv-SE"/>
        </w:rPr>
        <w:t xml:space="preserve"> fenytoin. </w:t>
      </w:r>
      <w:r w:rsidR="005D4C90" w:rsidRPr="000E7AE9">
        <w:rPr>
          <w:color w:val="000000"/>
          <w:sz w:val="22"/>
          <w:szCs w:val="22"/>
          <w:lang w:val="sv-SE"/>
        </w:rPr>
        <w:t>Plasma-</w:t>
      </w:r>
      <w:r w:rsidR="001E7D21" w:rsidRPr="000E7AE9">
        <w:rPr>
          <w:color w:val="000000"/>
          <w:sz w:val="22"/>
          <w:szCs w:val="22"/>
          <w:lang w:val="sv-SE"/>
        </w:rPr>
        <w:t>AUC för imatinib minskade med 73</w:t>
      </w:r>
      <w:r w:rsidR="00794E0C">
        <w:rPr>
          <w:color w:val="000000"/>
          <w:sz w:val="22"/>
          <w:szCs w:val="22"/>
          <w:lang w:val="sv-SE"/>
        </w:rPr>
        <w:t> </w:t>
      </w:r>
      <w:r w:rsidR="001E7D21" w:rsidRPr="000E7AE9">
        <w:rPr>
          <w:color w:val="000000"/>
          <w:sz w:val="22"/>
          <w:szCs w:val="22"/>
          <w:lang w:val="sv-SE"/>
        </w:rPr>
        <w:t xml:space="preserve">% i jämförelse med patienter som inte stod på EIAED. </w:t>
      </w:r>
      <w:r w:rsidRPr="000E7AE9">
        <w:rPr>
          <w:color w:val="000000"/>
          <w:sz w:val="22"/>
          <w:szCs w:val="22"/>
          <w:lang w:val="sv-SE"/>
        </w:rPr>
        <w:t>Samtidig användning av rifampicin eller andra starka inducerare av CYP3A4 och imatinib skall undvikas.</w:t>
      </w:r>
    </w:p>
    <w:p w14:paraId="4AA0811E" w14:textId="77777777" w:rsidR="00620ABA" w:rsidRPr="000E7AE9" w:rsidRDefault="00620ABA" w:rsidP="00463647">
      <w:pPr>
        <w:pStyle w:val="TextChar"/>
        <w:widowControl w:val="0"/>
        <w:spacing w:before="0"/>
        <w:jc w:val="left"/>
        <w:rPr>
          <w:color w:val="000000"/>
          <w:sz w:val="22"/>
          <w:szCs w:val="22"/>
          <w:lang w:val="sv-SE"/>
        </w:rPr>
      </w:pPr>
    </w:p>
    <w:p w14:paraId="0A864AA5" w14:textId="77777777" w:rsidR="00620ABA" w:rsidRPr="000E7AE9" w:rsidRDefault="00620ABA" w:rsidP="00463647">
      <w:pPr>
        <w:pStyle w:val="TextChar"/>
        <w:keepNext/>
        <w:widowControl w:val="0"/>
        <w:spacing w:before="0"/>
        <w:jc w:val="left"/>
        <w:rPr>
          <w:b/>
          <w:color w:val="000000"/>
          <w:sz w:val="22"/>
          <w:szCs w:val="22"/>
          <w:lang w:val="sv-SE"/>
        </w:rPr>
      </w:pPr>
      <w:r w:rsidRPr="000E7AE9">
        <w:rPr>
          <w:b/>
          <w:color w:val="000000"/>
          <w:sz w:val="22"/>
          <w:szCs w:val="22"/>
          <w:lang w:val="sv-SE"/>
        </w:rPr>
        <w:t>Aktiva substanser vars plasmakoncentration kan förändras av Glivec</w:t>
      </w:r>
    </w:p>
    <w:p w14:paraId="5CEA6140"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Imatinib ökar genomsnittligt C</w:t>
      </w:r>
      <w:r w:rsidRPr="000E7AE9">
        <w:rPr>
          <w:color w:val="000000"/>
          <w:sz w:val="22"/>
          <w:szCs w:val="22"/>
          <w:vertAlign w:val="subscript"/>
          <w:lang w:val="sv-SE"/>
        </w:rPr>
        <w:t>max</w:t>
      </w:r>
      <w:r w:rsidRPr="00DF06CD">
        <w:rPr>
          <w:color w:val="000000"/>
          <w:sz w:val="22"/>
          <w:szCs w:val="22"/>
          <w:lang w:val="sv-SE"/>
        </w:rPr>
        <w:t xml:space="preserve"> </w:t>
      </w:r>
      <w:r w:rsidRPr="000E7AE9">
        <w:rPr>
          <w:color w:val="000000"/>
          <w:sz w:val="22"/>
          <w:szCs w:val="22"/>
          <w:lang w:val="sv-SE"/>
        </w:rPr>
        <w:t>och AUC för simvastatin (CYP3A4-substrat) 2 respektive 3,5 gånger, vilket visar att CYP3A4 hämmas av imatinib. Av denna anledning rekommenderas försiktighet när Glivec ges tillsammans med CYP3A4-substrat med snävt terapeutiskt intervall (t ex ciklosporin</w:t>
      </w:r>
      <w:r w:rsidR="00D40F85">
        <w:rPr>
          <w:color w:val="000000"/>
          <w:sz w:val="22"/>
          <w:szCs w:val="22"/>
          <w:lang w:val="sv-SE"/>
        </w:rPr>
        <w:t>,</w:t>
      </w:r>
      <w:r w:rsidRPr="000E7AE9">
        <w:rPr>
          <w:color w:val="000000"/>
          <w:sz w:val="22"/>
          <w:szCs w:val="22"/>
          <w:lang w:val="sv-SE"/>
        </w:rPr>
        <w:t xml:space="preserve"> pimozid</w:t>
      </w:r>
      <w:r w:rsidR="00D40F85">
        <w:rPr>
          <w:color w:val="000000"/>
          <w:sz w:val="22"/>
          <w:szCs w:val="22"/>
          <w:lang w:val="sv-SE"/>
        </w:rPr>
        <w:t xml:space="preserve">, takrolimus, sirolimus, ergotamin, diergotamin, fentanyl, alfentanil, terfenadin, bortezomib, docetaxel och </w:t>
      </w:r>
      <w:r w:rsidR="00726615">
        <w:rPr>
          <w:color w:val="000000"/>
          <w:sz w:val="22"/>
          <w:szCs w:val="22"/>
          <w:lang w:val="sv-SE"/>
        </w:rPr>
        <w:t>cinkonidin</w:t>
      </w:r>
      <w:r w:rsidRPr="000E7AE9">
        <w:rPr>
          <w:color w:val="000000"/>
          <w:sz w:val="22"/>
          <w:szCs w:val="22"/>
          <w:lang w:val="sv-SE"/>
        </w:rPr>
        <w:t>). Glivec kan öka plasmakoncentrationen av andra läkemedel som metaboliseras via 3A4 (t ex triazolobenzodiazepiner, kalciumantagonister av dihydropyridintyp, vissa HMG-CoA-reduktashämmare, dvs. statiner).</w:t>
      </w:r>
    </w:p>
    <w:p w14:paraId="26A1AEC4" w14:textId="77777777" w:rsidR="00620ABA" w:rsidRPr="000E7AE9" w:rsidRDefault="00620ABA" w:rsidP="00463647">
      <w:pPr>
        <w:pStyle w:val="TextChar"/>
        <w:widowControl w:val="0"/>
        <w:spacing w:before="0"/>
        <w:jc w:val="left"/>
        <w:rPr>
          <w:color w:val="000000"/>
          <w:sz w:val="22"/>
          <w:szCs w:val="22"/>
          <w:lang w:val="sv-SE"/>
        </w:rPr>
      </w:pPr>
    </w:p>
    <w:p w14:paraId="23BA58DE" w14:textId="77777777" w:rsidR="00620ABA" w:rsidRPr="000E7AE9" w:rsidRDefault="00726615" w:rsidP="00463647">
      <w:pPr>
        <w:pStyle w:val="TextChar"/>
        <w:widowControl w:val="0"/>
        <w:spacing w:before="0"/>
        <w:jc w:val="left"/>
        <w:rPr>
          <w:color w:val="000000"/>
          <w:sz w:val="22"/>
          <w:szCs w:val="22"/>
          <w:lang w:val="sv-SE"/>
        </w:rPr>
      </w:pPr>
      <w:r>
        <w:rPr>
          <w:color w:val="000000"/>
          <w:sz w:val="22"/>
          <w:szCs w:val="22"/>
          <w:lang w:val="sv-SE"/>
        </w:rPr>
        <w:lastRenderedPageBreak/>
        <w:t xml:space="preserve">På grund av en känd ökad risk för blödningar i samband med användning av imatinib (t ex </w:t>
      </w:r>
      <w:r w:rsidR="004E4D22">
        <w:rPr>
          <w:color w:val="000000"/>
          <w:sz w:val="22"/>
          <w:szCs w:val="22"/>
          <w:lang w:val="sv-SE"/>
        </w:rPr>
        <w:t>vid förlust av blod</w:t>
      </w:r>
      <w:r>
        <w:rPr>
          <w:color w:val="000000"/>
          <w:sz w:val="22"/>
          <w:szCs w:val="22"/>
          <w:lang w:val="sv-SE"/>
        </w:rPr>
        <w:t>)</w:t>
      </w:r>
      <w:r w:rsidR="00620ABA" w:rsidRPr="000E7AE9">
        <w:rPr>
          <w:color w:val="000000"/>
          <w:sz w:val="22"/>
          <w:szCs w:val="22"/>
          <w:lang w:val="sv-SE"/>
        </w:rPr>
        <w:t>, skall patienter som behöver antikoagulation erhålla lågmolekylärt eller standardheparin</w:t>
      </w:r>
      <w:r>
        <w:rPr>
          <w:color w:val="000000"/>
          <w:sz w:val="22"/>
          <w:szCs w:val="22"/>
          <w:lang w:val="sv-SE"/>
        </w:rPr>
        <w:t>, istället för kumarinderivat såsom warfarin</w:t>
      </w:r>
      <w:r w:rsidR="00620ABA" w:rsidRPr="000E7AE9">
        <w:rPr>
          <w:color w:val="000000"/>
          <w:sz w:val="22"/>
          <w:szCs w:val="22"/>
          <w:lang w:val="sv-SE"/>
        </w:rPr>
        <w:t>.</w:t>
      </w:r>
    </w:p>
    <w:p w14:paraId="3EEFF0F3" w14:textId="77777777" w:rsidR="00620ABA" w:rsidRPr="000E7AE9" w:rsidRDefault="00620ABA" w:rsidP="00463647">
      <w:pPr>
        <w:pStyle w:val="TextChar"/>
        <w:widowControl w:val="0"/>
        <w:spacing w:before="0"/>
        <w:jc w:val="left"/>
        <w:rPr>
          <w:color w:val="000000"/>
          <w:sz w:val="22"/>
          <w:szCs w:val="22"/>
          <w:lang w:val="sv-SE"/>
        </w:rPr>
      </w:pPr>
    </w:p>
    <w:p w14:paraId="15FB6BE1"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 xml:space="preserve">Glivec hämmar aktiviteten av cytokrom P450-isoenzymet CYP2D6 </w:t>
      </w:r>
      <w:r w:rsidRPr="000E7AE9">
        <w:rPr>
          <w:i/>
          <w:color w:val="000000"/>
          <w:sz w:val="22"/>
          <w:szCs w:val="22"/>
          <w:lang w:val="sv-SE"/>
        </w:rPr>
        <w:t xml:space="preserve">in vitro </w:t>
      </w:r>
      <w:r w:rsidRPr="000E7AE9">
        <w:rPr>
          <w:color w:val="000000"/>
          <w:sz w:val="22"/>
          <w:szCs w:val="22"/>
          <w:lang w:val="sv-SE"/>
        </w:rPr>
        <w:t xml:space="preserve">vid koncentrationer jämförbara med dem som påverkar CYP3A4-aktivitet. </w:t>
      </w:r>
      <w:r w:rsidR="000E0464" w:rsidRPr="000E7AE9">
        <w:rPr>
          <w:color w:val="000000"/>
          <w:sz w:val="22"/>
          <w:szCs w:val="22"/>
          <w:lang w:val="sv-SE"/>
        </w:rPr>
        <w:t>400</w:t>
      </w:r>
      <w:r w:rsidR="002C229C" w:rsidRPr="000E7AE9">
        <w:rPr>
          <w:color w:val="000000"/>
          <w:sz w:val="22"/>
          <w:szCs w:val="22"/>
          <w:lang w:val="sv-SE"/>
        </w:rPr>
        <w:t> </w:t>
      </w:r>
      <w:r w:rsidR="000E0464" w:rsidRPr="000E7AE9">
        <w:rPr>
          <w:color w:val="000000"/>
          <w:sz w:val="22"/>
          <w:szCs w:val="22"/>
          <w:lang w:val="sv-SE"/>
        </w:rPr>
        <w:t>mg imatinib givet två gånger dagligen hade en hämmande effekt på CYP2D6-medierad metabolism av metoprolol, där C</w:t>
      </w:r>
      <w:r w:rsidR="000E0464" w:rsidRPr="000E7AE9">
        <w:rPr>
          <w:color w:val="000000"/>
          <w:sz w:val="22"/>
          <w:szCs w:val="22"/>
          <w:vertAlign w:val="subscript"/>
          <w:lang w:val="sv-SE"/>
        </w:rPr>
        <w:t>max</w:t>
      </w:r>
      <w:r w:rsidR="000E0464" w:rsidRPr="000E7AE9">
        <w:rPr>
          <w:color w:val="000000"/>
          <w:sz w:val="22"/>
          <w:szCs w:val="22"/>
          <w:lang w:val="sv-SE"/>
        </w:rPr>
        <w:t xml:space="preserve"> och AUC för metoprolol ökade med ungefär 23</w:t>
      </w:r>
      <w:r w:rsidR="00794E0C">
        <w:rPr>
          <w:color w:val="000000"/>
          <w:sz w:val="22"/>
          <w:szCs w:val="22"/>
          <w:lang w:val="sv-SE"/>
        </w:rPr>
        <w:t> </w:t>
      </w:r>
      <w:r w:rsidR="000E0464" w:rsidRPr="000E7AE9">
        <w:rPr>
          <w:color w:val="000000"/>
          <w:sz w:val="22"/>
          <w:szCs w:val="22"/>
          <w:lang w:val="sv-SE"/>
        </w:rPr>
        <w:t>% (90</w:t>
      </w:r>
      <w:r w:rsidR="00794E0C">
        <w:rPr>
          <w:color w:val="000000"/>
          <w:sz w:val="22"/>
          <w:szCs w:val="22"/>
          <w:lang w:val="sv-SE"/>
        </w:rPr>
        <w:t> </w:t>
      </w:r>
      <w:r w:rsidR="000E0464" w:rsidRPr="000E7AE9">
        <w:rPr>
          <w:color w:val="000000"/>
          <w:sz w:val="22"/>
          <w:szCs w:val="22"/>
          <w:lang w:val="sv-SE"/>
        </w:rPr>
        <w:t>% KI [1,16</w:t>
      </w:r>
      <w:r w:rsidR="004C01D2" w:rsidRPr="000E7AE9">
        <w:rPr>
          <w:color w:val="000000"/>
          <w:sz w:val="22"/>
          <w:szCs w:val="22"/>
          <w:lang w:val="sv-SE"/>
        </w:rPr>
        <w:noBreakHyphen/>
      </w:r>
      <w:r w:rsidR="000E0464" w:rsidRPr="000E7AE9">
        <w:rPr>
          <w:color w:val="000000"/>
          <w:sz w:val="22"/>
          <w:szCs w:val="22"/>
          <w:lang w:val="sv-SE"/>
        </w:rPr>
        <w:t>1,30]). Dosjusteringar verkar inte vara nödvändiga när imatinib ges tillsammans med substrat för CYP2D6, försiktighet rekommenderas emellertid för substrat för CYP2D6 med ett snävt terapeutiskt fönster såsom metoprolol. Klinisk övervakning bör övervägas för patienter som behandlas med metoprolol.</w:t>
      </w:r>
    </w:p>
    <w:p w14:paraId="696642CB" w14:textId="77777777" w:rsidR="000000F2" w:rsidRPr="000E7AE9" w:rsidRDefault="000000F2" w:rsidP="00463647">
      <w:pPr>
        <w:pStyle w:val="TextChar"/>
        <w:widowControl w:val="0"/>
        <w:spacing w:before="0"/>
        <w:jc w:val="left"/>
        <w:rPr>
          <w:color w:val="000000"/>
          <w:sz w:val="22"/>
          <w:szCs w:val="22"/>
          <w:lang w:val="sv-SE"/>
        </w:rPr>
      </w:pPr>
    </w:p>
    <w:p w14:paraId="131D5E75" w14:textId="77777777" w:rsidR="000000F2" w:rsidRPr="00D75953" w:rsidRDefault="000000F2" w:rsidP="00463647">
      <w:pPr>
        <w:pStyle w:val="TextChar"/>
        <w:widowControl w:val="0"/>
        <w:spacing w:before="0"/>
        <w:jc w:val="left"/>
        <w:rPr>
          <w:color w:val="000000"/>
          <w:sz w:val="22"/>
          <w:szCs w:val="22"/>
          <w:lang w:val="sv-SE"/>
        </w:rPr>
      </w:pPr>
      <w:r w:rsidRPr="000E7AE9">
        <w:rPr>
          <w:color w:val="000000"/>
          <w:sz w:val="22"/>
          <w:szCs w:val="22"/>
          <w:lang w:val="sv-SE"/>
        </w:rPr>
        <w:t xml:space="preserve">Glivec inhiberar paracetamols O-glukuronidering </w:t>
      </w:r>
      <w:r w:rsidRPr="000E7AE9">
        <w:rPr>
          <w:i/>
          <w:color w:val="000000"/>
          <w:sz w:val="22"/>
          <w:szCs w:val="22"/>
          <w:lang w:val="sv-SE"/>
        </w:rPr>
        <w:t>in vitro</w:t>
      </w:r>
      <w:r w:rsidR="00D75953">
        <w:rPr>
          <w:color w:val="000000"/>
          <w:sz w:val="22"/>
          <w:szCs w:val="22"/>
          <w:lang w:val="sv-SE"/>
        </w:rPr>
        <w:t xml:space="preserve"> med </w:t>
      </w:r>
      <w:r w:rsidRPr="000E7AE9">
        <w:rPr>
          <w:color w:val="000000"/>
          <w:sz w:val="22"/>
          <w:szCs w:val="22"/>
          <w:lang w:val="sv-SE"/>
        </w:rPr>
        <w:t>K</w:t>
      </w:r>
      <w:r w:rsidRPr="000E7AE9">
        <w:rPr>
          <w:color w:val="000000"/>
          <w:sz w:val="22"/>
          <w:szCs w:val="22"/>
          <w:vertAlign w:val="subscript"/>
          <w:lang w:val="sv-SE"/>
        </w:rPr>
        <w:t>i</w:t>
      </w:r>
      <w:r w:rsidRPr="000E7AE9">
        <w:rPr>
          <w:color w:val="000000"/>
          <w:sz w:val="22"/>
          <w:szCs w:val="22"/>
          <w:lang w:val="sv-SE"/>
        </w:rPr>
        <w:t>-värde på 58,5 mikromol/l.</w:t>
      </w:r>
      <w:r w:rsidR="00D75953">
        <w:rPr>
          <w:color w:val="000000"/>
          <w:sz w:val="22"/>
          <w:szCs w:val="22"/>
          <w:lang w:val="sv-SE"/>
        </w:rPr>
        <w:t xml:space="preserve"> Denna inhibering har inte observerats </w:t>
      </w:r>
      <w:r w:rsidR="00D75953">
        <w:rPr>
          <w:i/>
          <w:color w:val="000000"/>
          <w:sz w:val="22"/>
          <w:szCs w:val="22"/>
          <w:lang w:val="sv-SE"/>
        </w:rPr>
        <w:t xml:space="preserve">in vivo </w:t>
      </w:r>
      <w:r w:rsidR="00F16450">
        <w:rPr>
          <w:color w:val="000000"/>
          <w:sz w:val="22"/>
          <w:szCs w:val="22"/>
          <w:lang w:val="sv-SE"/>
        </w:rPr>
        <w:t>vid</w:t>
      </w:r>
      <w:r w:rsidR="00D75953">
        <w:rPr>
          <w:color w:val="000000"/>
          <w:sz w:val="22"/>
          <w:szCs w:val="22"/>
          <w:lang w:val="sv-SE"/>
        </w:rPr>
        <w:t xml:space="preserve"> administrering av Glivec 400 mg och paracetamol 1000 mg. Högre doser av Glivec och paracetamol har inte studerats.</w:t>
      </w:r>
    </w:p>
    <w:p w14:paraId="68BD79E1" w14:textId="77777777" w:rsidR="000000F2" w:rsidRPr="000E7AE9" w:rsidRDefault="000000F2" w:rsidP="00463647">
      <w:pPr>
        <w:pStyle w:val="TextChar"/>
        <w:widowControl w:val="0"/>
        <w:spacing w:before="0"/>
        <w:jc w:val="left"/>
        <w:rPr>
          <w:color w:val="000000"/>
          <w:sz w:val="22"/>
          <w:szCs w:val="22"/>
          <w:lang w:val="sv-SE"/>
        </w:rPr>
      </w:pPr>
    </w:p>
    <w:p w14:paraId="47F9A29A" w14:textId="77777777" w:rsidR="000000F2" w:rsidRPr="000E7AE9" w:rsidRDefault="000000F2" w:rsidP="00463647">
      <w:pPr>
        <w:pStyle w:val="TextChar"/>
        <w:widowControl w:val="0"/>
        <w:spacing w:before="0"/>
        <w:jc w:val="left"/>
        <w:rPr>
          <w:color w:val="000000"/>
          <w:sz w:val="22"/>
          <w:szCs w:val="22"/>
          <w:lang w:val="sv-SE"/>
        </w:rPr>
      </w:pPr>
      <w:r w:rsidRPr="000E7AE9">
        <w:rPr>
          <w:color w:val="000000"/>
          <w:sz w:val="22"/>
          <w:szCs w:val="22"/>
          <w:lang w:val="sv-SE"/>
        </w:rPr>
        <w:t xml:space="preserve">Försiktighet skall därför iakttas när </w:t>
      </w:r>
      <w:r w:rsidR="00F16450">
        <w:rPr>
          <w:color w:val="000000"/>
          <w:sz w:val="22"/>
          <w:szCs w:val="22"/>
          <w:lang w:val="sv-SE"/>
        </w:rPr>
        <w:t xml:space="preserve">höga doser av </w:t>
      </w:r>
      <w:r w:rsidRPr="000E7AE9">
        <w:rPr>
          <w:color w:val="000000"/>
          <w:sz w:val="22"/>
          <w:szCs w:val="22"/>
          <w:lang w:val="sv-SE"/>
        </w:rPr>
        <w:t>Glivec och paracetamol används samtidigt.</w:t>
      </w:r>
    </w:p>
    <w:p w14:paraId="4EDFBD12" w14:textId="77777777" w:rsidR="000000F2" w:rsidRPr="00F16450" w:rsidRDefault="000000F2" w:rsidP="00463647">
      <w:pPr>
        <w:pStyle w:val="EndnoteText"/>
        <w:widowControl w:val="0"/>
        <w:tabs>
          <w:tab w:val="clear" w:pos="567"/>
        </w:tabs>
        <w:rPr>
          <w:lang w:val="sv-SE"/>
        </w:rPr>
      </w:pPr>
    </w:p>
    <w:p w14:paraId="78652E2F" w14:textId="77777777" w:rsidR="00A265C3" w:rsidRPr="000E7AE9" w:rsidRDefault="000000F2" w:rsidP="00463647">
      <w:pPr>
        <w:pStyle w:val="EndnoteText"/>
        <w:widowControl w:val="0"/>
        <w:tabs>
          <w:tab w:val="clear" w:pos="567"/>
        </w:tabs>
        <w:rPr>
          <w:color w:val="000000"/>
          <w:szCs w:val="22"/>
          <w:lang w:val="sv-SE"/>
        </w:rPr>
      </w:pPr>
      <w:r w:rsidRPr="000E7AE9">
        <w:rPr>
          <w:color w:val="000000"/>
          <w:szCs w:val="22"/>
          <w:lang w:val="sv-SE"/>
        </w:rPr>
        <w:t xml:space="preserve">Hos </w:t>
      </w:r>
      <w:r w:rsidR="00A265C3" w:rsidRPr="000E7AE9">
        <w:rPr>
          <w:color w:val="000000"/>
          <w:szCs w:val="22"/>
          <w:lang w:val="sv-SE"/>
        </w:rPr>
        <w:t>patienter</w:t>
      </w:r>
      <w:r w:rsidR="000C4317" w:rsidRPr="000E7AE9">
        <w:rPr>
          <w:color w:val="000000"/>
          <w:szCs w:val="22"/>
          <w:lang w:val="sv-SE"/>
        </w:rPr>
        <w:t xml:space="preserve"> som genomgått </w:t>
      </w:r>
      <w:r w:rsidR="0032166E" w:rsidRPr="000E7AE9">
        <w:rPr>
          <w:color w:val="000000"/>
          <w:szCs w:val="22"/>
          <w:lang w:val="sv-SE"/>
        </w:rPr>
        <w:t>tyreoidektomi</w:t>
      </w:r>
      <w:r w:rsidR="000C4317" w:rsidRPr="000E7AE9">
        <w:rPr>
          <w:color w:val="000000"/>
          <w:szCs w:val="22"/>
          <w:lang w:val="sv-SE"/>
        </w:rPr>
        <w:t xml:space="preserve"> och</w:t>
      </w:r>
      <w:r w:rsidR="00A265C3" w:rsidRPr="000E7AE9">
        <w:rPr>
          <w:color w:val="000000"/>
          <w:szCs w:val="22"/>
          <w:lang w:val="sv-SE"/>
        </w:rPr>
        <w:t xml:space="preserve"> som behandlas med levotyroxin, kan exponeringen av levotyroxin i plasma minskas vid samtidig behan</w:t>
      </w:r>
      <w:r w:rsidR="000C4317" w:rsidRPr="000E7AE9">
        <w:rPr>
          <w:color w:val="000000"/>
          <w:szCs w:val="22"/>
          <w:lang w:val="sv-SE"/>
        </w:rPr>
        <w:t>dling med Glivec (se avsnitt 4.4</w:t>
      </w:r>
      <w:r w:rsidR="00A265C3" w:rsidRPr="000E7AE9">
        <w:rPr>
          <w:color w:val="000000"/>
          <w:szCs w:val="22"/>
          <w:lang w:val="sv-SE"/>
        </w:rPr>
        <w:t>). Försiktighet rekommenderas därför. Emellertid, mekanismen för den observerade interaktionen är för närvarande okänd.</w:t>
      </w:r>
    </w:p>
    <w:p w14:paraId="5CA9A853" w14:textId="77777777" w:rsidR="00A265C3" w:rsidRPr="000E7AE9" w:rsidRDefault="00A265C3" w:rsidP="00463647">
      <w:pPr>
        <w:pStyle w:val="EndnoteText"/>
        <w:widowControl w:val="0"/>
        <w:tabs>
          <w:tab w:val="clear" w:pos="567"/>
        </w:tabs>
        <w:rPr>
          <w:color w:val="000000"/>
          <w:szCs w:val="22"/>
          <w:lang w:val="sv-SE"/>
        </w:rPr>
      </w:pPr>
    </w:p>
    <w:p w14:paraId="73AB5DAD"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Det finns klinisk erfarenhet av samtidig administrering av Glivec och kemoterapi (se avsnitt 5.1) hos Ph+ ALL-patienter, men läkemedelsinteraktioner mellan imatinib- och kemoterapibehandlingar är inte väl karakteriserade. Biverkningar hos imatinib, t ex levertoxicitet, benmärgssuppression eller andra, kan öka och det har rapporterats att samtidigt användning av L-asparaginas skulle kunna vara förknippad med ökad levertoxicitet (se avsnitt 4.8). Därför krävs särskild försiktighet vid användning av Glivec i kombination.</w:t>
      </w:r>
    </w:p>
    <w:p w14:paraId="1035BAC6" w14:textId="77777777" w:rsidR="00620ABA" w:rsidRPr="000E7AE9" w:rsidRDefault="00620ABA" w:rsidP="00463647">
      <w:pPr>
        <w:pStyle w:val="EndnoteText"/>
        <w:widowControl w:val="0"/>
        <w:tabs>
          <w:tab w:val="clear" w:pos="567"/>
        </w:tabs>
        <w:rPr>
          <w:color w:val="000000"/>
          <w:szCs w:val="22"/>
          <w:lang w:val="sv-SE"/>
        </w:rPr>
      </w:pPr>
    </w:p>
    <w:p w14:paraId="784AFA65"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4.6</w:t>
      </w:r>
      <w:r w:rsidRPr="000E7AE9">
        <w:rPr>
          <w:noProof w:val="0"/>
          <w:color w:val="000000"/>
          <w:szCs w:val="22"/>
          <w:lang w:val="sv-SE"/>
        </w:rPr>
        <w:tab/>
      </w:r>
      <w:r w:rsidR="00434E88">
        <w:rPr>
          <w:noProof w:val="0"/>
          <w:color w:val="000000"/>
          <w:szCs w:val="22"/>
          <w:lang w:val="sv-SE"/>
        </w:rPr>
        <w:t>Fertilitet, g</w:t>
      </w:r>
      <w:r w:rsidRPr="000E7AE9">
        <w:rPr>
          <w:noProof w:val="0"/>
          <w:color w:val="000000"/>
          <w:szCs w:val="22"/>
          <w:lang w:val="sv-SE"/>
        </w:rPr>
        <w:t>raviditet och amning</w:t>
      </w:r>
    </w:p>
    <w:p w14:paraId="6F74E4EE" w14:textId="77777777" w:rsidR="00620ABA" w:rsidRPr="000E7AE9" w:rsidRDefault="00620ABA" w:rsidP="00463647">
      <w:pPr>
        <w:pStyle w:val="EndnoteText"/>
        <w:keepNext/>
        <w:widowControl w:val="0"/>
        <w:rPr>
          <w:color w:val="000000"/>
          <w:szCs w:val="22"/>
          <w:lang w:val="sv-SE"/>
        </w:rPr>
      </w:pPr>
    </w:p>
    <w:p w14:paraId="727F828F" w14:textId="77777777" w:rsidR="00544B28" w:rsidRPr="008504F2" w:rsidRDefault="00544B28" w:rsidP="00463647">
      <w:pPr>
        <w:pStyle w:val="EndnoteText"/>
        <w:keepNext/>
        <w:widowControl w:val="0"/>
        <w:rPr>
          <w:color w:val="000000"/>
          <w:szCs w:val="22"/>
          <w:u w:val="single"/>
          <w:lang w:val="sv-SE"/>
        </w:rPr>
      </w:pPr>
      <w:r w:rsidRPr="008504F2">
        <w:rPr>
          <w:color w:val="000000"/>
          <w:szCs w:val="22"/>
          <w:u w:val="single"/>
          <w:lang w:val="sv-SE"/>
        </w:rPr>
        <w:t>Fertila kvinnor</w:t>
      </w:r>
    </w:p>
    <w:p w14:paraId="20C08AC8" w14:textId="77777777" w:rsidR="00544B28" w:rsidRPr="000E7AE9" w:rsidRDefault="00544B28" w:rsidP="00463647">
      <w:pPr>
        <w:pStyle w:val="EndnoteText"/>
        <w:widowControl w:val="0"/>
        <w:rPr>
          <w:color w:val="000000"/>
          <w:szCs w:val="22"/>
          <w:lang w:val="sv-SE"/>
        </w:rPr>
      </w:pPr>
      <w:r>
        <w:rPr>
          <w:color w:val="000000"/>
          <w:szCs w:val="22"/>
          <w:lang w:val="sv-SE"/>
        </w:rPr>
        <w:t xml:space="preserve">Fertila kvinnor </w:t>
      </w:r>
      <w:r w:rsidRPr="000E7AE9">
        <w:rPr>
          <w:color w:val="000000"/>
          <w:szCs w:val="22"/>
          <w:lang w:val="sv-SE"/>
        </w:rPr>
        <w:t>skall uppmanas å det bestämdaste att använda effektiv preventivmetod under behandlingen</w:t>
      </w:r>
      <w:r w:rsidR="00B10EAC">
        <w:rPr>
          <w:color w:val="000000"/>
          <w:szCs w:val="22"/>
          <w:lang w:val="sv-SE"/>
        </w:rPr>
        <w:t xml:space="preserve"> och under minst 15 dagar efter avslutad behandling med Glivec</w:t>
      </w:r>
      <w:r w:rsidRPr="000E7AE9">
        <w:rPr>
          <w:color w:val="000000"/>
          <w:szCs w:val="22"/>
          <w:lang w:val="sv-SE"/>
        </w:rPr>
        <w:t>.</w:t>
      </w:r>
    </w:p>
    <w:p w14:paraId="1598E49D" w14:textId="77777777" w:rsidR="00544B28" w:rsidRDefault="00544B28" w:rsidP="00463647">
      <w:pPr>
        <w:pStyle w:val="EndnoteText"/>
        <w:widowControl w:val="0"/>
        <w:rPr>
          <w:color w:val="000000"/>
          <w:szCs w:val="22"/>
          <w:u w:val="single"/>
          <w:lang w:val="sv-SE"/>
        </w:rPr>
      </w:pPr>
    </w:p>
    <w:p w14:paraId="2587193A" w14:textId="77777777" w:rsidR="00620ABA" w:rsidRPr="000E7AE9" w:rsidRDefault="00620ABA" w:rsidP="00463647">
      <w:pPr>
        <w:pStyle w:val="EndnoteText"/>
        <w:keepNext/>
        <w:widowControl w:val="0"/>
        <w:rPr>
          <w:color w:val="000000"/>
          <w:szCs w:val="22"/>
          <w:u w:val="single"/>
          <w:lang w:val="sv-SE"/>
        </w:rPr>
      </w:pPr>
      <w:r w:rsidRPr="000E7AE9">
        <w:rPr>
          <w:color w:val="000000"/>
          <w:szCs w:val="22"/>
          <w:u w:val="single"/>
          <w:lang w:val="sv-SE"/>
        </w:rPr>
        <w:t>Graviditet</w:t>
      </w:r>
    </w:p>
    <w:p w14:paraId="4ADF96C5" w14:textId="77777777" w:rsidR="00B11639" w:rsidRDefault="00046EE5" w:rsidP="00463647">
      <w:pPr>
        <w:pStyle w:val="EndnoteText"/>
        <w:widowControl w:val="0"/>
        <w:rPr>
          <w:color w:val="000000"/>
          <w:szCs w:val="22"/>
          <w:lang w:val="sv-SE"/>
        </w:rPr>
      </w:pPr>
      <w:r>
        <w:rPr>
          <w:color w:val="000000"/>
          <w:szCs w:val="22"/>
          <w:lang w:val="sv-SE"/>
        </w:rPr>
        <w:t xml:space="preserve">Det finns begränsad mängd </w:t>
      </w:r>
      <w:r w:rsidR="00620ABA" w:rsidRPr="000E7AE9">
        <w:rPr>
          <w:color w:val="000000"/>
          <w:szCs w:val="22"/>
          <w:lang w:val="sv-SE"/>
        </w:rPr>
        <w:t xml:space="preserve">data från behandling av gravida kvinnor med imatinib. </w:t>
      </w:r>
      <w:r w:rsidR="00CE4727">
        <w:rPr>
          <w:color w:val="000000"/>
          <w:szCs w:val="22"/>
          <w:lang w:val="sv-SE"/>
        </w:rPr>
        <w:t>Efter marknadsgodkännandet har det förekommit</w:t>
      </w:r>
      <w:r w:rsidR="004046BD">
        <w:rPr>
          <w:color w:val="000000"/>
          <w:szCs w:val="22"/>
          <w:lang w:val="sv-SE"/>
        </w:rPr>
        <w:t xml:space="preserve"> rapporte</w:t>
      </w:r>
      <w:r w:rsidR="00CE4727">
        <w:rPr>
          <w:color w:val="000000"/>
          <w:szCs w:val="22"/>
          <w:lang w:val="sv-SE"/>
        </w:rPr>
        <w:t xml:space="preserve">r </w:t>
      </w:r>
      <w:r w:rsidR="004046BD">
        <w:rPr>
          <w:color w:val="000000"/>
          <w:szCs w:val="22"/>
          <w:lang w:val="sv-SE"/>
        </w:rPr>
        <w:t xml:space="preserve">om spontana aborter och </w:t>
      </w:r>
      <w:r w:rsidR="00CE4727">
        <w:rPr>
          <w:color w:val="000000"/>
          <w:szCs w:val="22"/>
          <w:lang w:val="sv-SE"/>
        </w:rPr>
        <w:t xml:space="preserve">medfödda missbildningar från kvinnor som har tagit Glivec. </w:t>
      </w:r>
      <w:r w:rsidR="00620ABA" w:rsidRPr="000E7AE9">
        <w:rPr>
          <w:color w:val="000000"/>
          <w:szCs w:val="22"/>
          <w:lang w:val="sv-SE"/>
        </w:rPr>
        <w:t>Djurstudier har visat reproduktionstoxikologiska effekter (se avsnitt 5.3). Risken för fostret är okänd. Glivec skall användas under graviditet endast då det är absolut nödvändigt. Om läkemedlet används under graviditet måste patienten informeras om risken för fostret.</w:t>
      </w:r>
    </w:p>
    <w:p w14:paraId="7EA7CF17" w14:textId="77777777" w:rsidR="00620ABA" w:rsidRPr="000E7AE9" w:rsidRDefault="00620ABA" w:rsidP="00463647">
      <w:pPr>
        <w:pStyle w:val="EndnoteText"/>
        <w:widowControl w:val="0"/>
        <w:rPr>
          <w:color w:val="000000"/>
          <w:szCs w:val="22"/>
          <w:lang w:val="sv-SE"/>
        </w:rPr>
      </w:pPr>
    </w:p>
    <w:p w14:paraId="06C0A928" w14:textId="77777777" w:rsidR="00620ABA" w:rsidRPr="000E7AE9" w:rsidRDefault="00620ABA" w:rsidP="00463647">
      <w:pPr>
        <w:pStyle w:val="EndnoteText"/>
        <w:keepNext/>
        <w:widowControl w:val="0"/>
        <w:rPr>
          <w:color w:val="000000"/>
          <w:szCs w:val="22"/>
          <w:lang w:val="sv-SE"/>
        </w:rPr>
      </w:pPr>
      <w:r w:rsidRPr="000E7AE9">
        <w:rPr>
          <w:color w:val="000000"/>
          <w:szCs w:val="22"/>
          <w:u w:val="single"/>
          <w:lang w:val="sv-SE"/>
        </w:rPr>
        <w:t>Amning</w:t>
      </w:r>
    </w:p>
    <w:p w14:paraId="28262A7D" w14:textId="18C98509" w:rsidR="00620ABA" w:rsidRDefault="00DA4825" w:rsidP="00463647">
      <w:pPr>
        <w:pStyle w:val="EndnoteText"/>
        <w:widowControl w:val="0"/>
        <w:rPr>
          <w:color w:val="000000"/>
          <w:szCs w:val="22"/>
          <w:lang w:val="sv-SE"/>
        </w:rPr>
      </w:pPr>
      <w:r>
        <w:rPr>
          <w:color w:val="000000"/>
          <w:szCs w:val="22"/>
          <w:lang w:val="sv-SE"/>
        </w:rPr>
        <w:t>Det finns begränsad information om imatinibs distribution i människomjölk. Studier på två ammande kvinnor visar att b</w:t>
      </w:r>
      <w:r w:rsidR="00AE104E">
        <w:rPr>
          <w:color w:val="000000"/>
          <w:szCs w:val="22"/>
          <w:lang w:val="sv-SE"/>
        </w:rPr>
        <w:t xml:space="preserve">åde imatinib och dess aktiva metabolit kan </w:t>
      </w:r>
      <w:r w:rsidR="00524135">
        <w:rPr>
          <w:color w:val="000000"/>
          <w:szCs w:val="22"/>
          <w:lang w:val="sv-SE"/>
        </w:rPr>
        <w:t xml:space="preserve">distribueras i människomjölk. Mjölk-plasma-ratio </w:t>
      </w:r>
      <w:r>
        <w:rPr>
          <w:color w:val="000000"/>
          <w:szCs w:val="22"/>
          <w:lang w:val="sv-SE"/>
        </w:rPr>
        <w:t xml:space="preserve">studerad i en enstaka patient </w:t>
      </w:r>
      <w:r w:rsidR="00524135">
        <w:rPr>
          <w:color w:val="000000"/>
          <w:szCs w:val="22"/>
          <w:lang w:val="sv-SE"/>
        </w:rPr>
        <w:t xml:space="preserve">bestämdes till 0,5 för imatinib och 0,9 for metaboliten, vilket tyder på större distribution av metaboliten i mjölken. </w:t>
      </w:r>
      <w:r w:rsidR="002450AF">
        <w:rPr>
          <w:color w:val="000000"/>
          <w:szCs w:val="22"/>
          <w:lang w:val="sv-SE"/>
        </w:rPr>
        <w:t>Med hänsyn taget till total koncentration av imatinib och metaboli</w:t>
      </w:r>
      <w:r w:rsidR="00F038EC">
        <w:rPr>
          <w:color w:val="000000"/>
          <w:szCs w:val="22"/>
          <w:lang w:val="sv-SE"/>
        </w:rPr>
        <w:t>t</w:t>
      </w:r>
      <w:r w:rsidR="002450AF">
        <w:rPr>
          <w:color w:val="000000"/>
          <w:szCs w:val="22"/>
          <w:lang w:val="sv-SE"/>
        </w:rPr>
        <w:t xml:space="preserve"> </w:t>
      </w:r>
      <w:r w:rsidR="00F038EC">
        <w:rPr>
          <w:color w:val="000000"/>
          <w:szCs w:val="22"/>
          <w:lang w:val="sv-SE"/>
        </w:rPr>
        <w:t>tillsammans</w:t>
      </w:r>
      <w:r w:rsidR="002450AF">
        <w:rPr>
          <w:color w:val="000000"/>
          <w:szCs w:val="22"/>
          <w:lang w:val="sv-SE"/>
        </w:rPr>
        <w:t xml:space="preserve"> och maximalt dygnsintag mjölk hos spädbarn skulle den totala exponeringen förväntas vara låg (</w:t>
      </w:r>
      <w:r w:rsidR="002450AF" w:rsidRPr="002450AF">
        <w:rPr>
          <w:lang w:val="sv-SE"/>
        </w:rPr>
        <w:t>~10</w:t>
      </w:r>
      <w:r w:rsidR="00794E0C">
        <w:rPr>
          <w:lang w:val="sv-SE"/>
        </w:rPr>
        <w:t> </w:t>
      </w:r>
      <w:r w:rsidR="002450AF" w:rsidRPr="002450AF">
        <w:rPr>
          <w:lang w:val="sv-SE"/>
        </w:rPr>
        <w:t>% av en terapeutisk dos).</w:t>
      </w:r>
      <w:r w:rsidR="00F038EC">
        <w:rPr>
          <w:color w:val="000000"/>
          <w:szCs w:val="22"/>
          <w:lang w:val="sv-SE"/>
        </w:rPr>
        <w:t xml:space="preserve"> Då effekt av exponering i låg dos på ett spädbarn är okänd bör dock kvinnor inte amma</w:t>
      </w:r>
      <w:r w:rsidR="00B10EAC">
        <w:rPr>
          <w:color w:val="000000"/>
          <w:szCs w:val="22"/>
          <w:lang w:val="sv-SE"/>
        </w:rPr>
        <w:t xml:space="preserve"> under behandling och under minst 15 dagar efter avslutad behandling med Glivec</w:t>
      </w:r>
      <w:r w:rsidR="00F038EC">
        <w:rPr>
          <w:color w:val="000000"/>
          <w:szCs w:val="22"/>
          <w:lang w:val="sv-SE"/>
        </w:rPr>
        <w:t>.</w:t>
      </w:r>
    </w:p>
    <w:p w14:paraId="5B38D7C6" w14:textId="77777777" w:rsidR="009B5411" w:rsidRDefault="009B5411" w:rsidP="00463647">
      <w:pPr>
        <w:pStyle w:val="EndnoteText"/>
        <w:widowControl w:val="0"/>
        <w:rPr>
          <w:color w:val="000000"/>
          <w:szCs w:val="22"/>
          <w:lang w:val="sv-SE"/>
        </w:rPr>
      </w:pPr>
    </w:p>
    <w:p w14:paraId="2EBAA305" w14:textId="77777777" w:rsidR="009B5411" w:rsidRDefault="009B5411" w:rsidP="00463647">
      <w:pPr>
        <w:pStyle w:val="EndnoteText"/>
        <w:keepNext/>
        <w:widowControl w:val="0"/>
        <w:rPr>
          <w:color w:val="000000"/>
          <w:szCs w:val="22"/>
          <w:lang w:val="sv-SE"/>
        </w:rPr>
      </w:pPr>
      <w:r>
        <w:rPr>
          <w:color w:val="000000"/>
          <w:szCs w:val="22"/>
          <w:u w:val="single"/>
          <w:lang w:val="sv-SE"/>
        </w:rPr>
        <w:t>Fertilitet</w:t>
      </w:r>
    </w:p>
    <w:p w14:paraId="490CB35C" w14:textId="77777777" w:rsidR="009B5411" w:rsidRPr="009B5411" w:rsidRDefault="006C7773" w:rsidP="00463647">
      <w:pPr>
        <w:pStyle w:val="EndnoteText"/>
        <w:widowControl w:val="0"/>
        <w:rPr>
          <w:color w:val="000000"/>
          <w:szCs w:val="22"/>
          <w:lang w:val="sv-SE"/>
        </w:rPr>
      </w:pPr>
      <w:r>
        <w:rPr>
          <w:color w:val="000000"/>
          <w:szCs w:val="22"/>
          <w:lang w:val="sv-SE"/>
        </w:rPr>
        <w:t>I pre-</w:t>
      </w:r>
      <w:r w:rsidR="00E4427F">
        <w:rPr>
          <w:color w:val="000000"/>
          <w:szCs w:val="22"/>
          <w:lang w:val="sv-SE"/>
        </w:rPr>
        <w:t>k</w:t>
      </w:r>
      <w:r>
        <w:rPr>
          <w:color w:val="000000"/>
          <w:szCs w:val="22"/>
          <w:lang w:val="sv-SE"/>
        </w:rPr>
        <w:t>liniska studier, var</w:t>
      </w:r>
      <w:r w:rsidR="00E4427F">
        <w:rPr>
          <w:color w:val="000000"/>
          <w:szCs w:val="22"/>
          <w:lang w:val="sv-SE"/>
        </w:rPr>
        <w:t xml:space="preserve"> </w:t>
      </w:r>
      <w:r>
        <w:rPr>
          <w:color w:val="000000"/>
          <w:szCs w:val="22"/>
          <w:lang w:val="sv-SE"/>
        </w:rPr>
        <w:t xml:space="preserve">fertilitet hos </w:t>
      </w:r>
      <w:r w:rsidR="008B7A37">
        <w:rPr>
          <w:color w:val="000000"/>
          <w:szCs w:val="22"/>
          <w:lang w:val="sv-SE"/>
        </w:rPr>
        <w:t>ha</w:t>
      </w:r>
      <w:r w:rsidR="009316B4">
        <w:rPr>
          <w:color w:val="000000"/>
          <w:szCs w:val="22"/>
          <w:lang w:val="sv-SE"/>
        </w:rPr>
        <w:t>n- och h</w:t>
      </w:r>
      <w:r w:rsidR="008B7A37">
        <w:rPr>
          <w:color w:val="000000"/>
          <w:szCs w:val="22"/>
          <w:lang w:val="sv-SE"/>
        </w:rPr>
        <w:t>o</w:t>
      </w:r>
      <w:r w:rsidR="009316B4">
        <w:rPr>
          <w:color w:val="000000"/>
          <w:szCs w:val="22"/>
          <w:lang w:val="sv-SE"/>
        </w:rPr>
        <w:t>n</w:t>
      </w:r>
      <w:r w:rsidR="00E4427F">
        <w:rPr>
          <w:color w:val="000000"/>
          <w:szCs w:val="22"/>
          <w:lang w:val="sv-SE"/>
        </w:rPr>
        <w:t>råttor ej</w:t>
      </w:r>
      <w:r>
        <w:rPr>
          <w:color w:val="000000"/>
          <w:szCs w:val="22"/>
          <w:lang w:val="sv-SE"/>
        </w:rPr>
        <w:t xml:space="preserve"> påverkad</w:t>
      </w:r>
      <w:r w:rsidR="00B10EAC">
        <w:rPr>
          <w:color w:val="000000"/>
          <w:szCs w:val="22"/>
          <w:lang w:val="sv-SE"/>
        </w:rPr>
        <w:t>, även om effekter på reproduktionsparametrar observerades</w:t>
      </w:r>
      <w:r>
        <w:rPr>
          <w:color w:val="000000"/>
          <w:szCs w:val="22"/>
          <w:lang w:val="sv-SE"/>
        </w:rPr>
        <w:t xml:space="preserve"> (se avsnitt 5.3). </w:t>
      </w:r>
      <w:r w:rsidR="009B5411">
        <w:rPr>
          <w:color w:val="000000"/>
          <w:szCs w:val="22"/>
          <w:lang w:val="sv-SE"/>
        </w:rPr>
        <w:t xml:space="preserve">Humana studier på patienter som fått Glivec </w:t>
      </w:r>
      <w:r w:rsidR="009B5411">
        <w:rPr>
          <w:color w:val="000000"/>
          <w:szCs w:val="22"/>
          <w:lang w:val="sv-SE"/>
        </w:rPr>
        <w:lastRenderedPageBreak/>
        <w:t xml:space="preserve">och effekten på fertilitet och </w:t>
      </w:r>
      <w:r w:rsidR="006D3AB5">
        <w:rPr>
          <w:color w:val="000000"/>
          <w:szCs w:val="22"/>
          <w:lang w:val="sv-SE"/>
        </w:rPr>
        <w:t>game</w:t>
      </w:r>
      <w:r w:rsidR="009B5411">
        <w:rPr>
          <w:color w:val="000000"/>
          <w:szCs w:val="22"/>
          <w:lang w:val="sv-SE"/>
        </w:rPr>
        <w:t xml:space="preserve">togenes har inte utförts. </w:t>
      </w:r>
      <w:r w:rsidR="006D3AB5">
        <w:rPr>
          <w:color w:val="000000"/>
          <w:szCs w:val="22"/>
          <w:lang w:val="sv-SE"/>
        </w:rPr>
        <w:t>P</w:t>
      </w:r>
      <w:r w:rsidR="009B5411">
        <w:rPr>
          <w:color w:val="000000"/>
          <w:szCs w:val="22"/>
          <w:lang w:val="sv-SE"/>
        </w:rPr>
        <w:t>atienter som är oroliga över sin fertilitet vid behandling med Glivec bör råd</w:t>
      </w:r>
      <w:r>
        <w:rPr>
          <w:color w:val="000000"/>
          <w:szCs w:val="22"/>
          <w:lang w:val="sv-SE"/>
        </w:rPr>
        <w:t>göra med läkare</w:t>
      </w:r>
      <w:r w:rsidR="009B5411">
        <w:rPr>
          <w:color w:val="000000"/>
          <w:szCs w:val="22"/>
          <w:lang w:val="sv-SE"/>
        </w:rPr>
        <w:t>.</w:t>
      </w:r>
    </w:p>
    <w:p w14:paraId="0749A146" w14:textId="77777777" w:rsidR="00620ABA" w:rsidRPr="000E7AE9" w:rsidRDefault="00620ABA" w:rsidP="00463647">
      <w:pPr>
        <w:pStyle w:val="EndnoteText"/>
        <w:widowControl w:val="0"/>
        <w:rPr>
          <w:color w:val="000000"/>
          <w:szCs w:val="22"/>
          <w:lang w:val="sv-SE"/>
        </w:rPr>
      </w:pPr>
    </w:p>
    <w:p w14:paraId="2EBCAD88"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4.7</w:t>
      </w:r>
      <w:r w:rsidRPr="000E7AE9">
        <w:rPr>
          <w:noProof w:val="0"/>
          <w:color w:val="000000"/>
          <w:szCs w:val="22"/>
          <w:lang w:val="sv-SE"/>
        </w:rPr>
        <w:tab/>
        <w:t>Effekter på förmåga</w:t>
      </w:r>
      <w:r w:rsidR="00434E88">
        <w:rPr>
          <w:noProof w:val="0"/>
          <w:color w:val="000000"/>
          <w:szCs w:val="22"/>
          <w:lang w:val="sv-SE"/>
        </w:rPr>
        <w:t>n</w:t>
      </w:r>
      <w:r w:rsidRPr="000E7AE9">
        <w:rPr>
          <w:noProof w:val="0"/>
          <w:color w:val="000000"/>
          <w:szCs w:val="22"/>
          <w:lang w:val="sv-SE"/>
        </w:rPr>
        <w:t xml:space="preserve"> att framföra fordon och använda maskiner</w:t>
      </w:r>
    </w:p>
    <w:p w14:paraId="175A0F9A" w14:textId="77777777" w:rsidR="00620ABA" w:rsidRPr="000E7AE9" w:rsidRDefault="00620ABA" w:rsidP="00463647">
      <w:pPr>
        <w:pStyle w:val="EndnoteText"/>
        <w:keepNext/>
        <w:widowControl w:val="0"/>
        <w:tabs>
          <w:tab w:val="clear" w:pos="567"/>
        </w:tabs>
        <w:rPr>
          <w:color w:val="000000"/>
          <w:szCs w:val="22"/>
          <w:lang w:val="sv-SE"/>
        </w:rPr>
      </w:pPr>
    </w:p>
    <w:p w14:paraId="75154E93" w14:textId="77777777" w:rsidR="00620ABA" w:rsidRPr="000E7AE9" w:rsidRDefault="00E4427F" w:rsidP="00463647">
      <w:pPr>
        <w:pStyle w:val="EndnoteText"/>
        <w:widowControl w:val="0"/>
        <w:tabs>
          <w:tab w:val="clear" w:pos="567"/>
        </w:tabs>
        <w:rPr>
          <w:color w:val="000000"/>
          <w:szCs w:val="22"/>
          <w:lang w:val="sv-SE"/>
        </w:rPr>
      </w:pPr>
      <w:r>
        <w:rPr>
          <w:snapToGrid w:val="0"/>
          <w:color w:val="000000"/>
          <w:szCs w:val="22"/>
          <w:lang w:val="sv-SE"/>
        </w:rPr>
        <w:t>P</w:t>
      </w:r>
      <w:r w:rsidR="00620ABA" w:rsidRPr="000E7AE9">
        <w:rPr>
          <w:snapToGrid w:val="0"/>
          <w:color w:val="000000"/>
          <w:szCs w:val="22"/>
          <w:lang w:val="sv-SE"/>
        </w:rPr>
        <w:t>atienterna</w:t>
      </w:r>
      <w:r>
        <w:rPr>
          <w:snapToGrid w:val="0"/>
          <w:color w:val="000000"/>
          <w:szCs w:val="22"/>
          <w:lang w:val="sv-SE"/>
        </w:rPr>
        <w:t xml:space="preserve"> ska</w:t>
      </w:r>
      <w:r w:rsidR="00620ABA" w:rsidRPr="000E7AE9">
        <w:rPr>
          <w:snapToGrid w:val="0"/>
          <w:color w:val="000000"/>
          <w:szCs w:val="22"/>
          <w:lang w:val="sv-SE"/>
        </w:rPr>
        <w:t xml:space="preserve"> informeras om att de kan uppleva biverkningar som yrsel</w:t>
      </w:r>
      <w:r w:rsidR="00D10631">
        <w:rPr>
          <w:snapToGrid w:val="0"/>
          <w:color w:val="000000"/>
          <w:szCs w:val="22"/>
          <w:lang w:val="sv-SE"/>
        </w:rPr>
        <w:t>,</w:t>
      </w:r>
      <w:r w:rsidR="00620ABA" w:rsidRPr="000E7AE9">
        <w:rPr>
          <w:snapToGrid w:val="0"/>
          <w:color w:val="000000"/>
          <w:szCs w:val="22"/>
          <w:lang w:val="sv-SE"/>
        </w:rPr>
        <w:t xml:space="preserve"> dimsyn</w:t>
      </w:r>
      <w:r w:rsidR="00D10631">
        <w:rPr>
          <w:snapToGrid w:val="0"/>
          <w:color w:val="000000"/>
          <w:szCs w:val="22"/>
          <w:lang w:val="sv-SE"/>
        </w:rPr>
        <w:t xml:space="preserve"> eller trötthet</w:t>
      </w:r>
      <w:r w:rsidR="00620ABA" w:rsidRPr="000E7AE9">
        <w:rPr>
          <w:snapToGrid w:val="0"/>
          <w:color w:val="000000"/>
          <w:szCs w:val="22"/>
          <w:lang w:val="sv-SE"/>
        </w:rPr>
        <w:t xml:space="preserve"> under behandlingen med imatinib. Därför skall man uppmana till försiktighet vid bilkörning eller användning av maskiner.</w:t>
      </w:r>
    </w:p>
    <w:p w14:paraId="4D74501E" w14:textId="77777777" w:rsidR="00620ABA" w:rsidRPr="000E7AE9" w:rsidRDefault="00620ABA" w:rsidP="00463647">
      <w:pPr>
        <w:pStyle w:val="EndnoteText"/>
        <w:widowControl w:val="0"/>
        <w:tabs>
          <w:tab w:val="clear" w:pos="567"/>
        </w:tabs>
        <w:rPr>
          <w:color w:val="000000"/>
          <w:szCs w:val="22"/>
          <w:lang w:val="sv-SE"/>
        </w:rPr>
      </w:pPr>
    </w:p>
    <w:p w14:paraId="02326C57"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4.8</w:t>
      </w:r>
      <w:r w:rsidRPr="000E7AE9">
        <w:rPr>
          <w:noProof w:val="0"/>
          <w:color w:val="000000"/>
          <w:szCs w:val="22"/>
          <w:lang w:val="sv-SE"/>
        </w:rPr>
        <w:tab/>
        <w:t>Biverkningar</w:t>
      </w:r>
    </w:p>
    <w:p w14:paraId="6372E61F" w14:textId="77777777" w:rsidR="00620ABA" w:rsidRPr="000E7AE9" w:rsidRDefault="00620ABA" w:rsidP="00463647">
      <w:pPr>
        <w:keepNext/>
        <w:widowControl w:val="0"/>
        <w:tabs>
          <w:tab w:val="clear" w:pos="567"/>
        </w:tabs>
        <w:spacing w:line="240" w:lineRule="auto"/>
        <w:rPr>
          <w:color w:val="000000"/>
          <w:szCs w:val="22"/>
          <w:lang w:val="sv-SE"/>
        </w:rPr>
      </w:pPr>
    </w:p>
    <w:p w14:paraId="49F32D06"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Patienter med avancerade maligniteter kan ha flera andra symtom relaterade till grundsjukdomen, dess progression och samtidig behandling med flera andra läkemedel vilket försvårar bedömningen av ett eventuellt orsakssamband vid misstänkt biverkan.</w:t>
      </w:r>
    </w:p>
    <w:p w14:paraId="11131008" w14:textId="77777777" w:rsidR="00620ABA" w:rsidRPr="000E7AE9" w:rsidRDefault="00620ABA" w:rsidP="00463647">
      <w:pPr>
        <w:pStyle w:val="TextChar"/>
        <w:widowControl w:val="0"/>
        <w:spacing w:before="0"/>
        <w:jc w:val="left"/>
        <w:rPr>
          <w:color w:val="000000"/>
          <w:sz w:val="22"/>
          <w:szCs w:val="22"/>
          <w:lang w:val="sv-SE"/>
        </w:rPr>
      </w:pPr>
    </w:p>
    <w:p w14:paraId="235AB602"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Behandlingsavbrott på grund av läkemedelsrelaterade biverkningar i kliniska prövningar på KML observerades hos 2,4</w:t>
      </w:r>
      <w:r w:rsidR="00370A4C">
        <w:rPr>
          <w:color w:val="000000"/>
          <w:sz w:val="22"/>
          <w:szCs w:val="22"/>
          <w:lang w:val="sv-SE"/>
        </w:rPr>
        <w:t> </w:t>
      </w:r>
      <w:r w:rsidRPr="000E7AE9">
        <w:rPr>
          <w:color w:val="000000"/>
          <w:sz w:val="22"/>
          <w:szCs w:val="22"/>
          <w:lang w:val="sv-SE"/>
        </w:rPr>
        <w:t>% av nyligen diagnostiserade patienter, 4</w:t>
      </w:r>
      <w:r w:rsidR="00370A4C">
        <w:rPr>
          <w:color w:val="000000"/>
          <w:sz w:val="22"/>
          <w:szCs w:val="22"/>
          <w:lang w:val="sv-SE"/>
        </w:rPr>
        <w:t> </w:t>
      </w:r>
      <w:r w:rsidRPr="000E7AE9">
        <w:rPr>
          <w:color w:val="000000"/>
          <w:sz w:val="22"/>
          <w:szCs w:val="22"/>
          <w:lang w:val="sv-SE"/>
        </w:rPr>
        <w:t>% av patienter i sen kronisk fas efter att ha sviktat på interferonbehandling, 4</w:t>
      </w:r>
      <w:r w:rsidR="00370A4C">
        <w:rPr>
          <w:color w:val="000000"/>
          <w:sz w:val="22"/>
          <w:szCs w:val="22"/>
          <w:lang w:val="sv-SE"/>
        </w:rPr>
        <w:t> </w:t>
      </w:r>
      <w:r w:rsidRPr="000E7AE9">
        <w:rPr>
          <w:color w:val="000000"/>
          <w:sz w:val="22"/>
          <w:szCs w:val="22"/>
          <w:lang w:val="sv-SE"/>
        </w:rPr>
        <w:t>% av patienter i accelererad fas efter att ha sviktat på interferonbehandling och 5</w:t>
      </w:r>
      <w:r w:rsidR="00370A4C">
        <w:rPr>
          <w:color w:val="000000"/>
          <w:sz w:val="22"/>
          <w:szCs w:val="22"/>
          <w:lang w:val="sv-SE"/>
        </w:rPr>
        <w:t> </w:t>
      </w:r>
      <w:r w:rsidRPr="000E7AE9">
        <w:rPr>
          <w:color w:val="000000"/>
          <w:sz w:val="22"/>
          <w:szCs w:val="22"/>
          <w:lang w:val="sv-SE"/>
        </w:rPr>
        <w:t>% av patienter i blastkris efter att ha sviktat på interferonbehandling. Vid GIST avbröts användningen av studieläkemedlet på grund av läkemedelsrelaterade biverkningar hos 4</w:t>
      </w:r>
      <w:r w:rsidR="00370A4C">
        <w:rPr>
          <w:color w:val="000000"/>
          <w:sz w:val="22"/>
          <w:szCs w:val="22"/>
          <w:lang w:val="sv-SE"/>
        </w:rPr>
        <w:t> </w:t>
      </w:r>
      <w:r w:rsidRPr="000E7AE9">
        <w:rPr>
          <w:color w:val="000000"/>
          <w:sz w:val="22"/>
          <w:szCs w:val="22"/>
          <w:lang w:val="sv-SE"/>
        </w:rPr>
        <w:t>% av patienterna.</w:t>
      </w:r>
    </w:p>
    <w:p w14:paraId="6A053FEB" w14:textId="77777777" w:rsidR="00620ABA" w:rsidRPr="000E7AE9" w:rsidRDefault="00620ABA" w:rsidP="00463647">
      <w:pPr>
        <w:pStyle w:val="TextChar"/>
        <w:widowControl w:val="0"/>
        <w:spacing w:before="0"/>
        <w:jc w:val="left"/>
        <w:rPr>
          <w:color w:val="000000"/>
          <w:sz w:val="22"/>
          <w:szCs w:val="22"/>
          <w:lang w:val="sv-SE"/>
        </w:rPr>
      </w:pPr>
    </w:p>
    <w:p w14:paraId="6672085D"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 xml:space="preserve">Biverkningarna var likartade vid alla indikationer, med två undantag. Det förekom mer myelosuppression hos KML-patienterna än vid GIST, vilket troligen beror på den underliggande sjukdomen. </w:t>
      </w:r>
      <w:r w:rsidR="00D17AB6" w:rsidRPr="000E7AE9">
        <w:rPr>
          <w:color w:val="000000"/>
          <w:sz w:val="22"/>
          <w:szCs w:val="22"/>
          <w:lang w:val="sv-SE"/>
        </w:rPr>
        <w:t xml:space="preserve">I studien </w:t>
      </w:r>
      <w:r w:rsidR="00D17AB6">
        <w:rPr>
          <w:color w:val="000000"/>
          <w:sz w:val="22"/>
          <w:szCs w:val="22"/>
          <w:lang w:val="sv-SE"/>
        </w:rPr>
        <w:t>på patienter med icke-resercerbar och/eller metastaserande</w:t>
      </w:r>
      <w:r w:rsidR="00D17AB6" w:rsidRPr="000E7AE9">
        <w:rPr>
          <w:color w:val="000000"/>
          <w:sz w:val="22"/>
          <w:szCs w:val="22"/>
          <w:lang w:val="sv-SE"/>
        </w:rPr>
        <w:t xml:space="preserve"> GIST upplevde 7 (5</w:t>
      </w:r>
      <w:r w:rsidR="00370A4C">
        <w:rPr>
          <w:color w:val="000000"/>
          <w:sz w:val="22"/>
          <w:szCs w:val="22"/>
          <w:lang w:val="sv-SE"/>
        </w:rPr>
        <w:t> </w:t>
      </w:r>
      <w:r w:rsidR="00D17AB6" w:rsidRPr="000E7AE9">
        <w:rPr>
          <w:color w:val="000000"/>
          <w:sz w:val="22"/>
          <w:szCs w:val="22"/>
          <w:lang w:val="sv-SE"/>
        </w:rPr>
        <w:t>%)</w:t>
      </w:r>
      <w:r w:rsidRPr="000E7AE9">
        <w:rPr>
          <w:color w:val="000000"/>
          <w:sz w:val="22"/>
          <w:szCs w:val="22"/>
          <w:lang w:val="sv-SE"/>
        </w:rPr>
        <w:t xml:space="preserve"> patienter GI-blödningar av Common Toxicity Criteria, CTC-nivå 3/4 (3 patienter), intratumorala blödningar (3 patienter) eller båda (1 patient). Lokaliseringen av GI-tumörerna kan ha varit ursprunget till GI-blödningarna (se avsnitt 4.4). Gastrointestinala och tumorala blödningar kan vara allvarliga och i vissa fall dödliga. De vanligast förekommande (</w:t>
      </w:r>
      <w:r w:rsidRPr="000E7AE9">
        <w:rPr>
          <w:snapToGrid w:val="0"/>
          <w:color w:val="000000"/>
          <w:sz w:val="22"/>
          <w:szCs w:val="22"/>
          <w:lang w:val="sv-SE"/>
        </w:rPr>
        <w:sym w:font="Symbol" w:char="F0B3"/>
      </w:r>
      <w:r w:rsidRPr="000E7AE9">
        <w:rPr>
          <w:snapToGrid w:val="0"/>
          <w:color w:val="000000"/>
          <w:sz w:val="22"/>
          <w:szCs w:val="22"/>
          <w:lang w:val="sv-SE"/>
        </w:rPr>
        <w:t> </w:t>
      </w:r>
      <w:r w:rsidRPr="000E7AE9">
        <w:rPr>
          <w:color w:val="000000"/>
          <w:sz w:val="22"/>
          <w:szCs w:val="22"/>
          <w:lang w:val="sv-SE"/>
        </w:rPr>
        <w:t>10</w:t>
      </w:r>
      <w:r w:rsidR="00370A4C">
        <w:rPr>
          <w:color w:val="000000"/>
          <w:sz w:val="22"/>
          <w:szCs w:val="22"/>
          <w:lang w:val="sv-SE"/>
        </w:rPr>
        <w:t> </w:t>
      </w:r>
      <w:r w:rsidRPr="000E7AE9">
        <w:rPr>
          <w:color w:val="000000"/>
          <w:sz w:val="22"/>
          <w:szCs w:val="22"/>
          <w:lang w:val="sv-SE"/>
        </w:rPr>
        <w:t>%) läkemedelsrelaterade biverkningarna i båda fallen var lätt illamående, kräkning, diarré, buksmärta, trötthet, myalgi, muskelkramper och hudutslag. Ytliga ödem var vanligt förekommande i alla studier och beskrevs i första hand såsom periorbitala eller underbensödem. Dessa ödem var dock sällan allvarliga och kunde behandlas med hjälp av diuretika och andra understödjande åtgärder eller genom minskning av Glivec-dosen.</w:t>
      </w:r>
    </w:p>
    <w:p w14:paraId="3FB7CA80" w14:textId="77777777" w:rsidR="00620ABA" w:rsidRPr="000E7AE9" w:rsidRDefault="00620ABA" w:rsidP="00463647">
      <w:pPr>
        <w:pStyle w:val="TextChar"/>
        <w:widowControl w:val="0"/>
        <w:spacing w:before="0"/>
        <w:jc w:val="left"/>
        <w:rPr>
          <w:color w:val="000000"/>
          <w:sz w:val="22"/>
          <w:szCs w:val="22"/>
          <w:lang w:val="sv-SE"/>
        </w:rPr>
      </w:pPr>
    </w:p>
    <w:p w14:paraId="08E06DDD"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När imatinib kombinerades med kemoterapi i högdos på Ph+ ALL-patienter observerades övergående levertoxicitet i form av förhöjning av transaminaser och hyperbilirubinemi.</w:t>
      </w:r>
      <w:r w:rsidR="00456ABA">
        <w:rPr>
          <w:color w:val="000000"/>
          <w:sz w:val="22"/>
          <w:szCs w:val="22"/>
          <w:lang w:val="sv-SE"/>
        </w:rPr>
        <w:t xml:space="preserve"> Med hänsyn till den begränsade </w:t>
      </w:r>
      <w:r w:rsidR="00F367EF">
        <w:rPr>
          <w:color w:val="000000"/>
          <w:sz w:val="22"/>
          <w:szCs w:val="22"/>
          <w:lang w:val="sv-SE"/>
        </w:rPr>
        <w:t xml:space="preserve">säkerhetsdatabasen, så är de biverkningar som hittills rapporterats hos barn överensstämmande med den kända säkerhetsprofilen hos vuxna patienter med Ph+ ALL. </w:t>
      </w:r>
      <w:r w:rsidR="00717594">
        <w:rPr>
          <w:color w:val="000000"/>
          <w:sz w:val="22"/>
          <w:szCs w:val="22"/>
          <w:lang w:val="sv-SE"/>
        </w:rPr>
        <w:t>Säkerhetsdatabasen för barn med Ph+ ALL är mycket begränsad, men inga nya säkerhetsproblem har identifierats.</w:t>
      </w:r>
    </w:p>
    <w:p w14:paraId="24E37733" w14:textId="77777777" w:rsidR="00620ABA" w:rsidRPr="000E7AE9" w:rsidRDefault="00620ABA" w:rsidP="00463647">
      <w:pPr>
        <w:pStyle w:val="TextChar"/>
        <w:widowControl w:val="0"/>
        <w:spacing w:before="0"/>
        <w:jc w:val="left"/>
        <w:rPr>
          <w:color w:val="000000"/>
          <w:sz w:val="22"/>
          <w:szCs w:val="22"/>
          <w:lang w:val="sv-SE"/>
        </w:rPr>
      </w:pPr>
    </w:p>
    <w:p w14:paraId="4560B70B"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Olika biverkningar såsom pleurautgjutning, ascites, lungödem och snabb viktuppgång med eller utan ytligt ödem kan sammantaget benämnas ”vätskeretention”. Dessa biverkningar kan vanligen hanteras genom att tillfälligt hålla inne behandlingen med Glivec och ge diuretika och andra adekvata understödjande åtgärder. I en del fall kan dock dessa biverkningar vara allvarliga eller livshotande och ett flertal patienter med blastkris dog med en komplex klinisk bild av pleurautgjutning, hjärtsvikt och njursvikt. Inga särskilda säkerhetsfynd noterades i kliniska prövningar på barn.</w:t>
      </w:r>
    </w:p>
    <w:p w14:paraId="2A5B00D5" w14:textId="77777777" w:rsidR="00620ABA" w:rsidRPr="000E7AE9" w:rsidRDefault="00620ABA" w:rsidP="00463647">
      <w:pPr>
        <w:pStyle w:val="TextChar"/>
        <w:widowControl w:val="0"/>
        <w:spacing w:before="0"/>
        <w:jc w:val="left"/>
        <w:rPr>
          <w:color w:val="000000"/>
          <w:sz w:val="22"/>
          <w:szCs w:val="22"/>
          <w:lang w:val="sv-SE"/>
        </w:rPr>
      </w:pPr>
    </w:p>
    <w:p w14:paraId="003BAB12" w14:textId="77777777" w:rsidR="00620ABA" w:rsidRPr="000E7AE9" w:rsidRDefault="00620ABA" w:rsidP="00463647">
      <w:pPr>
        <w:pStyle w:val="TextChar"/>
        <w:keepNext/>
        <w:widowControl w:val="0"/>
        <w:spacing w:before="0"/>
        <w:jc w:val="left"/>
        <w:rPr>
          <w:b/>
          <w:color w:val="000000"/>
          <w:sz w:val="22"/>
          <w:szCs w:val="22"/>
          <w:lang w:val="sv-SE"/>
        </w:rPr>
      </w:pPr>
      <w:r w:rsidRPr="000E7AE9">
        <w:rPr>
          <w:b/>
          <w:color w:val="000000"/>
          <w:sz w:val="22"/>
          <w:szCs w:val="22"/>
          <w:lang w:val="sv-SE"/>
        </w:rPr>
        <w:t>Biverkningar</w:t>
      </w:r>
    </w:p>
    <w:p w14:paraId="0C1E9427"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Biverkningar som förekommer i mer än isolerade fall anges nedan, enligt organklass och frekvens. Frekvens</w:t>
      </w:r>
      <w:r w:rsidR="00434E88">
        <w:rPr>
          <w:color w:val="000000"/>
          <w:sz w:val="22"/>
          <w:szCs w:val="22"/>
          <w:lang w:val="sv-SE"/>
        </w:rPr>
        <w:t>kategorierna</w:t>
      </w:r>
      <w:r w:rsidRPr="000E7AE9">
        <w:rPr>
          <w:color w:val="000000"/>
          <w:sz w:val="22"/>
          <w:szCs w:val="22"/>
          <w:lang w:val="sv-SE"/>
        </w:rPr>
        <w:t xml:space="preserve"> definieras </w:t>
      </w:r>
      <w:r w:rsidR="00434E88">
        <w:rPr>
          <w:color w:val="000000"/>
          <w:sz w:val="22"/>
          <w:szCs w:val="22"/>
          <w:lang w:val="sv-SE"/>
        </w:rPr>
        <w:t>utifrån följande konvention</w:t>
      </w:r>
      <w:r w:rsidRPr="000E7AE9">
        <w:rPr>
          <w:color w:val="000000"/>
          <w:sz w:val="22"/>
          <w:szCs w:val="22"/>
          <w:lang w:val="sv-SE"/>
        </w:rPr>
        <w:t>: Mycket vanliga (</w:t>
      </w:r>
      <w:r w:rsidR="000B1D48">
        <w:rPr>
          <w:color w:val="000000"/>
          <w:sz w:val="22"/>
          <w:szCs w:val="22"/>
          <w:lang w:val="sv-SE"/>
        </w:rPr>
        <w:sym w:font="Symbol" w:char="F0B3"/>
      </w:r>
      <w:r w:rsidRPr="000E7AE9">
        <w:rPr>
          <w:color w:val="000000"/>
          <w:sz w:val="22"/>
          <w:szCs w:val="22"/>
          <w:lang w:val="sv-SE"/>
        </w:rPr>
        <w:t>1/10), vanliga (</w:t>
      </w:r>
      <w:r w:rsidR="000B1D48">
        <w:rPr>
          <w:color w:val="000000"/>
          <w:sz w:val="22"/>
          <w:szCs w:val="22"/>
          <w:lang w:val="sv-SE"/>
        </w:rPr>
        <w:sym w:font="Symbol" w:char="F0B3"/>
      </w:r>
      <w:r w:rsidRPr="000E7AE9">
        <w:rPr>
          <w:color w:val="000000"/>
          <w:sz w:val="22"/>
          <w:szCs w:val="22"/>
          <w:lang w:val="sv-SE"/>
        </w:rPr>
        <w:t xml:space="preserve">1/100, </w:t>
      </w:r>
      <w:r w:rsidR="000B1D48">
        <w:rPr>
          <w:color w:val="000000"/>
          <w:sz w:val="22"/>
          <w:szCs w:val="22"/>
          <w:lang w:val="sv-SE"/>
        </w:rPr>
        <w:t>&lt;</w:t>
      </w:r>
      <w:r w:rsidRPr="000E7AE9">
        <w:rPr>
          <w:color w:val="000000"/>
          <w:sz w:val="22"/>
          <w:szCs w:val="22"/>
          <w:lang w:val="sv-SE"/>
        </w:rPr>
        <w:t xml:space="preserve">1/10), </w:t>
      </w:r>
      <w:r w:rsidR="008B76F8">
        <w:rPr>
          <w:color w:val="000000"/>
          <w:sz w:val="22"/>
          <w:szCs w:val="22"/>
          <w:lang w:val="sv-SE"/>
        </w:rPr>
        <w:t>mindre vanliga</w:t>
      </w:r>
      <w:r w:rsidR="008B76F8" w:rsidRPr="000E7AE9">
        <w:rPr>
          <w:color w:val="000000"/>
          <w:sz w:val="22"/>
          <w:szCs w:val="22"/>
          <w:lang w:val="sv-SE"/>
        </w:rPr>
        <w:t xml:space="preserve"> </w:t>
      </w:r>
      <w:r w:rsidRPr="000E7AE9">
        <w:rPr>
          <w:color w:val="000000"/>
          <w:sz w:val="22"/>
          <w:szCs w:val="22"/>
          <w:lang w:val="sv-SE"/>
        </w:rPr>
        <w:t>(</w:t>
      </w:r>
      <w:r w:rsidR="000B1D48">
        <w:rPr>
          <w:color w:val="000000"/>
          <w:sz w:val="22"/>
          <w:szCs w:val="22"/>
          <w:lang w:val="sv-SE"/>
        </w:rPr>
        <w:sym w:font="Symbol" w:char="F0B3"/>
      </w:r>
      <w:r w:rsidRPr="000E7AE9">
        <w:rPr>
          <w:color w:val="000000"/>
          <w:sz w:val="22"/>
          <w:szCs w:val="22"/>
          <w:lang w:val="sv-SE"/>
        </w:rPr>
        <w:t xml:space="preserve">1/1 000, </w:t>
      </w:r>
      <w:r w:rsidRPr="000E7AE9">
        <w:rPr>
          <w:color w:val="000000"/>
          <w:sz w:val="22"/>
          <w:szCs w:val="22"/>
          <w:lang w:val="sv-SE"/>
        </w:rPr>
        <w:sym w:font="Symbol" w:char="F020"/>
      </w:r>
      <w:r w:rsidR="000B1D48">
        <w:rPr>
          <w:color w:val="000000"/>
          <w:sz w:val="22"/>
          <w:szCs w:val="22"/>
          <w:lang w:val="sv-SE"/>
        </w:rPr>
        <w:t>&lt;</w:t>
      </w:r>
      <w:r w:rsidRPr="000E7AE9">
        <w:rPr>
          <w:color w:val="000000"/>
          <w:sz w:val="22"/>
          <w:szCs w:val="22"/>
          <w:lang w:val="sv-SE"/>
        </w:rPr>
        <w:t>1/100), sällsynta (</w:t>
      </w:r>
      <w:r w:rsidR="000B1D48">
        <w:rPr>
          <w:color w:val="000000"/>
          <w:sz w:val="22"/>
          <w:szCs w:val="22"/>
          <w:lang w:val="sv-SE"/>
        </w:rPr>
        <w:sym w:font="Symbol" w:char="F0B3"/>
      </w:r>
      <w:r w:rsidR="000B1D48">
        <w:rPr>
          <w:color w:val="000000"/>
          <w:sz w:val="22"/>
          <w:szCs w:val="22"/>
          <w:lang w:val="sv-SE"/>
        </w:rPr>
        <w:t>1/10</w:t>
      </w:r>
      <w:r w:rsidR="00681C98">
        <w:rPr>
          <w:color w:val="000000"/>
          <w:sz w:val="22"/>
          <w:szCs w:val="22"/>
          <w:lang w:val="sv-SE"/>
        </w:rPr>
        <w:t> </w:t>
      </w:r>
      <w:r w:rsidR="000B1D48">
        <w:rPr>
          <w:color w:val="000000"/>
          <w:sz w:val="22"/>
          <w:szCs w:val="22"/>
          <w:lang w:val="sv-SE"/>
        </w:rPr>
        <w:t>000, &lt;</w:t>
      </w:r>
      <w:r w:rsidRPr="000E7AE9">
        <w:rPr>
          <w:color w:val="000000"/>
          <w:sz w:val="22"/>
          <w:szCs w:val="22"/>
          <w:lang w:val="sv-SE"/>
        </w:rPr>
        <w:t>1/1 000</w:t>
      </w:r>
      <w:r w:rsidR="000B1D48" w:rsidRPr="000E7AE9">
        <w:rPr>
          <w:color w:val="000000"/>
          <w:sz w:val="22"/>
          <w:szCs w:val="22"/>
          <w:lang w:val="sv-SE"/>
        </w:rPr>
        <w:t>),</w:t>
      </w:r>
      <w:r w:rsidR="000B1D48">
        <w:rPr>
          <w:color w:val="000000"/>
          <w:sz w:val="22"/>
          <w:szCs w:val="22"/>
          <w:lang w:val="sv-SE"/>
        </w:rPr>
        <w:t xml:space="preserve"> mycket sällsynta (&lt;10 000), </w:t>
      </w:r>
      <w:r w:rsidR="008B76F8">
        <w:rPr>
          <w:color w:val="000000"/>
          <w:sz w:val="22"/>
          <w:szCs w:val="22"/>
          <w:lang w:val="sv-SE"/>
        </w:rPr>
        <w:t xml:space="preserve">ingen </w:t>
      </w:r>
      <w:r w:rsidR="009F7D0D" w:rsidRPr="000E7AE9">
        <w:rPr>
          <w:noProof/>
          <w:color w:val="000000"/>
          <w:sz w:val="22"/>
          <w:szCs w:val="22"/>
          <w:lang w:val="sv-SE"/>
        </w:rPr>
        <w:t>känd frekvens</w:t>
      </w:r>
      <w:r w:rsidR="0041261E" w:rsidRPr="000E7AE9">
        <w:rPr>
          <w:noProof/>
          <w:color w:val="000000"/>
          <w:sz w:val="22"/>
          <w:szCs w:val="22"/>
          <w:lang w:val="sv-SE"/>
        </w:rPr>
        <w:t xml:space="preserve"> (kan inte beräknas från tillgängliga data).</w:t>
      </w:r>
    </w:p>
    <w:p w14:paraId="0C266202" w14:textId="77777777" w:rsidR="00620ABA" w:rsidRPr="000E7AE9" w:rsidRDefault="00620ABA" w:rsidP="00463647">
      <w:pPr>
        <w:pStyle w:val="TextChar"/>
        <w:widowControl w:val="0"/>
        <w:spacing w:before="0"/>
        <w:jc w:val="left"/>
        <w:rPr>
          <w:color w:val="000000"/>
          <w:sz w:val="22"/>
          <w:szCs w:val="22"/>
          <w:lang w:val="sv-SE"/>
        </w:rPr>
      </w:pPr>
    </w:p>
    <w:p w14:paraId="378A8D4E" w14:textId="77777777" w:rsidR="00620ABA" w:rsidRPr="000E7AE9" w:rsidRDefault="00620ABA" w:rsidP="00463647">
      <w:pPr>
        <w:pStyle w:val="TextChar"/>
        <w:widowControl w:val="0"/>
        <w:spacing w:before="0"/>
        <w:jc w:val="left"/>
        <w:rPr>
          <w:color w:val="000000"/>
          <w:sz w:val="22"/>
          <w:szCs w:val="22"/>
          <w:lang w:val="sv-SE"/>
        </w:rPr>
      </w:pPr>
      <w:r w:rsidRPr="000E7AE9">
        <w:rPr>
          <w:noProof/>
          <w:color w:val="000000"/>
          <w:sz w:val="22"/>
          <w:szCs w:val="22"/>
          <w:lang w:val="sv-SE"/>
        </w:rPr>
        <w:t xml:space="preserve">Biverkningarna presenteras inom varje frekvensområde </w:t>
      </w:r>
      <w:r w:rsidR="00710ECC" w:rsidRPr="000E7AE9">
        <w:rPr>
          <w:noProof/>
          <w:color w:val="000000"/>
          <w:sz w:val="22"/>
          <w:szCs w:val="22"/>
          <w:lang w:val="sv-SE"/>
        </w:rPr>
        <w:t xml:space="preserve">i </w:t>
      </w:r>
      <w:r w:rsidRPr="000E7AE9">
        <w:rPr>
          <w:noProof/>
          <w:color w:val="000000"/>
          <w:sz w:val="22"/>
          <w:szCs w:val="22"/>
          <w:lang w:val="sv-SE"/>
        </w:rPr>
        <w:t xml:space="preserve">fallande </w:t>
      </w:r>
      <w:r w:rsidR="001E7D21" w:rsidRPr="000E7AE9">
        <w:rPr>
          <w:noProof/>
          <w:color w:val="000000"/>
          <w:sz w:val="22"/>
          <w:szCs w:val="22"/>
          <w:lang w:val="sv-SE"/>
        </w:rPr>
        <w:t>frekvens</w:t>
      </w:r>
      <w:r w:rsidR="00710ECC" w:rsidRPr="000E7AE9">
        <w:rPr>
          <w:noProof/>
          <w:color w:val="000000"/>
          <w:sz w:val="22"/>
          <w:szCs w:val="22"/>
          <w:lang w:val="sv-SE"/>
        </w:rPr>
        <w:t>ordning</w:t>
      </w:r>
      <w:r w:rsidRPr="000E7AE9">
        <w:rPr>
          <w:noProof/>
          <w:color w:val="000000"/>
          <w:sz w:val="22"/>
          <w:szCs w:val="22"/>
          <w:lang w:val="sv-SE"/>
        </w:rPr>
        <w:t>.</w:t>
      </w:r>
    </w:p>
    <w:p w14:paraId="595BC8D2" w14:textId="77777777" w:rsidR="00620ABA" w:rsidRPr="000E7AE9" w:rsidRDefault="00620ABA" w:rsidP="00463647">
      <w:pPr>
        <w:widowControl w:val="0"/>
        <w:spacing w:line="240" w:lineRule="auto"/>
        <w:rPr>
          <w:color w:val="000000"/>
          <w:szCs w:val="22"/>
          <w:lang w:val="sv-SE"/>
        </w:rPr>
      </w:pPr>
      <w:bookmarkStart w:id="1" w:name="_Toc411838883"/>
      <w:bookmarkStart w:id="2" w:name="_Toc450641613"/>
    </w:p>
    <w:p w14:paraId="31341148" w14:textId="77777777" w:rsidR="001E7D21" w:rsidRPr="000E7AE9" w:rsidRDefault="001E7D21" w:rsidP="00463647">
      <w:pPr>
        <w:widowControl w:val="0"/>
        <w:spacing w:line="240" w:lineRule="auto"/>
        <w:rPr>
          <w:noProof/>
          <w:color w:val="000000"/>
          <w:szCs w:val="22"/>
          <w:lang w:val="sv-SE"/>
        </w:rPr>
      </w:pPr>
      <w:r w:rsidRPr="000E7AE9">
        <w:rPr>
          <w:noProof/>
          <w:color w:val="000000"/>
          <w:szCs w:val="22"/>
          <w:lang w:val="sv-SE"/>
        </w:rPr>
        <w:t>Biverkningarna och deras frekvenser rapportera</w:t>
      </w:r>
      <w:r w:rsidR="007B143D">
        <w:rPr>
          <w:noProof/>
          <w:color w:val="000000"/>
          <w:szCs w:val="22"/>
          <w:lang w:val="sv-SE"/>
        </w:rPr>
        <w:t>s</w:t>
      </w:r>
      <w:r w:rsidRPr="000E7AE9">
        <w:rPr>
          <w:noProof/>
          <w:color w:val="000000"/>
          <w:szCs w:val="22"/>
          <w:lang w:val="sv-SE"/>
        </w:rPr>
        <w:t xml:space="preserve"> i Tabell</w:t>
      </w:r>
      <w:r w:rsidR="00CD0AA1" w:rsidRPr="000E7AE9">
        <w:rPr>
          <w:noProof/>
          <w:color w:val="000000"/>
          <w:szCs w:val="22"/>
          <w:lang w:val="sv-SE"/>
        </w:rPr>
        <w:t> </w:t>
      </w:r>
      <w:r w:rsidRPr="000E7AE9">
        <w:rPr>
          <w:noProof/>
          <w:color w:val="000000"/>
          <w:szCs w:val="22"/>
          <w:lang w:val="sv-SE"/>
        </w:rPr>
        <w:t>1</w:t>
      </w:r>
      <w:r w:rsidR="007B143D">
        <w:rPr>
          <w:noProof/>
          <w:color w:val="000000"/>
          <w:szCs w:val="22"/>
          <w:lang w:val="sv-SE"/>
        </w:rPr>
        <w:t>.</w:t>
      </w:r>
    </w:p>
    <w:p w14:paraId="3587CDB3" w14:textId="77777777" w:rsidR="001E7D21" w:rsidRPr="000E7AE9" w:rsidRDefault="001E7D21" w:rsidP="00463647">
      <w:pPr>
        <w:pStyle w:val="TextChar"/>
        <w:widowControl w:val="0"/>
        <w:spacing w:before="0"/>
        <w:jc w:val="left"/>
        <w:rPr>
          <w:color w:val="000000"/>
          <w:sz w:val="22"/>
          <w:szCs w:val="22"/>
          <w:lang w:val="sv-SE"/>
        </w:rPr>
      </w:pPr>
    </w:p>
    <w:p w14:paraId="35EB1E00" w14:textId="77777777" w:rsidR="001E7D21" w:rsidRPr="000E7AE9" w:rsidRDefault="001E7D21" w:rsidP="00463647">
      <w:pPr>
        <w:pStyle w:val="TextChar"/>
        <w:keepNext/>
        <w:widowControl w:val="0"/>
        <w:spacing w:before="0"/>
        <w:jc w:val="left"/>
        <w:rPr>
          <w:b/>
          <w:color w:val="000000"/>
          <w:sz w:val="22"/>
          <w:szCs w:val="22"/>
          <w:lang w:val="sv-SE"/>
        </w:rPr>
      </w:pPr>
      <w:r w:rsidRPr="000E7AE9">
        <w:rPr>
          <w:b/>
          <w:color w:val="000000"/>
          <w:sz w:val="22"/>
          <w:szCs w:val="22"/>
          <w:lang w:val="sv-SE"/>
        </w:rPr>
        <w:t>Tabell</w:t>
      </w:r>
      <w:r w:rsidR="00CD0AA1" w:rsidRPr="000E7AE9">
        <w:rPr>
          <w:b/>
          <w:color w:val="000000"/>
          <w:sz w:val="22"/>
          <w:szCs w:val="22"/>
          <w:lang w:val="sv-SE"/>
        </w:rPr>
        <w:t> </w:t>
      </w:r>
      <w:r w:rsidRPr="000E7AE9">
        <w:rPr>
          <w:b/>
          <w:color w:val="000000"/>
          <w:sz w:val="22"/>
          <w:szCs w:val="22"/>
          <w:lang w:val="sv-SE"/>
        </w:rPr>
        <w:t>1</w:t>
      </w:r>
      <w:r w:rsidRPr="000E7AE9">
        <w:rPr>
          <w:b/>
          <w:color w:val="000000"/>
          <w:sz w:val="22"/>
          <w:szCs w:val="22"/>
          <w:lang w:val="sv-SE"/>
        </w:rPr>
        <w:tab/>
      </w:r>
      <w:r w:rsidR="007B143D">
        <w:rPr>
          <w:b/>
          <w:color w:val="000000"/>
          <w:sz w:val="22"/>
          <w:szCs w:val="22"/>
          <w:lang w:val="sv-SE"/>
        </w:rPr>
        <w:t>Sammanfattning av biverkningar i tabellform</w:t>
      </w:r>
    </w:p>
    <w:p w14:paraId="17EAB4E7" w14:textId="77777777" w:rsidR="001E7D21" w:rsidRPr="000E7AE9" w:rsidRDefault="001E7D21" w:rsidP="00463647">
      <w:pPr>
        <w:keepNext/>
        <w:widowControl w:val="0"/>
        <w:spacing w:line="240" w:lineRule="auto"/>
        <w:rPr>
          <w:color w:val="000000"/>
          <w:szCs w:val="22"/>
          <w:lang w:val="sv-S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B719C4" w:rsidRPr="00C67B16" w14:paraId="5D0783A5" w14:textId="77777777" w:rsidTr="00DF06CD">
        <w:trPr>
          <w:cantSplit/>
        </w:trPr>
        <w:tc>
          <w:tcPr>
            <w:tcW w:w="9322" w:type="dxa"/>
            <w:gridSpan w:val="2"/>
          </w:tcPr>
          <w:p w14:paraId="222ABFA9" w14:textId="77777777" w:rsidR="00B719C4" w:rsidRPr="00C67B16" w:rsidRDefault="00B719C4" w:rsidP="00463647">
            <w:pPr>
              <w:keepNext/>
              <w:widowControl w:val="0"/>
              <w:spacing w:line="240" w:lineRule="auto"/>
              <w:rPr>
                <w:color w:val="000000"/>
                <w:szCs w:val="22"/>
                <w:lang w:val="sv-SE"/>
              </w:rPr>
            </w:pPr>
            <w:r w:rsidRPr="00C67B16">
              <w:rPr>
                <w:b/>
                <w:color w:val="000000"/>
                <w:szCs w:val="22"/>
                <w:lang w:val="sv-SE"/>
              </w:rPr>
              <w:t>Infektioner och infestationer</w:t>
            </w:r>
          </w:p>
        </w:tc>
      </w:tr>
      <w:tr w:rsidR="00B719C4" w:rsidRPr="00644A2E" w14:paraId="17614AB6" w14:textId="77777777" w:rsidTr="00DF06CD">
        <w:trPr>
          <w:cantSplit/>
        </w:trPr>
        <w:tc>
          <w:tcPr>
            <w:tcW w:w="2235" w:type="dxa"/>
          </w:tcPr>
          <w:p w14:paraId="04523533" w14:textId="77777777" w:rsidR="00B719C4" w:rsidRPr="00C67B16" w:rsidRDefault="00B719C4"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60CF9A5A" w14:textId="77777777" w:rsidR="00B719C4" w:rsidRPr="00C67B16" w:rsidRDefault="00B719C4" w:rsidP="00463647">
            <w:pPr>
              <w:keepNext/>
              <w:widowControl w:val="0"/>
              <w:spacing w:line="240" w:lineRule="auto"/>
              <w:rPr>
                <w:color w:val="000000"/>
                <w:szCs w:val="22"/>
                <w:lang w:val="sv-SE"/>
              </w:rPr>
            </w:pPr>
            <w:r w:rsidRPr="00C67B16">
              <w:rPr>
                <w:color w:val="000000"/>
                <w:szCs w:val="22"/>
                <w:lang w:val="sv-SE"/>
              </w:rPr>
              <w:t>Herpes zoster, herpes simplex, nasofaryngit, pneumoni</w:t>
            </w:r>
            <w:r w:rsidR="00987FDE" w:rsidRPr="00C67B16">
              <w:rPr>
                <w:color w:val="000000"/>
                <w:szCs w:val="22"/>
                <w:vertAlign w:val="superscript"/>
                <w:lang w:val="sv-SE"/>
              </w:rPr>
              <w:t>1</w:t>
            </w:r>
            <w:r w:rsidRPr="00C67B16">
              <w:rPr>
                <w:color w:val="000000"/>
                <w:szCs w:val="22"/>
                <w:lang w:val="sv-SE"/>
              </w:rPr>
              <w:t>, sinuit, cellulit, övre luftvägsinfektion, influensa, urinvägsinfektion, gastroenterit, sepsis</w:t>
            </w:r>
          </w:p>
        </w:tc>
      </w:tr>
      <w:tr w:rsidR="00B719C4" w:rsidRPr="00C67B16" w14:paraId="604EC428" w14:textId="77777777" w:rsidTr="00DF06CD">
        <w:trPr>
          <w:cantSplit/>
        </w:trPr>
        <w:tc>
          <w:tcPr>
            <w:tcW w:w="2235" w:type="dxa"/>
          </w:tcPr>
          <w:p w14:paraId="0A7BDDB2" w14:textId="77777777" w:rsidR="00B719C4" w:rsidRPr="00C67B16" w:rsidRDefault="00B719C4" w:rsidP="00463647">
            <w:pPr>
              <w:keepNext/>
              <w:widowControl w:val="0"/>
              <w:spacing w:line="240" w:lineRule="auto"/>
              <w:rPr>
                <w:i/>
                <w:color w:val="000000"/>
                <w:szCs w:val="22"/>
                <w:lang w:val="sv-SE"/>
              </w:rPr>
            </w:pPr>
            <w:r w:rsidRPr="00C67B16">
              <w:rPr>
                <w:i/>
                <w:color w:val="000000"/>
                <w:szCs w:val="22"/>
                <w:lang w:val="sv-SE"/>
              </w:rPr>
              <w:t>Sällsynta:</w:t>
            </w:r>
          </w:p>
        </w:tc>
        <w:tc>
          <w:tcPr>
            <w:tcW w:w="7087" w:type="dxa"/>
          </w:tcPr>
          <w:p w14:paraId="4CF4A445" w14:textId="77777777" w:rsidR="00B719C4" w:rsidRPr="00C67B16" w:rsidRDefault="00B719C4" w:rsidP="00463647">
            <w:pPr>
              <w:keepNext/>
              <w:widowControl w:val="0"/>
              <w:spacing w:line="240" w:lineRule="auto"/>
              <w:rPr>
                <w:color w:val="000000"/>
                <w:szCs w:val="22"/>
                <w:lang w:val="sv-SE"/>
              </w:rPr>
            </w:pPr>
            <w:r w:rsidRPr="00C67B16">
              <w:rPr>
                <w:color w:val="000000"/>
                <w:szCs w:val="22"/>
                <w:lang w:val="sv-SE"/>
              </w:rPr>
              <w:t>Svampinfektion</w:t>
            </w:r>
          </w:p>
        </w:tc>
      </w:tr>
      <w:tr w:rsidR="0023611A" w:rsidRPr="00C67B16" w14:paraId="4BC9321A" w14:textId="77777777" w:rsidTr="00DF06CD">
        <w:trPr>
          <w:cantSplit/>
        </w:trPr>
        <w:tc>
          <w:tcPr>
            <w:tcW w:w="2235" w:type="dxa"/>
          </w:tcPr>
          <w:p w14:paraId="48C80B3F" w14:textId="77777777" w:rsidR="0023611A" w:rsidRPr="00C67B16" w:rsidRDefault="0023611A" w:rsidP="00463647">
            <w:pPr>
              <w:keepNext/>
              <w:widowControl w:val="0"/>
              <w:spacing w:line="240" w:lineRule="auto"/>
              <w:rPr>
                <w:i/>
                <w:color w:val="000000"/>
                <w:szCs w:val="22"/>
                <w:lang w:val="sv-SE"/>
              </w:rPr>
            </w:pPr>
            <w:r>
              <w:rPr>
                <w:i/>
                <w:color w:val="000000"/>
                <w:szCs w:val="22"/>
                <w:lang w:val="sv-SE"/>
              </w:rPr>
              <w:t>Ingen känd frekvens</w:t>
            </w:r>
            <w:r w:rsidR="005F1948">
              <w:rPr>
                <w:i/>
                <w:color w:val="000000"/>
                <w:szCs w:val="22"/>
                <w:lang w:val="sv-SE"/>
              </w:rPr>
              <w:t>:</w:t>
            </w:r>
          </w:p>
        </w:tc>
        <w:tc>
          <w:tcPr>
            <w:tcW w:w="7087" w:type="dxa"/>
          </w:tcPr>
          <w:p w14:paraId="3D644C20" w14:textId="77777777" w:rsidR="0023611A" w:rsidRPr="00C67B16" w:rsidRDefault="0023611A" w:rsidP="00463647">
            <w:pPr>
              <w:keepNext/>
              <w:widowControl w:val="0"/>
              <w:spacing w:line="240" w:lineRule="auto"/>
              <w:rPr>
                <w:color w:val="000000"/>
                <w:szCs w:val="22"/>
                <w:lang w:val="sv-SE"/>
              </w:rPr>
            </w:pPr>
            <w:r>
              <w:rPr>
                <w:color w:val="000000"/>
                <w:szCs w:val="22"/>
                <w:lang w:val="sv-SE"/>
              </w:rPr>
              <w:t>Hepatit B-reaktivering</w:t>
            </w:r>
            <w:r w:rsidR="00A5222D">
              <w:rPr>
                <w:color w:val="000000"/>
                <w:szCs w:val="22"/>
                <w:lang w:val="sv-SE"/>
              </w:rPr>
              <w:t>*</w:t>
            </w:r>
          </w:p>
        </w:tc>
      </w:tr>
      <w:tr w:rsidR="009B5516" w:rsidRPr="00F60A89" w14:paraId="489402B9" w14:textId="77777777" w:rsidTr="00DF06CD">
        <w:trPr>
          <w:cantSplit/>
        </w:trPr>
        <w:tc>
          <w:tcPr>
            <w:tcW w:w="9322" w:type="dxa"/>
            <w:gridSpan w:val="2"/>
          </w:tcPr>
          <w:p w14:paraId="0093FE6B" w14:textId="77777777" w:rsidR="009B5516" w:rsidRPr="00C67B16" w:rsidRDefault="009B5516" w:rsidP="00463647">
            <w:pPr>
              <w:keepNext/>
              <w:widowControl w:val="0"/>
              <w:spacing w:line="240" w:lineRule="auto"/>
              <w:rPr>
                <w:b/>
                <w:color w:val="000000"/>
                <w:szCs w:val="22"/>
                <w:lang w:val="sv-SE"/>
              </w:rPr>
            </w:pPr>
            <w:r>
              <w:rPr>
                <w:b/>
                <w:color w:val="000000"/>
                <w:szCs w:val="22"/>
                <w:lang w:val="sv-SE"/>
              </w:rPr>
              <w:t>Neoplasier; benigna, maligna och ospecificerade (samt cystor och polyper</w:t>
            </w:r>
            <w:r w:rsidR="00386EA8" w:rsidRPr="0038538F">
              <w:rPr>
                <w:b/>
                <w:color w:val="000000"/>
                <w:szCs w:val="22"/>
                <w:lang w:val="sv-SE"/>
              </w:rPr>
              <w:t>)</w:t>
            </w:r>
          </w:p>
        </w:tc>
      </w:tr>
      <w:tr w:rsidR="00586EC3" w:rsidRPr="00C67B16" w14:paraId="10772CA5" w14:textId="77777777" w:rsidTr="00DF06CD">
        <w:trPr>
          <w:cantSplit/>
        </w:trPr>
        <w:tc>
          <w:tcPr>
            <w:tcW w:w="2235" w:type="dxa"/>
          </w:tcPr>
          <w:p w14:paraId="7139415B"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3C8D36AC" w14:textId="77777777" w:rsidR="00586EC3" w:rsidRPr="00C67B16" w:rsidRDefault="00586EC3" w:rsidP="00463647">
            <w:pPr>
              <w:keepNext/>
              <w:widowControl w:val="0"/>
              <w:spacing w:line="240" w:lineRule="auto"/>
              <w:rPr>
                <w:color w:val="000000"/>
                <w:lang w:val="sv-SE"/>
              </w:rPr>
            </w:pPr>
            <w:r>
              <w:rPr>
                <w:color w:val="000000"/>
                <w:szCs w:val="22"/>
                <w:lang w:val="sv-SE"/>
              </w:rPr>
              <w:t>Tumörlyssyndrom</w:t>
            </w:r>
          </w:p>
        </w:tc>
      </w:tr>
      <w:tr w:rsidR="007F2DDD" w:rsidRPr="00C67B16" w14:paraId="09415B5F" w14:textId="77777777" w:rsidTr="00DF06CD">
        <w:trPr>
          <w:cantSplit/>
        </w:trPr>
        <w:tc>
          <w:tcPr>
            <w:tcW w:w="2235" w:type="dxa"/>
          </w:tcPr>
          <w:p w14:paraId="46F86658" w14:textId="77777777" w:rsidR="007F2DDD" w:rsidRPr="00C67B16" w:rsidRDefault="007F2DDD"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427B24D8" w14:textId="77777777" w:rsidR="007F2DDD" w:rsidRDefault="007F2DDD" w:rsidP="00463647">
            <w:pPr>
              <w:widowControl w:val="0"/>
              <w:spacing w:line="240" w:lineRule="auto"/>
              <w:rPr>
                <w:color w:val="000000"/>
                <w:szCs w:val="22"/>
                <w:lang w:val="sv-SE"/>
              </w:rPr>
            </w:pPr>
            <w:r>
              <w:rPr>
                <w:color w:val="000000"/>
                <w:szCs w:val="22"/>
                <w:lang w:val="sv-SE"/>
              </w:rPr>
              <w:t>Tumörblödning/tumörnekros*</w:t>
            </w:r>
          </w:p>
        </w:tc>
      </w:tr>
      <w:tr w:rsidR="00586EC3" w:rsidRPr="00C67B16" w14:paraId="5EA9EDEC" w14:textId="77777777" w:rsidTr="00DF06CD">
        <w:trPr>
          <w:cantSplit/>
        </w:trPr>
        <w:tc>
          <w:tcPr>
            <w:tcW w:w="9322" w:type="dxa"/>
            <w:gridSpan w:val="2"/>
          </w:tcPr>
          <w:p w14:paraId="2B5B0A61" w14:textId="77777777" w:rsidR="00586EC3" w:rsidRPr="002617F3" w:rsidRDefault="00586EC3" w:rsidP="00463647">
            <w:pPr>
              <w:keepNext/>
              <w:widowControl w:val="0"/>
              <w:spacing w:line="240" w:lineRule="auto"/>
              <w:rPr>
                <w:b/>
                <w:color w:val="000000"/>
                <w:szCs w:val="22"/>
                <w:lang w:val="sv-SE"/>
              </w:rPr>
            </w:pPr>
            <w:r w:rsidRPr="002617F3">
              <w:rPr>
                <w:b/>
                <w:color w:val="000000"/>
                <w:szCs w:val="22"/>
                <w:lang w:val="sv-SE"/>
              </w:rPr>
              <w:t>Immunsystemet</w:t>
            </w:r>
          </w:p>
        </w:tc>
      </w:tr>
      <w:tr w:rsidR="00586EC3" w:rsidRPr="00C67B16" w14:paraId="27D62656" w14:textId="77777777" w:rsidTr="00DF06CD">
        <w:trPr>
          <w:cantSplit/>
        </w:trPr>
        <w:tc>
          <w:tcPr>
            <w:tcW w:w="2235" w:type="dxa"/>
          </w:tcPr>
          <w:p w14:paraId="381969E6" w14:textId="77777777" w:rsidR="00586EC3" w:rsidRPr="00586EC3" w:rsidRDefault="00586EC3"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42007D5D" w14:textId="77777777" w:rsidR="00586EC3" w:rsidRDefault="00586EC3" w:rsidP="00463647">
            <w:pPr>
              <w:widowControl w:val="0"/>
              <w:spacing w:line="240" w:lineRule="auto"/>
              <w:rPr>
                <w:color w:val="000000"/>
                <w:szCs w:val="22"/>
                <w:lang w:val="sv-SE"/>
              </w:rPr>
            </w:pPr>
            <w:r>
              <w:rPr>
                <w:color w:val="000000"/>
                <w:szCs w:val="22"/>
                <w:lang w:val="sv-SE"/>
              </w:rPr>
              <w:t>Anafylaktisk chock*</w:t>
            </w:r>
          </w:p>
        </w:tc>
      </w:tr>
      <w:tr w:rsidR="00586EC3" w:rsidRPr="00C67B16" w14:paraId="00A6966F" w14:textId="77777777" w:rsidTr="00DF06CD">
        <w:trPr>
          <w:cantSplit/>
        </w:trPr>
        <w:tc>
          <w:tcPr>
            <w:tcW w:w="9322" w:type="dxa"/>
            <w:gridSpan w:val="2"/>
          </w:tcPr>
          <w:p w14:paraId="5D898B01" w14:textId="77777777" w:rsidR="00586EC3" w:rsidRPr="00C67B16" w:rsidRDefault="00586EC3" w:rsidP="00463647">
            <w:pPr>
              <w:keepNext/>
              <w:widowControl w:val="0"/>
              <w:spacing w:line="240" w:lineRule="auto"/>
              <w:rPr>
                <w:color w:val="000000"/>
                <w:lang w:val="sv-SE"/>
              </w:rPr>
            </w:pPr>
            <w:r w:rsidRPr="00C67B16">
              <w:rPr>
                <w:b/>
                <w:color w:val="000000"/>
                <w:szCs w:val="22"/>
                <w:lang w:val="sv-SE"/>
              </w:rPr>
              <w:t>Blodet och lymfsystemet</w:t>
            </w:r>
          </w:p>
        </w:tc>
      </w:tr>
      <w:tr w:rsidR="00586EC3" w:rsidRPr="00C67B16" w14:paraId="331381FA" w14:textId="77777777" w:rsidTr="00DF06CD">
        <w:trPr>
          <w:cantSplit/>
        </w:trPr>
        <w:tc>
          <w:tcPr>
            <w:tcW w:w="2235" w:type="dxa"/>
          </w:tcPr>
          <w:p w14:paraId="11E5D779"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Mycket vanliga:</w:t>
            </w:r>
          </w:p>
        </w:tc>
        <w:tc>
          <w:tcPr>
            <w:tcW w:w="7087" w:type="dxa"/>
          </w:tcPr>
          <w:p w14:paraId="39880ACF"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Neutropeni, trombocytopeni, anemi</w:t>
            </w:r>
          </w:p>
        </w:tc>
      </w:tr>
      <w:tr w:rsidR="00586EC3" w:rsidRPr="00C67B16" w14:paraId="17B34663" w14:textId="77777777" w:rsidTr="00DF06CD">
        <w:trPr>
          <w:cantSplit/>
        </w:trPr>
        <w:tc>
          <w:tcPr>
            <w:tcW w:w="2235" w:type="dxa"/>
          </w:tcPr>
          <w:p w14:paraId="0E6E1CA7"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314DFB6D"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Pancytopeni, febril neutropeni</w:t>
            </w:r>
          </w:p>
        </w:tc>
      </w:tr>
      <w:tr w:rsidR="00586EC3" w:rsidRPr="00644A2E" w14:paraId="621502B3" w14:textId="77777777" w:rsidTr="00DF06CD">
        <w:trPr>
          <w:cantSplit/>
        </w:trPr>
        <w:tc>
          <w:tcPr>
            <w:tcW w:w="2235" w:type="dxa"/>
          </w:tcPr>
          <w:p w14:paraId="53A009DF"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3DA79BE9"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Trombocytemi, lymfopeni, benmärgsdepression, eosinofili, lymfadenopati</w:t>
            </w:r>
          </w:p>
        </w:tc>
      </w:tr>
      <w:tr w:rsidR="00586EC3" w:rsidRPr="00C67B16" w14:paraId="343D4F9A" w14:textId="77777777" w:rsidTr="00DF06CD">
        <w:trPr>
          <w:cantSplit/>
        </w:trPr>
        <w:tc>
          <w:tcPr>
            <w:tcW w:w="2235" w:type="dxa"/>
          </w:tcPr>
          <w:p w14:paraId="5B156AB0" w14:textId="77777777" w:rsidR="00586EC3" w:rsidRPr="00C67B16" w:rsidRDefault="00586EC3" w:rsidP="00463647">
            <w:pPr>
              <w:widowControl w:val="0"/>
              <w:spacing w:line="240" w:lineRule="auto"/>
              <w:rPr>
                <w:i/>
                <w:color w:val="000000"/>
                <w:lang w:val="sv-SE"/>
              </w:rPr>
            </w:pPr>
            <w:r w:rsidRPr="00C67B16">
              <w:rPr>
                <w:i/>
                <w:color w:val="000000"/>
                <w:szCs w:val="22"/>
                <w:lang w:val="sv-SE"/>
              </w:rPr>
              <w:t>Sällsynta</w:t>
            </w:r>
            <w:r w:rsidRPr="00C67B16">
              <w:rPr>
                <w:i/>
                <w:color w:val="000000"/>
                <w:lang w:val="sv-SE"/>
              </w:rPr>
              <w:t>:</w:t>
            </w:r>
          </w:p>
        </w:tc>
        <w:tc>
          <w:tcPr>
            <w:tcW w:w="7087" w:type="dxa"/>
          </w:tcPr>
          <w:p w14:paraId="5FAABDB9" w14:textId="77777777" w:rsidR="00586EC3" w:rsidRPr="00C67B16" w:rsidRDefault="00586EC3" w:rsidP="00463647">
            <w:pPr>
              <w:widowControl w:val="0"/>
              <w:spacing w:line="240" w:lineRule="auto"/>
              <w:rPr>
                <w:color w:val="000000"/>
                <w:lang w:val="sv-SE"/>
              </w:rPr>
            </w:pPr>
            <w:r w:rsidRPr="00C67B16">
              <w:rPr>
                <w:color w:val="000000"/>
                <w:lang w:val="sv-SE"/>
              </w:rPr>
              <w:t>Hemolytisk anemi</w:t>
            </w:r>
            <w:r w:rsidR="00252B63">
              <w:rPr>
                <w:color w:val="000000"/>
                <w:lang w:val="sv-SE"/>
              </w:rPr>
              <w:t>, trombotisk mikroangiopati</w:t>
            </w:r>
          </w:p>
        </w:tc>
      </w:tr>
      <w:tr w:rsidR="00586EC3" w:rsidRPr="00C67B16" w14:paraId="05FB83C3" w14:textId="77777777" w:rsidTr="00DF06CD">
        <w:trPr>
          <w:cantSplit/>
        </w:trPr>
        <w:tc>
          <w:tcPr>
            <w:tcW w:w="9322" w:type="dxa"/>
            <w:gridSpan w:val="2"/>
          </w:tcPr>
          <w:p w14:paraId="2F23A847" w14:textId="77777777" w:rsidR="00586EC3" w:rsidRPr="00C67B16" w:rsidRDefault="00586EC3" w:rsidP="00463647">
            <w:pPr>
              <w:keepNext/>
              <w:widowControl w:val="0"/>
              <w:spacing w:line="240" w:lineRule="auto"/>
              <w:rPr>
                <w:color w:val="000000"/>
                <w:szCs w:val="22"/>
                <w:lang w:val="sv-SE"/>
              </w:rPr>
            </w:pPr>
            <w:r w:rsidRPr="00C67B16">
              <w:rPr>
                <w:b/>
                <w:color w:val="000000"/>
                <w:szCs w:val="22"/>
                <w:lang w:val="sv-SE"/>
              </w:rPr>
              <w:t>Metabolism och nutrition</w:t>
            </w:r>
          </w:p>
        </w:tc>
      </w:tr>
      <w:tr w:rsidR="00586EC3" w:rsidRPr="00C67B16" w14:paraId="5E8F92B2" w14:textId="77777777" w:rsidTr="00DF06CD">
        <w:trPr>
          <w:cantSplit/>
        </w:trPr>
        <w:tc>
          <w:tcPr>
            <w:tcW w:w="2235" w:type="dxa"/>
          </w:tcPr>
          <w:p w14:paraId="1CFA8CC2"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52F6BBCD"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Anorexi</w:t>
            </w:r>
          </w:p>
        </w:tc>
      </w:tr>
      <w:tr w:rsidR="00586EC3" w:rsidRPr="00644A2E" w14:paraId="1E19F135" w14:textId="77777777" w:rsidTr="00DF06CD">
        <w:trPr>
          <w:cantSplit/>
        </w:trPr>
        <w:tc>
          <w:tcPr>
            <w:tcW w:w="2235" w:type="dxa"/>
          </w:tcPr>
          <w:p w14:paraId="44FB8DBB"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01791B53"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Hypokalemi, ökad aptit, hypofosfatemi, minskad aptit, dehydrering, gikt, hyperurikemi, hyperkalcemi, hyperglykemi, hyponatremi</w:t>
            </w:r>
          </w:p>
        </w:tc>
      </w:tr>
      <w:tr w:rsidR="00586EC3" w:rsidRPr="00C67B16" w14:paraId="7BFF0900" w14:textId="77777777" w:rsidTr="00DF06CD">
        <w:trPr>
          <w:cantSplit/>
        </w:trPr>
        <w:tc>
          <w:tcPr>
            <w:tcW w:w="2235" w:type="dxa"/>
          </w:tcPr>
          <w:p w14:paraId="64473E9E" w14:textId="77777777" w:rsidR="00586EC3" w:rsidRPr="00C67B16" w:rsidRDefault="00586EC3" w:rsidP="00463647">
            <w:pPr>
              <w:widowControl w:val="0"/>
              <w:spacing w:line="240" w:lineRule="auto"/>
              <w:rPr>
                <w:i/>
                <w:color w:val="000000"/>
                <w:szCs w:val="22"/>
                <w:lang w:val="sv-SE"/>
              </w:rPr>
            </w:pPr>
            <w:r w:rsidRPr="00C67B16">
              <w:rPr>
                <w:i/>
                <w:color w:val="000000"/>
                <w:szCs w:val="22"/>
                <w:lang w:val="sv-SE"/>
              </w:rPr>
              <w:t>Sällsynta:</w:t>
            </w:r>
          </w:p>
        </w:tc>
        <w:tc>
          <w:tcPr>
            <w:tcW w:w="7087" w:type="dxa"/>
          </w:tcPr>
          <w:p w14:paraId="1C3A19DE" w14:textId="77777777" w:rsidR="00586EC3" w:rsidRPr="00C67B16" w:rsidRDefault="00586EC3" w:rsidP="00463647">
            <w:pPr>
              <w:widowControl w:val="0"/>
              <w:spacing w:line="240" w:lineRule="auto"/>
              <w:rPr>
                <w:color w:val="000000"/>
                <w:szCs w:val="22"/>
                <w:lang w:val="sv-SE"/>
              </w:rPr>
            </w:pPr>
            <w:r w:rsidRPr="00C67B16">
              <w:rPr>
                <w:color w:val="000000"/>
                <w:szCs w:val="22"/>
                <w:lang w:val="sv-SE"/>
              </w:rPr>
              <w:t>Hyperkalemi, hypomagnesemi</w:t>
            </w:r>
          </w:p>
        </w:tc>
      </w:tr>
      <w:tr w:rsidR="00586EC3" w:rsidRPr="00C67B16" w14:paraId="3785BB17" w14:textId="77777777" w:rsidTr="00DF06CD">
        <w:trPr>
          <w:cantSplit/>
        </w:trPr>
        <w:tc>
          <w:tcPr>
            <w:tcW w:w="9322" w:type="dxa"/>
            <w:gridSpan w:val="2"/>
          </w:tcPr>
          <w:p w14:paraId="02093D6A" w14:textId="77777777" w:rsidR="00586EC3" w:rsidRPr="00C67B16" w:rsidRDefault="00586EC3" w:rsidP="00463647">
            <w:pPr>
              <w:keepNext/>
              <w:widowControl w:val="0"/>
              <w:spacing w:line="240" w:lineRule="auto"/>
              <w:rPr>
                <w:color w:val="000000"/>
                <w:szCs w:val="22"/>
                <w:lang w:val="sv-SE"/>
              </w:rPr>
            </w:pPr>
            <w:r w:rsidRPr="00C67B16">
              <w:rPr>
                <w:b/>
                <w:color w:val="000000"/>
                <w:szCs w:val="22"/>
                <w:lang w:val="sv-SE"/>
              </w:rPr>
              <w:t>Psykiska störningar</w:t>
            </w:r>
          </w:p>
        </w:tc>
      </w:tr>
      <w:tr w:rsidR="00586EC3" w:rsidRPr="00C67B16" w14:paraId="7AA50446" w14:textId="77777777" w:rsidTr="00DF06CD">
        <w:trPr>
          <w:cantSplit/>
        </w:trPr>
        <w:tc>
          <w:tcPr>
            <w:tcW w:w="2235" w:type="dxa"/>
          </w:tcPr>
          <w:p w14:paraId="206721F3"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2F8E216C"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Insomnia</w:t>
            </w:r>
          </w:p>
        </w:tc>
      </w:tr>
      <w:tr w:rsidR="00586EC3" w:rsidRPr="00C67B16" w14:paraId="3EAC6CD9" w14:textId="77777777" w:rsidTr="00DF06CD">
        <w:trPr>
          <w:cantSplit/>
        </w:trPr>
        <w:tc>
          <w:tcPr>
            <w:tcW w:w="2235" w:type="dxa"/>
          </w:tcPr>
          <w:p w14:paraId="27A1DBAE"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07756B92"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Depression, minskad libido, ångest</w:t>
            </w:r>
          </w:p>
        </w:tc>
      </w:tr>
      <w:tr w:rsidR="00586EC3" w:rsidRPr="00C67B16" w14:paraId="0A0EBB23" w14:textId="77777777" w:rsidTr="00DF06CD">
        <w:trPr>
          <w:cantSplit/>
        </w:trPr>
        <w:tc>
          <w:tcPr>
            <w:tcW w:w="2235" w:type="dxa"/>
          </w:tcPr>
          <w:p w14:paraId="77D88C22" w14:textId="77777777" w:rsidR="00586EC3" w:rsidRPr="00C67B16" w:rsidRDefault="00586EC3" w:rsidP="00463647">
            <w:pPr>
              <w:widowControl w:val="0"/>
              <w:spacing w:line="240" w:lineRule="auto"/>
              <w:rPr>
                <w:i/>
                <w:color w:val="000000"/>
                <w:szCs w:val="22"/>
                <w:lang w:val="sv-SE"/>
              </w:rPr>
            </w:pPr>
            <w:r w:rsidRPr="00C67B16">
              <w:rPr>
                <w:i/>
                <w:color w:val="000000"/>
                <w:szCs w:val="22"/>
                <w:lang w:val="sv-SE"/>
              </w:rPr>
              <w:t>Sällsynta:</w:t>
            </w:r>
          </w:p>
        </w:tc>
        <w:tc>
          <w:tcPr>
            <w:tcW w:w="7087" w:type="dxa"/>
          </w:tcPr>
          <w:p w14:paraId="4984E33F" w14:textId="77777777" w:rsidR="00586EC3" w:rsidRPr="00C67B16" w:rsidRDefault="00586EC3" w:rsidP="00463647">
            <w:pPr>
              <w:widowControl w:val="0"/>
              <w:spacing w:line="240" w:lineRule="auto"/>
              <w:rPr>
                <w:color w:val="000000"/>
                <w:szCs w:val="22"/>
                <w:lang w:val="sv-SE"/>
              </w:rPr>
            </w:pPr>
            <w:r w:rsidRPr="00C67B16">
              <w:rPr>
                <w:color w:val="000000"/>
                <w:szCs w:val="22"/>
                <w:lang w:val="sv-SE"/>
              </w:rPr>
              <w:t>Förvirring</w:t>
            </w:r>
          </w:p>
        </w:tc>
      </w:tr>
      <w:tr w:rsidR="00586EC3" w:rsidRPr="00C67B16" w14:paraId="64029388" w14:textId="77777777" w:rsidTr="00DF06CD">
        <w:trPr>
          <w:cantSplit/>
        </w:trPr>
        <w:tc>
          <w:tcPr>
            <w:tcW w:w="9322" w:type="dxa"/>
            <w:gridSpan w:val="2"/>
          </w:tcPr>
          <w:p w14:paraId="722DD99F" w14:textId="77777777" w:rsidR="00586EC3" w:rsidRPr="00C67B16" w:rsidRDefault="00586EC3" w:rsidP="00463647">
            <w:pPr>
              <w:keepNext/>
              <w:widowControl w:val="0"/>
              <w:spacing w:line="240" w:lineRule="auto"/>
              <w:rPr>
                <w:color w:val="000000"/>
                <w:lang w:val="sv-SE"/>
              </w:rPr>
            </w:pPr>
            <w:r w:rsidRPr="00C67B16">
              <w:rPr>
                <w:b/>
                <w:color w:val="000000"/>
                <w:szCs w:val="22"/>
                <w:lang w:val="sv-SE"/>
              </w:rPr>
              <w:t>Centrala och perifera nervsystemet</w:t>
            </w:r>
          </w:p>
        </w:tc>
      </w:tr>
      <w:tr w:rsidR="00586EC3" w:rsidRPr="00C67B16" w14:paraId="74D55052" w14:textId="77777777" w:rsidTr="00DF06CD">
        <w:trPr>
          <w:cantSplit/>
        </w:trPr>
        <w:tc>
          <w:tcPr>
            <w:tcW w:w="2235" w:type="dxa"/>
          </w:tcPr>
          <w:p w14:paraId="51E2C277"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Mycket vanliga:</w:t>
            </w:r>
          </w:p>
        </w:tc>
        <w:tc>
          <w:tcPr>
            <w:tcW w:w="7087" w:type="dxa"/>
          </w:tcPr>
          <w:p w14:paraId="034B24F4"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Huvudvärk</w:t>
            </w:r>
            <w:r w:rsidRPr="00C67B16">
              <w:rPr>
                <w:color w:val="000000"/>
                <w:szCs w:val="22"/>
                <w:vertAlign w:val="superscript"/>
                <w:lang w:val="sv-SE"/>
              </w:rPr>
              <w:t>2</w:t>
            </w:r>
          </w:p>
        </w:tc>
      </w:tr>
      <w:tr w:rsidR="00586EC3" w:rsidRPr="00C67B16" w14:paraId="005E2745" w14:textId="77777777" w:rsidTr="00DF06CD">
        <w:trPr>
          <w:cantSplit/>
        </w:trPr>
        <w:tc>
          <w:tcPr>
            <w:tcW w:w="2235" w:type="dxa"/>
          </w:tcPr>
          <w:p w14:paraId="36775606"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1B2BF4E1"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Yrsel, parestesier, smakstörning, hypestesi</w:t>
            </w:r>
          </w:p>
        </w:tc>
      </w:tr>
      <w:tr w:rsidR="00586EC3" w:rsidRPr="00644A2E" w14:paraId="14EC1F27" w14:textId="77777777" w:rsidTr="00DF06CD">
        <w:trPr>
          <w:cantSplit/>
        </w:trPr>
        <w:tc>
          <w:tcPr>
            <w:tcW w:w="2235" w:type="dxa"/>
          </w:tcPr>
          <w:p w14:paraId="37153924"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443DE0F6"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Migrän, somnolens, synkope, perifer neuropati, nedsatt minnesförmåga, ischiassmärta, restless legs syndrom, tremor, hjärnblödning</w:t>
            </w:r>
          </w:p>
        </w:tc>
      </w:tr>
      <w:tr w:rsidR="00586EC3" w:rsidRPr="00644A2E" w14:paraId="2B334D21" w14:textId="77777777" w:rsidTr="00DF06CD">
        <w:trPr>
          <w:cantSplit/>
        </w:trPr>
        <w:tc>
          <w:tcPr>
            <w:tcW w:w="2235" w:type="dxa"/>
          </w:tcPr>
          <w:p w14:paraId="4173D038"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1307BEE7"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Ökat intrakraniellt tryck, kramper, opticusneurit</w:t>
            </w:r>
          </w:p>
        </w:tc>
      </w:tr>
      <w:tr w:rsidR="00586EC3" w:rsidRPr="00C67B16" w14:paraId="4ADCECCB" w14:textId="77777777" w:rsidTr="00DF06CD">
        <w:trPr>
          <w:cantSplit/>
        </w:trPr>
        <w:tc>
          <w:tcPr>
            <w:tcW w:w="2235" w:type="dxa"/>
          </w:tcPr>
          <w:p w14:paraId="6A22C114" w14:textId="77777777" w:rsidR="00586EC3" w:rsidRPr="00C67B16" w:rsidRDefault="00586EC3"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52561127" w14:textId="77777777" w:rsidR="00586EC3" w:rsidRPr="00C67B16" w:rsidRDefault="00890F2B" w:rsidP="00463647">
            <w:pPr>
              <w:widowControl w:val="0"/>
              <w:spacing w:line="240" w:lineRule="auto"/>
              <w:rPr>
                <w:color w:val="000000"/>
                <w:szCs w:val="22"/>
                <w:lang w:val="sv-SE"/>
              </w:rPr>
            </w:pPr>
            <w:r>
              <w:rPr>
                <w:color w:val="000000"/>
                <w:szCs w:val="22"/>
                <w:lang w:val="sv-SE"/>
              </w:rPr>
              <w:t>Cerebralt ödem*</w:t>
            </w:r>
          </w:p>
        </w:tc>
      </w:tr>
      <w:tr w:rsidR="00586EC3" w:rsidRPr="00C67B16" w14:paraId="5CFE3B53" w14:textId="77777777" w:rsidTr="00DF06CD">
        <w:trPr>
          <w:cantSplit/>
        </w:trPr>
        <w:tc>
          <w:tcPr>
            <w:tcW w:w="9322" w:type="dxa"/>
            <w:gridSpan w:val="2"/>
          </w:tcPr>
          <w:p w14:paraId="1875099B" w14:textId="77777777" w:rsidR="00586EC3" w:rsidRPr="00C67B16" w:rsidRDefault="00586EC3" w:rsidP="00463647">
            <w:pPr>
              <w:keepNext/>
              <w:widowControl w:val="0"/>
              <w:spacing w:line="240" w:lineRule="auto"/>
              <w:rPr>
                <w:color w:val="000000"/>
                <w:lang w:val="sv-SE"/>
              </w:rPr>
            </w:pPr>
            <w:r w:rsidRPr="00C67B16">
              <w:rPr>
                <w:b/>
                <w:color w:val="000000"/>
                <w:szCs w:val="22"/>
                <w:lang w:val="sv-SE"/>
              </w:rPr>
              <w:t>Ögon</w:t>
            </w:r>
          </w:p>
        </w:tc>
      </w:tr>
      <w:tr w:rsidR="00586EC3" w:rsidRPr="00644A2E" w14:paraId="7E77F8A3" w14:textId="77777777" w:rsidTr="00DF06CD">
        <w:trPr>
          <w:cantSplit/>
        </w:trPr>
        <w:tc>
          <w:tcPr>
            <w:tcW w:w="2235" w:type="dxa"/>
          </w:tcPr>
          <w:p w14:paraId="2036CBF3"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713AF939"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Ögonlocksödem, ökat tårflöde, bindhinneblödning, konjunktivit, torra ögon, dimsyn</w:t>
            </w:r>
          </w:p>
        </w:tc>
      </w:tr>
      <w:tr w:rsidR="00586EC3" w:rsidRPr="00644A2E" w14:paraId="04239323" w14:textId="77777777" w:rsidTr="00DF06CD">
        <w:trPr>
          <w:cantSplit/>
        </w:trPr>
        <w:tc>
          <w:tcPr>
            <w:tcW w:w="2235" w:type="dxa"/>
          </w:tcPr>
          <w:p w14:paraId="5B8A8C02"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6D2A203C"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Ögonirritation, ögonsmärta, orbitalt ödem, skleral blödning, näthinneblödning, blefarit, maculaödem</w:t>
            </w:r>
          </w:p>
        </w:tc>
      </w:tr>
      <w:tr w:rsidR="00586EC3" w:rsidRPr="00C67B16" w14:paraId="76A2B7FA" w14:textId="77777777" w:rsidTr="00DF06CD">
        <w:trPr>
          <w:cantSplit/>
        </w:trPr>
        <w:tc>
          <w:tcPr>
            <w:tcW w:w="2235" w:type="dxa"/>
          </w:tcPr>
          <w:p w14:paraId="63D06A92"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4D956078"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Katarakt, glaukom, papillödem</w:t>
            </w:r>
          </w:p>
        </w:tc>
      </w:tr>
      <w:tr w:rsidR="00890F2B" w:rsidRPr="00C67B16" w14:paraId="73B925A9" w14:textId="77777777" w:rsidTr="00DF06CD">
        <w:trPr>
          <w:cantSplit/>
        </w:trPr>
        <w:tc>
          <w:tcPr>
            <w:tcW w:w="2235" w:type="dxa"/>
          </w:tcPr>
          <w:p w14:paraId="5B78F099" w14:textId="77777777" w:rsidR="00890F2B" w:rsidRPr="00C67B16" w:rsidRDefault="00890F2B"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49B3044F" w14:textId="77777777" w:rsidR="00890F2B" w:rsidRPr="00C67B16" w:rsidRDefault="00C96D2C" w:rsidP="00463647">
            <w:pPr>
              <w:widowControl w:val="0"/>
              <w:spacing w:line="240" w:lineRule="auto"/>
              <w:rPr>
                <w:color w:val="000000"/>
                <w:szCs w:val="22"/>
                <w:lang w:val="sv-SE"/>
              </w:rPr>
            </w:pPr>
            <w:r>
              <w:rPr>
                <w:color w:val="000000"/>
                <w:szCs w:val="22"/>
                <w:lang w:val="sv-SE"/>
              </w:rPr>
              <w:t>Blödning i glaskroppen</w:t>
            </w:r>
            <w:r w:rsidR="00890F2B">
              <w:rPr>
                <w:color w:val="000000"/>
                <w:szCs w:val="22"/>
                <w:lang w:val="sv-SE"/>
              </w:rPr>
              <w:t>*</w:t>
            </w:r>
          </w:p>
        </w:tc>
      </w:tr>
      <w:tr w:rsidR="00586EC3" w:rsidRPr="00C67B16" w14:paraId="4D4253A9" w14:textId="77777777" w:rsidTr="00DF06CD">
        <w:trPr>
          <w:cantSplit/>
        </w:trPr>
        <w:tc>
          <w:tcPr>
            <w:tcW w:w="9322" w:type="dxa"/>
            <w:gridSpan w:val="2"/>
          </w:tcPr>
          <w:p w14:paraId="20E6B1DE" w14:textId="77777777" w:rsidR="00586EC3" w:rsidRPr="00C67B16" w:rsidRDefault="00586EC3" w:rsidP="00463647">
            <w:pPr>
              <w:keepNext/>
              <w:widowControl w:val="0"/>
              <w:spacing w:line="240" w:lineRule="auto"/>
              <w:rPr>
                <w:color w:val="000000"/>
                <w:lang w:val="sv-SE"/>
              </w:rPr>
            </w:pPr>
            <w:r w:rsidRPr="00C67B16">
              <w:rPr>
                <w:b/>
                <w:color w:val="000000"/>
                <w:szCs w:val="22"/>
                <w:lang w:val="sv-SE"/>
              </w:rPr>
              <w:t>Öron och balansorgan</w:t>
            </w:r>
          </w:p>
        </w:tc>
      </w:tr>
      <w:tr w:rsidR="00586EC3" w:rsidRPr="00C67B16" w14:paraId="17AE5C91" w14:textId="77777777" w:rsidTr="00DF06CD">
        <w:trPr>
          <w:cantSplit/>
        </w:trPr>
        <w:tc>
          <w:tcPr>
            <w:tcW w:w="2235" w:type="dxa"/>
          </w:tcPr>
          <w:p w14:paraId="04905536" w14:textId="77777777" w:rsidR="00586EC3" w:rsidRPr="00C67B16" w:rsidRDefault="00586EC3" w:rsidP="00463647">
            <w:pPr>
              <w:widowControl w:val="0"/>
              <w:spacing w:line="240" w:lineRule="auto"/>
              <w:rPr>
                <w:color w:val="000000"/>
                <w:lang w:val="sv-SE"/>
              </w:rPr>
            </w:pPr>
            <w:r w:rsidRPr="00C67B16">
              <w:rPr>
                <w:i/>
                <w:color w:val="000000"/>
                <w:szCs w:val="22"/>
                <w:lang w:val="sv-SE"/>
              </w:rPr>
              <w:t>Mindre vanliga:</w:t>
            </w:r>
          </w:p>
        </w:tc>
        <w:tc>
          <w:tcPr>
            <w:tcW w:w="7087" w:type="dxa"/>
          </w:tcPr>
          <w:p w14:paraId="3021B1CA" w14:textId="77777777" w:rsidR="00586EC3" w:rsidRPr="00C67B16" w:rsidRDefault="00586EC3" w:rsidP="00463647">
            <w:pPr>
              <w:widowControl w:val="0"/>
              <w:spacing w:line="240" w:lineRule="auto"/>
              <w:rPr>
                <w:color w:val="000000"/>
                <w:lang w:val="sv-SE"/>
              </w:rPr>
            </w:pPr>
            <w:r w:rsidRPr="00C67B16">
              <w:rPr>
                <w:color w:val="000000"/>
                <w:szCs w:val="22"/>
                <w:lang w:val="sv-SE"/>
              </w:rPr>
              <w:t>Yrsel, tinnitus, nedsatt hörsel</w:t>
            </w:r>
          </w:p>
        </w:tc>
      </w:tr>
      <w:tr w:rsidR="00586EC3" w:rsidRPr="00C67B16" w14:paraId="07B8277C" w14:textId="77777777" w:rsidTr="00DF06CD">
        <w:trPr>
          <w:cantSplit/>
        </w:trPr>
        <w:tc>
          <w:tcPr>
            <w:tcW w:w="9322" w:type="dxa"/>
            <w:gridSpan w:val="2"/>
          </w:tcPr>
          <w:p w14:paraId="1721D369" w14:textId="77777777" w:rsidR="00586EC3" w:rsidRPr="00C67B16" w:rsidRDefault="00586EC3" w:rsidP="00463647">
            <w:pPr>
              <w:keepNext/>
              <w:widowControl w:val="0"/>
              <w:spacing w:line="240" w:lineRule="auto"/>
              <w:rPr>
                <w:color w:val="000000"/>
                <w:lang w:val="sv-SE"/>
              </w:rPr>
            </w:pPr>
            <w:r w:rsidRPr="00C67B16">
              <w:rPr>
                <w:b/>
                <w:color w:val="000000"/>
                <w:szCs w:val="22"/>
                <w:lang w:val="sv-SE"/>
              </w:rPr>
              <w:t>Hjärtat</w:t>
            </w:r>
          </w:p>
        </w:tc>
      </w:tr>
      <w:tr w:rsidR="00586EC3" w:rsidRPr="00644A2E" w14:paraId="4D916254" w14:textId="77777777" w:rsidTr="00DF06CD">
        <w:trPr>
          <w:cantSplit/>
        </w:trPr>
        <w:tc>
          <w:tcPr>
            <w:tcW w:w="2235" w:type="dxa"/>
          </w:tcPr>
          <w:p w14:paraId="3ECF6656"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3595C41D"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Palpitationer, takykardi, kronisk hjärtsvikt</w:t>
            </w:r>
            <w:r w:rsidRPr="00C67B16">
              <w:rPr>
                <w:color w:val="000000"/>
                <w:szCs w:val="22"/>
                <w:vertAlign w:val="superscript"/>
                <w:lang w:val="sv-SE"/>
              </w:rPr>
              <w:t>3</w:t>
            </w:r>
            <w:r w:rsidRPr="00C67B16">
              <w:rPr>
                <w:color w:val="000000"/>
                <w:szCs w:val="22"/>
                <w:lang w:val="sv-SE"/>
              </w:rPr>
              <w:t>, lungödem</w:t>
            </w:r>
          </w:p>
        </w:tc>
      </w:tr>
      <w:tr w:rsidR="00586EC3" w:rsidRPr="00644A2E" w14:paraId="21065087" w14:textId="77777777" w:rsidTr="00DF06CD">
        <w:trPr>
          <w:cantSplit/>
        </w:trPr>
        <w:tc>
          <w:tcPr>
            <w:tcW w:w="2235" w:type="dxa"/>
          </w:tcPr>
          <w:p w14:paraId="5D760987"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14587828"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Arrytmi, förmaksflimmer, hjärtstillestånd, hjärtinfarkt, angina pectoris, perikardiell utgjutning</w:t>
            </w:r>
          </w:p>
        </w:tc>
      </w:tr>
      <w:tr w:rsidR="00890F2B" w:rsidRPr="00C67B16" w14:paraId="1BB37F48" w14:textId="77777777" w:rsidTr="00DF06CD">
        <w:trPr>
          <w:cantSplit/>
        </w:trPr>
        <w:tc>
          <w:tcPr>
            <w:tcW w:w="2235" w:type="dxa"/>
          </w:tcPr>
          <w:p w14:paraId="0A4C1527" w14:textId="77777777" w:rsidR="00890F2B" w:rsidRPr="00C67B16" w:rsidRDefault="00890F2B"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23D41EEF" w14:textId="77777777" w:rsidR="00890F2B" w:rsidRPr="00C67B16" w:rsidRDefault="00890F2B" w:rsidP="00463647">
            <w:pPr>
              <w:widowControl w:val="0"/>
              <w:spacing w:line="240" w:lineRule="auto"/>
              <w:rPr>
                <w:color w:val="000000"/>
                <w:szCs w:val="22"/>
                <w:lang w:val="sv-SE"/>
              </w:rPr>
            </w:pPr>
            <w:r>
              <w:rPr>
                <w:color w:val="000000"/>
                <w:szCs w:val="22"/>
                <w:lang w:val="sv-SE"/>
              </w:rPr>
              <w:t>Perikardit*, hjärt</w:t>
            </w:r>
            <w:r w:rsidR="00C96D2C">
              <w:rPr>
                <w:color w:val="000000"/>
                <w:szCs w:val="22"/>
                <w:lang w:val="sv-SE"/>
              </w:rPr>
              <w:t>säcks</w:t>
            </w:r>
            <w:r>
              <w:rPr>
                <w:color w:val="000000"/>
                <w:szCs w:val="22"/>
                <w:lang w:val="sv-SE"/>
              </w:rPr>
              <w:t>tamponad*</w:t>
            </w:r>
          </w:p>
        </w:tc>
      </w:tr>
      <w:tr w:rsidR="00586EC3" w:rsidRPr="00C67B16" w14:paraId="78A4ADB7" w14:textId="77777777" w:rsidTr="00DF06CD">
        <w:trPr>
          <w:cantSplit/>
        </w:trPr>
        <w:tc>
          <w:tcPr>
            <w:tcW w:w="9322" w:type="dxa"/>
            <w:gridSpan w:val="2"/>
          </w:tcPr>
          <w:p w14:paraId="5026B96F" w14:textId="77777777" w:rsidR="00586EC3" w:rsidRPr="00C67B16" w:rsidRDefault="00586EC3" w:rsidP="00463647">
            <w:pPr>
              <w:keepNext/>
              <w:widowControl w:val="0"/>
              <w:spacing w:line="240" w:lineRule="auto"/>
              <w:rPr>
                <w:rFonts w:ascii="Times New Roman Bold" w:hAnsi="Times New Roman Bold"/>
                <w:color w:val="000000"/>
                <w:szCs w:val="22"/>
                <w:vertAlign w:val="superscript"/>
                <w:lang w:val="sv-SE"/>
              </w:rPr>
            </w:pPr>
            <w:r w:rsidRPr="00C67B16">
              <w:rPr>
                <w:b/>
                <w:color w:val="000000"/>
                <w:szCs w:val="22"/>
                <w:lang w:val="sv-SE"/>
              </w:rPr>
              <w:t>Blodkärl</w:t>
            </w:r>
            <w:r w:rsidRPr="00C67B16">
              <w:rPr>
                <w:rFonts w:ascii="Times New Roman Bold" w:hAnsi="Times New Roman Bold"/>
                <w:b/>
                <w:color w:val="000000"/>
                <w:szCs w:val="22"/>
                <w:vertAlign w:val="superscript"/>
                <w:lang w:val="sv-SE"/>
              </w:rPr>
              <w:t>4</w:t>
            </w:r>
          </w:p>
        </w:tc>
      </w:tr>
      <w:tr w:rsidR="00586EC3" w:rsidRPr="00C67B16" w14:paraId="41B51818" w14:textId="77777777" w:rsidTr="00DF06CD">
        <w:trPr>
          <w:cantSplit/>
        </w:trPr>
        <w:tc>
          <w:tcPr>
            <w:tcW w:w="2235" w:type="dxa"/>
          </w:tcPr>
          <w:p w14:paraId="60A92FE1"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559EA1E1"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Flushing, blödningar</w:t>
            </w:r>
          </w:p>
        </w:tc>
      </w:tr>
      <w:tr w:rsidR="00586EC3" w:rsidRPr="00F60A89" w14:paraId="28F1EE3E" w14:textId="77777777" w:rsidTr="00DF06CD">
        <w:trPr>
          <w:cantSplit/>
        </w:trPr>
        <w:tc>
          <w:tcPr>
            <w:tcW w:w="2235" w:type="dxa"/>
          </w:tcPr>
          <w:p w14:paraId="5B6A2503" w14:textId="77777777" w:rsidR="00586EC3" w:rsidRPr="00C67B16" w:rsidDel="00655175" w:rsidRDefault="00586EC3" w:rsidP="00463647">
            <w:pPr>
              <w:keepNext/>
              <w:widowControl w:val="0"/>
              <w:spacing w:line="240" w:lineRule="auto"/>
              <w:rPr>
                <w:i/>
                <w:color w:val="000000"/>
                <w:szCs w:val="22"/>
                <w:u w:val="single"/>
                <w:lang w:val="sv-SE"/>
              </w:rPr>
            </w:pPr>
            <w:r w:rsidRPr="00C67B16">
              <w:rPr>
                <w:i/>
                <w:color w:val="000000"/>
                <w:szCs w:val="22"/>
                <w:lang w:val="sv-SE"/>
              </w:rPr>
              <w:t>Mindre vanliga:</w:t>
            </w:r>
          </w:p>
        </w:tc>
        <w:tc>
          <w:tcPr>
            <w:tcW w:w="7087" w:type="dxa"/>
          </w:tcPr>
          <w:p w14:paraId="121ACB32" w14:textId="77777777" w:rsidR="00586EC3" w:rsidRPr="00C67B16" w:rsidDel="00655175" w:rsidRDefault="00586EC3" w:rsidP="00463647">
            <w:pPr>
              <w:keepNext/>
              <w:widowControl w:val="0"/>
              <w:spacing w:line="240" w:lineRule="auto"/>
              <w:rPr>
                <w:color w:val="000000"/>
                <w:szCs w:val="22"/>
                <w:lang w:val="sv-SE"/>
              </w:rPr>
            </w:pPr>
            <w:r w:rsidRPr="00C67B16">
              <w:rPr>
                <w:color w:val="000000"/>
                <w:szCs w:val="22"/>
                <w:lang w:val="sv-SE"/>
              </w:rPr>
              <w:t xml:space="preserve">Hypertoni, hematom, </w:t>
            </w:r>
            <w:r>
              <w:rPr>
                <w:color w:val="000000"/>
                <w:szCs w:val="22"/>
                <w:lang w:val="sv-SE"/>
              </w:rPr>
              <w:t xml:space="preserve">subduralhematom, </w:t>
            </w:r>
            <w:r w:rsidRPr="00C67B16">
              <w:rPr>
                <w:color w:val="000000"/>
                <w:szCs w:val="22"/>
                <w:lang w:val="sv-SE"/>
              </w:rPr>
              <w:t>perifer kyla, hypotoni, Raynauds fenomen</w:t>
            </w:r>
          </w:p>
        </w:tc>
      </w:tr>
      <w:tr w:rsidR="00890F2B" w:rsidRPr="00C67B16" w14:paraId="44890851" w14:textId="77777777" w:rsidTr="00DF06CD">
        <w:trPr>
          <w:cantSplit/>
        </w:trPr>
        <w:tc>
          <w:tcPr>
            <w:tcW w:w="2235" w:type="dxa"/>
          </w:tcPr>
          <w:p w14:paraId="644D9963" w14:textId="77777777" w:rsidR="00890F2B" w:rsidRPr="00C67B16" w:rsidRDefault="00890F2B"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10025524" w14:textId="77777777" w:rsidR="00890F2B" w:rsidRPr="00C67B16" w:rsidRDefault="00890F2B" w:rsidP="00463647">
            <w:pPr>
              <w:widowControl w:val="0"/>
              <w:spacing w:line="240" w:lineRule="auto"/>
              <w:rPr>
                <w:color w:val="000000"/>
                <w:szCs w:val="22"/>
                <w:lang w:val="sv-SE"/>
              </w:rPr>
            </w:pPr>
            <w:r>
              <w:rPr>
                <w:color w:val="000000"/>
                <w:szCs w:val="22"/>
                <w:lang w:val="sv-SE"/>
              </w:rPr>
              <w:t>Trombos/emboli</w:t>
            </w:r>
            <w:r w:rsidR="00C96D2C">
              <w:rPr>
                <w:color w:val="000000"/>
                <w:szCs w:val="22"/>
                <w:lang w:val="sv-SE"/>
              </w:rPr>
              <w:t>sm</w:t>
            </w:r>
            <w:r>
              <w:rPr>
                <w:color w:val="000000"/>
                <w:szCs w:val="22"/>
                <w:lang w:val="sv-SE"/>
              </w:rPr>
              <w:t>*</w:t>
            </w:r>
          </w:p>
        </w:tc>
      </w:tr>
      <w:tr w:rsidR="00586EC3" w:rsidRPr="00C67B16" w14:paraId="18BFCFD4" w14:textId="77777777" w:rsidTr="00DF06CD">
        <w:trPr>
          <w:cantSplit/>
        </w:trPr>
        <w:tc>
          <w:tcPr>
            <w:tcW w:w="9322" w:type="dxa"/>
            <w:gridSpan w:val="2"/>
          </w:tcPr>
          <w:p w14:paraId="5810D4C8" w14:textId="77777777" w:rsidR="00586EC3" w:rsidRPr="00C67B16" w:rsidRDefault="00586EC3" w:rsidP="00463647">
            <w:pPr>
              <w:keepNext/>
              <w:widowControl w:val="0"/>
              <w:spacing w:line="240" w:lineRule="auto"/>
              <w:rPr>
                <w:color w:val="000000"/>
                <w:szCs w:val="22"/>
                <w:lang w:val="sv-SE"/>
              </w:rPr>
            </w:pPr>
            <w:r w:rsidRPr="00C67B16">
              <w:rPr>
                <w:b/>
                <w:color w:val="000000"/>
                <w:szCs w:val="22"/>
                <w:lang w:val="sv-SE"/>
              </w:rPr>
              <w:lastRenderedPageBreak/>
              <w:t>Andningsvägar, bröstkorg och mediastinum</w:t>
            </w:r>
          </w:p>
        </w:tc>
      </w:tr>
      <w:tr w:rsidR="00586EC3" w:rsidRPr="00C67B16" w14:paraId="4AA4C209" w14:textId="77777777" w:rsidTr="00DF06CD">
        <w:trPr>
          <w:cantSplit/>
        </w:trPr>
        <w:tc>
          <w:tcPr>
            <w:tcW w:w="2235" w:type="dxa"/>
          </w:tcPr>
          <w:p w14:paraId="1194C352"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1315E953"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Dyspné, epistaxis, hosta</w:t>
            </w:r>
          </w:p>
        </w:tc>
      </w:tr>
      <w:tr w:rsidR="00586EC3" w:rsidRPr="00C67B16" w14:paraId="4E9A5CE7" w14:textId="77777777" w:rsidTr="00DF06CD">
        <w:trPr>
          <w:cantSplit/>
        </w:trPr>
        <w:tc>
          <w:tcPr>
            <w:tcW w:w="2235" w:type="dxa"/>
          </w:tcPr>
          <w:p w14:paraId="2DB4A58B"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063F89E9"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Pleurautgjutning</w:t>
            </w:r>
            <w:r w:rsidRPr="00C67B16">
              <w:rPr>
                <w:color w:val="000000"/>
                <w:szCs w:val="22"/>
                <w:vertAlign w:val="superscript"/>
                <w:lang w:val="sv-SE"/>
              </w:rPr>
              <w:t>5</w:t>
            </w:r>
            <w:r w:rsidRPr="00C67B16">
              <w:rPr>
                <w:color w:val="000000"/>
                <w:szCs w:val="22"/>
                <w:lang w:val="sv-SE"/>
              </w:rPr>
              <w:t>, faryngolaryngal smärta, faryngit</w:t>
            </w:r>
          </w:p>
        </w:tc>
      </w:tr>
      <w:tr w:rsidR="00586EC3" w:rsidRPr="00F60A89" w14:paraId="11706261" w14:textId="77777777" w:rsidTr="00DF06CD">
        <w:trPr>
          <w:cantSplit/>
        </w:trPr>
        <w:tc>
          <w:tcPr>
            <w:tcW w:w="2235" w:type="dxa"/>
          </w:tcPr>
          <w:p w14:paraId="12EAD8AC"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5686EE4A"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Pleurasmärta, lungfibros, pulmonell hypertoni, lungblödning</w:t>
            </w:r>
          </w:p>
        </w:tc>
      </w:tr>
      <w:tr w:rsidR="00890F2B" w:rsidRPr="00F60A89" w14:paraId="14D09975" w14:textId="77777777" w:rsidTr="00DF06CD">
        <w:trPr>
          <w:cantSplit/>
        </w:trPr>
        <w:tc>
          <w:tcPr>
            <w:tcW w:w="2235" w:type="dxa"/>
          </w:tcPr>
          <w:p w14:paraId="1F7AE062" w14:textId="77777777" w:rsidR="00890F2B" w:rsidRPr="00C67B16" w:rsidRDefault="00890F2B"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47FECB78" w14:textId="77777777" w:rsidR="00890F2B" w:rsidRPr="004B3D72" w:rsidRDefault="004B3D72" w:rsidP="00463647">
            <w:pPr>
              <w:widowControl w:val="0"/>
              <w:spacing w:line="240" w:lineRule="auto"/>
              <w:rPr>
                <w:color w:val="000000"/>
                <w:szCs w:val="22"/>
                <w:lang w:val="sv-SE"/>
              </w:rPr>
            </w:pPr>
            <w:r>
              <w:rPr>
                <w:color w:val="000000"/>
                <w:szCs w:val="22"/>
                <w:lang w:val="sv-SE"/>
              </w:rPr>
              <w:t xml:space="preserve">Akut </w:t>
            </w:r>
            <w:r w:rsidR="00C96D2C">
              <w:rPr>
                <w:color w:val="000000"/>
                <w:szCs w:val="22"/>
                <w:lang w:val="sv-SE"/>
              </w:rPr>
              <w:t xml:space="preserve">respiratorisk </w:t>
            </w:r>
            <w:r>
              <w:rPr>
                <w:color w:val="000000"/>
                <w:szCs w:val="22"/>
                <w:lang w:val="sv-SE"/>
              </w:rPr>
              <w:t>svikt</w:t>
            </w:r>
            <w:r w:rsidR="00B468B3">
              <w:rPr>
                <w:color w:val="000000"/>
                <w:szCs w:val="22"/>
                <w:vertAlign w:val="superscript"/>
                <w:lang w:val="sv-SE"/>
              </w:rPr>
              <w:t>11</w:t>
            </w:r>
            <w:r>
              <w:rPr>
                <w:color w:val="000000"/>
                <w:szCs w:val="22"/>
                <w:lang w:val="sv-SE"/>
              </w:rPr>
              <w:t>*, interstitiell lungsjukdom*</w:t>
            </w:r>
          </w:p>
        </w:tc>
      </w:tr>
      <w:tr w:rsidR="00586EC3" w:rsidRPr="00C67B16" w14:paraId="716DC1B3" w14:textId="77777777" w:rsidTr="00DF06CD">
        <w:trPr>
          <w:cantSplit/>
        </w:trPr>
        <w:tc>
          <w:tcPr>
            <w:tcW w:w="9322" w:type="dxa"/>
            <w:gridSpan w:val="2"/>
          </w:tcPr>
          <w:p w14:paraId="219BCF55" w14:textId="77777777" w:rsidR="00586EC3" w:rsidRPr="00C67B16" w:rsidRDefault="00586EC3" w:rsidP="00463647">
            <w:pPr>
              <w:keepNext/>
              <w:widowControl w:val="0"/>
              <w:spacing w:line="240" w:lineRule="auto"/>
              <w:rPr>
                <w:color w:val="000000"/>
                <w:lang w:val="sv-SE"/>
              </w:rPr>
            </w:pPr>
            <w:r w:rsidRPr="00C67B16">
              <w:rPr>
                <w:b/>
                <w:color w:val="000000"/>
                <w:szCs w:val="22"/>
                <w:lang w:val="sv-SE"/>
              </w:rPr>
              <w:t>Magtarmkanalen</w:t>
            </w:r>
          </w:p>
        </w:tc>
      </w:tr>
      <w:tr w:rsidR="00586EC3" w:rsidRPr="00644A2E" w14:paraId="54AF465E" w14:textId="77777777" w:rsidTr="00DF06CD">
        <w:trPr>
          <w:cantSplit/>
        </w:trPr>
        <w:tc>
          <w:tcPr>
            <w:tcW w:w="2235" w:type="dxa"/>
          </w:tcPr>
          <w:p w14:paraId="1AACD75B"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Mycket vanliga:</w:t>
            </w:r>
          </w:p>
        </w:tc>
        <w:tc>
          <w:tcPr>
            <w:tcW w:w="7087" w:type="dxa"/>
          </w:tcPr>
          <w:p w14:paraId="73CE841D"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Illamående, diarré, kräkningar, dyspepsi, buksmärta</w:t>
            </w:r>
            <w:r w:rsidRPr="00C67B16">
              <w:rPr>
                <w:color w:val="000000"/>
                <w:szCs w:val="22"/>
                <w:vertAlign w:val="superscript"/>
                <w:lang w:val="sv-SE"/>
              </w:rPr>
              <w:t>6</w:t>
            </w:r>
          </w:p>
        </w:tc>
      </w:tr>
      <w:tr w:rsidR="00586EC3" w:rsidRPr="00F60A89" w14:paraId="518A95D6" w14:textId="77777777" w:rsidTr="00DF06CD">
        <w:trPr>
          <w:cantSplit/>
        </w:trPr>
        <w:tc>
          <w:tcPr>
            <w:tcW w:w="2235" w:type="dxa"/>
          </w:tcPr>
          <w:p w14:paraId="632B6B79"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13C6ED4E"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Flatulens, utspänd buk, gastroesofageal reflux, förstoppning, muntorrhet, gastrit</w:t>
            </w:r>
          </w:p>
        </w:tc>
      </w:tr>
      <w:tr w:rsidR="00586EC3" w:rsidRPr="00F60A89" w14:paraId="0C64CF64" w14:textId="77777777" w:rsidTr="00DF06CD">
        <w:trPr>
          <w:cantSplit/>
        </w:trPr>
        <w:tc>
          <w:tcPr>
            <w:tcW w:w="2235" w:type="dxa"/>
          </w:tcPr>
          <w:p w14:paraId="4CA31E0A"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28C443AB"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Stomatit, sår i munnen, gastrointestinal blödning</w:t>
            </w:r>
            <w:r w:rsidRPr="00C67B16">
              <w:rPr>
                <w:color w:val="000000"/>
                <w:szCs w:val="22"/>
                <w:vertAlign w:val="superscript"/>
                <w:lang w:val="sv-SE"/>
              </w:rPr>
              <w:t>7</w:t>
            </w:r>
            <w:r w:rsidRPr="00C67B16">
              <w:rPr>
                <w:color w:val="000000"/>
                <w:szCs w:val="22"/>
                <w:lang w:val="sv-SE"/>
              </w:rPr>
              <w:t>, rapning, melena, esofagit, ascites, magsår, hematemes, keilit, dysfagi, pankreatit</w:t>
            </w:r>
          </w:p>
        </w:tc>
      </w:tr>
      <w:tr w:rsidR="00586EC3" w:rsidRPr="00C67B16" w14:paraId="54E4EC25" w14:textId="77777777" w:rsidTr="00DF06CD">
        <w:trPr>
          <w:cantSplit/>
        </w:trPr>
        <w:tc>
          <w:tcPr>
            <w:tcW w:w="2235" w:type="dxa"/>
          </w:tcPr>
          <w:p w14:paraId="1274E1C2"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29058C52" w14:textId="77777777" w:rsidR="00586EC3" w:rsidRPr="00C67B16" w:rsidRDefault="00586EC3" w:rsidP="00463647">
            <w:pPr>
              <w:keepNext/>
              <w:widowControl w:val="0"/>
              <w:spacing w:line="240" w:lineRule="auto"/>
              <w:rPr>
                <w:snapToGrid w:val="0"/>
                <w:color w:val="000000"/>
                <w:szCs w:val="22"/>
                <w:lang w:val="sv-SE"/>
              </w:rPr>
            </w:pPr>
            <w:r w:rsidRPr="00C67B16">
              <w:rPr>
                <w:color w:val="000000"/>
                <w:szCs w:val="22"/>
                <w:lang w:val="sv-SE"/>
              </w:rPr>
              <w:t xml:space="preserve">Kolit, </w:t>
            </w:r>
            <w:r w:rsidRPr="00C67B16">
              <w:rPr>
                <w:snapToGrid w:val="0"/>
                <w:color w:val="000000"/>
                <w:szCs w:val="22"/>
                <w:lang w:val="sv-SE"/>
              </w:rPr>
              <w:t>ileus, inflammatorisk tarmsjukdom</w:t>
            </w:r>
          </w:p>
        </w:tc>
      </w:tr>
      <w:tr w:rsidR="004B3D72" w:rsidRPr="00644A2E" w14:paraId="4A8D8D1A" w14:textId="77777777" w:rsidTr="00DF06CD">
        <w:trPr>
          <w:cantSplit/>
        </w:trPr>
        <w:tc>
          <w:tcPr>
            <w:tcW w:w="2235" w:type="dxa"/>
          </w:tcPr>
          <w:p w14:paraId="6D4436C8" w14:textId="77777777" w:rsidR="004B3D72" w:rsidRPr="00C67B16" w:rsidRDefault="004B3D72"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6CF693B6" w14:textId="77777777" w:rsidR="004B3D72" w:rsidRPr="00C67B16" w:rsidRDefault="004B3D72" w:rsidP="00463647">
            <w:pPr>
              <w:widowControl w:val="0"/>
              <w:spacing w:line="240" w:lineRule="auto"/>
              <w:rPr>
                <w:color w:val="000000"/>
                <w:szCs w:val="22"/>
                <w:lang w:val="sv-SE"/>
              </w:rPr>
            </w:pPr>
            <w:r w:rsidRPr="004B3D72">
              <w:rPr>
                <w:color w:val="000000"/>
                <w:szCs w:val="22"/>
                <w:lang w:val="sv-SE"/>
              </w:rPr>
              <w:t>Ileus/tarmobstruktion</w:t>
            </w:r>
            <w:r w:rsidR="007F2DDD">
              <w:rPr>
                <w:color w:val="000000"/>
                <w:szCs w:val="22"/>
                <w:lang w:val="sv-SE"/>
              </w:rPr>
              <w:t>*</w:t>
            </w:r>
            <w:r w:rsidRPr="004B3D72">
              <w:rPr>
                <w:color w:val="000000"/>
                <w:szCs w:val="22"/>
                <w:lang w:val="sv-SE"/>
              </w:rPr>
              <w:t xml:space="preserve">, gastrointestinal perforation*, divertikulit*, </w:t>
            </w:r>
            <w:r>
              <w:rPr>
                <w:color w:val="000000"/>
                <w:szCs w:val="22"/>
                <w:lang w:val="sv-SE"/>
              </w:rPr>
              <w:t>antrala kärlektasier</w:t>
            </w:r>
            <w:r w:rsidRPr="004B3D72">
              <w:rPr>
                <w:color w:val="000000"/>
                <w:szCs w:val="22"/>
                <w:lang w:val="sv-SE"/>
              </w:rPr>
              <w:t xml:space="preserve"> (GAV</w:t>
            </w:r>
            <w:r>
              <w:rPr>
                <w:color w:val="000000"/>
                <w:szCs w:val="22"/>
                <w:lang w:val="sv-SE"/>
              </w:rPr>
              <w:t>E</w:t>
            </w:r>
            <w:r w:rsidRPr="004B3D72">
              <w:rPr>
                <w:color w:val="000000"/>
                <w:szCs w:val="22"/>
                <w:lang w:val="sv-SE"/>
              </w:rPr>
              <w:t>)*</w:t>
            </w:r>
          </w:p>
        </w:tc>
      </w:tr>
      <w:tr w:rsidR="00586EC3" w:rsidRPr="00C67B16" w14:paraId="27F22F25" w14:textId="77777777" w:rsidTr="00DF06CD">
        <w:trPr>
          <w:cantSplit/>
        </w:trPr>
        <w:tc>
          <w:tcPr>
            <w:tcW w:w="9322" w:type="dxa"/>
            <w:gridSpan w:val="2"/>
          </w:tcPr>
          <w:p w14:paraId="336AEC26" w14:textId="77777777" w:rsidR="00586EC3" w:rsidRPr="00C67B16" w:rsidRDefault="00586EC3" w:rsidP="00463647">
            <w:pPr>
              <w:keepNext/>
              <w:widowControl w:val="0"/>
              <w:spacing w:line="240" w:lineRule="auto"/>
              <w:rPr>
                <w:snapToGrid w:val="0"/>
                <w:color w:val="000000"/>
                <w:szCs w:val="22"/>
                <w:lang w:val="sv-SE"/>
              </w:rPr>
            </w:pPr>
            <w:r w:rsidRPr="00C67B16">
              <w:rPr>
                <w:b/>
                <w:color w:val="000000"/>
                <w:szCs w:val="22"/>
                <w:lang w:val="sv-SE"/>
              </w:rPr>
              <w:t>Lever och gallvägar</w:t>
            </w:r>
          </w:p>
        </w:tc>
      </w:tr>
      <w:tr w:rsidR="00586EC3" w:rsidRPr="00C67B16" w14:paraId="78661784" w14:textId="77777777" w:rsidTr="00DF06CD">
        <w:trPr>
          <w:cantSplit/>
        </w:trPr>
        <w:tc>
          <w:tcPr>
            <w:tcW w:w="2235" w:type="dxa"/>
          </w:tcPr>
          <w:p w14:paraId="110760E8"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631D5C2D"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Förhöjda leverenzymvärden</w:t>
            </w:r>
          </w:p>
        </w:tc>
      </w:tr>
      <w:tr w:rsidR="00586EC3" w:rsidRPr="00C67B16" w14:paraId="69E9A4ED" w14:textId="77777777" w:rsidTr="00DF06CD">
        <w:trPr>
          <w:cantSplit/>
        </w:trPr>
        <w:tc>
          <w:tcPr>
            <w:tcW w:w="2235" w:type="dxa"/>
          </w:tcPr>
          <w:p w14:paraId="7FA115BD"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61CBFE5A"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Hyperbilirubinemi, hepatit, gulsot</w:t>
            </w:r>
          </w:p>
        </w:tc>
      </w:tr>
      <w:tr w:rsidR="00586EC3" w:rsidRPr="00C67B16" w14:paraId="4C5668FC" w14:textId="77777777" w:rsidTr="00DF06CD">
        <w:trPr>
          <w:cantSplit/>
        </w:trPr>
        <w:tc>
          <w:tcPr>
            <w:tcW w:w="2235" w:type="dxa"/>
          </w:tcPr>
          <w:p w14:paraId="4368F6F5" w14:textId="77777777" w:rsidR="00586EC3" w:rsidRPr="00C67B16" w:rsidRDefault="00586EC3" w:rsidP="00463647">
            <w:pPr>
              <w:widowControl w:val="0"/>
              <w:spacing w:line="240" w:lineRule="auto"/>
              <w:rPr>
                <w:i/>
                <w:color w:val="000000"/>
                <w:szCs w:val="22"/>
                <w:lang w:val="sv-SE"/>
              </w:rPr>
            </w:pPr>
            <w:r w:rsidRPr="00C67B16">
              <w:rPr>
                <w:i/>
                <w:color w:val="000000"/>
                <w:szCs w:val="22"/>
                <w:lang w:val="sv-SE"/>
              </w:rPr>
              <w:t>Sällsynta:</w:t>
            </w:r>
          </w:p>
        </w:tc>
        <w:tc>
          <w:tcPr>
            <w:tcW w:w="7087" w:type="dxa"/>
          </w:tcPr>
          <w:p w14:paraId="2CD6ED32" w14:textId="77777777" w:rsidR="00586EC3" w:rsidRPr="00C67B16" w:rsidRDefault="00586EC3" w:rsidP="00463647">
            <w:pPr>
              <w:widowControl w:val="0"/>
              <w:spacing w:line="240" w:lineRule="auto"/>
              <w:rPr>
                <w:color w:val="000000"/>
                <w:szCs w:val="22"/>
                <w:lang w:val="sv-SE"/>
              </w:rPr>
            </w:pPr>
            <w:r w:rsidRPr="00C67B16">
              <w:rPr>
                <w:color w:val="000000"/>
                <w:szCs w:val="22"/>
                <w:lang w:val="sv-SE"/>
              </w:rPr>
              <w:t>Leversvikt</w:t>
            </w:r>
            <w:r w:rsidRPr="00C67B16">
              <w:rPr>
                <w:color w:val="000000"/>
                <w:szCs w:val="22"/>
                <w:vertAlign w:val="superscript"/>
                <w:lang w:val="sv-SE"/>
              </w:rPr>
              <w:t>8</w:t>
            </w:r>
            <w:r w:rsidRPr="00C67B16">
              <w:rPr>
                <w:color w:val="000000"/>
                <w:szCs w:val="22"/>
                <w:lang w:val="sv-SE"/>
              </w:rPr>
              <w:t>, levernekros</w:t>
            </w:r>
          </w:p>
        </w:tc>
      </w:tr>
      <w:tr w:rsidR="00586EC3" w:rsidRPr="00C67B16" w14:paraId="5471C15B" w14:textId="77777777" w:rsidTr="00DF06CD">
        <w:trPr>
          <w:cantSplit/>
        </w:trPr>
        <w:tc>
          <w:tcPr>
            <w:tcW w:w="9322" w:type="dxa"/>
            <w:gridSpan w:val="2"/>
          </w:tcPr>
          <w:p w14:paraId="2A0672E0" w14:textId="77777777" w:rsidR="00586EC3" w:rsidRPr="00C67B16" w:rsidRDefault="00586EC3" w:rsidP="00463647">
            <w:pPr>
              <w:keepNext/>
              <w:widowControl w:val="0"/>
              <w:spacing w:line="240" w:lineRule="auto"/>
              <w:rPr>
                <w:color w:val="000000"/>
                <w:lang w:val="sv-SE"/>
              </w:rPr>
            </w:pPr>
            <w:r w:rsidRPr="00C67B16">
              <w:rPr>
                <w:b/>
                <w:color w:val="000000"/>
                <w:szCs w:val="22"/>
                <w:lang w:val="sv-SE"/>
              </w:rPr>
              <w:t>Hud och subkutan vävnad</w:t>
            </w:r>
          </w:p>
        </w:tc>
      </w:tr>
      <w:tr w:rsidR="00586EC3" w:rsidRPr="00644A2E" w14:paraId="514F57F1" w14:textId="77777777" w:rsidTr="00DF06CD">
        <w:trPr>
          <w:cantSplit/>
        </w:trPr>
        <w:tc>
          <w:tcPr>
            <w:tcW w:w="2235" w:type="dxa"/>
          </w:tcPr>
          <w:p w14:paraId="2B13B2ED"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Mycket vanliga:</w:t>
            </w:r>
          </w:p>
        </w:tc>
        <w:tc>
          <w:tcPr>
            <w:tcW w:w="7087" w:type="dxa"/>
          </w:tcPr>
          <w:p w14:paraId="2DC3F308"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Periorbitalt ödem, dermatit/eksem/utslag</w:t>
            </w:r>
          </w:p>
        </w:tc>
      </w:tr>
      <w:tr w:rsidR="00586EC3" w:rsidRPr="00644A2E" w14:paraId="1945A1C3" w14:textId="77777777" w:rsidTr="00DF06CD">
        <w:trPr>
          <w:cantSplit/>
        </w:trPr>
        <w:tc>
          <w:tcPr>
            <w:tcW w:w="2235" w:type="dxa"/>
          </w:tcPr>
          <w:p w14:paraId="6BED90D0"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13D97AB8"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Klåda, ansiktsödem, torr hud, erytem, alopeci, nattliga svettningar, ljuskänslighetsreaktion</w:t>
            </w:r>
          </w:p>
        </w:tc>
      </w:tr>
      <w:tr w:rsidR="00586EC3" w:rsidRPr="00644A2E" w14:paraId="36AEBEC0" w14:textId="77777777" w:rsidTr="00DF06CD">
        <w:trPr>
          <w:cantSplit/>
        </w:trPr>
        <w:tc>
          <w:tcPr>
            <w:tcW w:w="2235" w:type="dxa"/>
          </w:tcPr>
          <w:p w14:paraId="1F5B832B"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14C3CD7C"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Pustulöst utslag, kontusion, ökad svettning, urtikaria, ekkymos, ökad tendens till blåmärken, hypotrikos, hypopigmentering av huden, exfoliativ dermatit, spruckna naglar, follikulit, petekier, psoriasis, purpura, hyperpigmentering av huden, bullöst utslag</w:t>
            </w:r>
          </w:p>
        </w:tc>
      </w:tr>
      <w:tr w:rsidR="00586EC3" w:rsidRPr="00644A2E" w14:paraId="3E321BB7" w14:textId="77777777" w:rsidTr="00DF06CD">
        <w:trPr>
          <w:cantSplit/>
        </w:trPr>
        <w:tc>
          <w:tcPr>
            <w:tcW w:w="2235" w:type="dxa"/>
          </w:tcPr>
          <w:p w14:paraId="68D8A822"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5AB71F21"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Akut febril neutrofil dermatos (Sweet’s syndrom), missfärgning av naglar, angioödem, vesikulärutslag, erytema multiforme, leukocytoklastisk vaskulit, Stevens-Johnsons syndrom, akut generaliserad exantematös pustulos (AGEP)</w:t>
            </w:r>
          </w:p>
        </w:tc>
      </w:tr>
      <w:tr w:rsidR="004B3D72" w:rsidRPr="00644A2E" w14:paraId="08BF089F" w14:textId="77777777" w:rsidTr="00DF06CD">
        <w:trPr>
          <w:cantSplit/>
        </w:trPr>
        <w:tc>
          <w:tcPr>
            <w:tcW w:w="2235" w:type="dxa"/>
          </w:tcPr>
          <w:p w14:paraId="235E1672" w14:textId="77777777" w:rsidR="004B3D72" w:rsidRPr="00C67B16" w:rsidRDefault="004B3D72"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6B8FDA85" w14:textId="77777777" w:rsidR="004B3D72" w:rsidRPr="00C67B16" w:rsidRDefault="004B3D72" w:rsidP="00463647">
            <w:pPr>
              <w:widowControl w:val="0"/>
              <w:spacing w:line="240" w:lineRule="auto"/>
              <w:rPr>
                <w:color w:val="000000"/>
                <w:szCs w:val="22"/>
                <w:lang w:val="sv-SE"/>
              </w:rPr>
            </w:pPr>
            <w:r>
              <w:rPr>
                <w:color w:val="000000"/>
                <w:szCs w:val="22"/>
                <w:lang w:val="sv-SE"/>
              </w:rPr>
              <w:t>P</w:t>
            </w:r>
            <w:r w:rsidRPr="004B3D72">
              <w:rPr>
                <w:color w:val="000000"/>
                <w:szCs w:val="22"/>
                <w:lang w:val="sv-SE"/>
              </w:rPr>
              <w:t>almar-plantar erytrodysestesi</w:t>
            </w:r>
            <w:r w:rsidR="00C96D2C">
              <w:rPr>
                <w:color w:val="000000"/>
                <w:szCs w:val="22"/>
                <w:lang w:val="sv-SE"/>
              </w:rPr>
              <w:t xml:space="preserve"> syndrom</w:t>
            </w:r>
            <w:r w:rsidR="007F640A">
              <w:rPr>
                <w:color w:val="000000"/>
                <w:szCs w:val="22"/>
                <w:lang w:val="sv-SE"/>
              </w:rPr>
              <w:t xml:space="preserve">*, </w:t>
            </w:r>
            <w:r w:rsidR="00C96D2C">
              <w:rPr>
                <w:color w:val="000000"/>
                <w:szCs w:val="22"/>
                <w:lang w:val="sv-SE"/>
              </w:rPr>
              <w:t>lik</w:t>
            </w:r>
            <w:r w:rsidR="007F640A">
              <w:rPr>
                <w:color w:val="000000"/>
                <w:szCs w:val="22"/>
                <w:lang w:val="sv-SE"/>
              </w:rPr>
              <w:t xml:space="preserve">enoid keratos*, lichen planus*, toxisk epidermal nekrolys*, </w:t>
            </w:r>
            <w:r w:rsidR="007F640A" w:rsidRPr="007F640A">
              <w:rPr>
                <w:color w:val="000000"/>
                <w:szCs w:val="22"/>
                <w:lang w:val="sv-SE"/>
              </w:rPr>
              <w:t>läkemedel</w:t>
            </w:r>
            <w:r w:rsidR="00C77EC6">
              <w:rPr>
                <w:color w:val="000000"/>
                <w:szCs w:val="22"/>
                <w:lang w:val="sv-SE"/>
              </w:rPr>
              <w:t>s</w:t>
            </w:r>
            <w:r w:rsidR="00C96D2C">
              <w:rPr>
                <w:color w:val="000000"/>
                <w:szCs w:val="22"/>
                <w:lang w:val="sv-SE"/>
              </w:rPr>
              <w:t xml:space="preserve">relaterade </w:t>
            </w:r>
            <w:r w:rsidR="007F640A" w:rsidRPr="007F640A">
              <w:rPr>
                <w:color w:val="000000"/>
                <w:szCs w:val="22"/>
                <w:lang w:val="sv-SE"/>
              </w:rPr>
              <w:t>utslag med eosinofili och systemiska symtom (DRESS)</w:t>
            </w:r>
            <w:r w:rsidR="007F640A">
              <w:rPr>
                <w:color w:val="000000"/>
                <w:szCs w:val="22"/>
                <w:lang w:val="sv-SE"/>
              </w:rPr>
              <w:t>*</w:t>
            </w:r>
            <w:r w:rsidR="00EB6D86">
              <w:rPr>
                <w:color w:val="000000"/>
                <w:szCs w:val="22"/>
                <w:lang w:val="sv-SE"/>
              </w:rPr>
              <w:t>, pseudoporfyri</w:t>
            </w:r>
            <w:r w:rsidR="00EB6D86" w:rsidRPr="00EB6D86">
              <w:rPr>
                <w:color w:val="000000"/>
                <w:szCs w:val="22"/>
                <w:lang w:val="sv-SE"/>
              </w:rPr>
              <w:t>*</w:t>
            </w:r>
          </w:p>
        </w:tc>
      </w:tr>
      <w:tr w:rsidR="00586EC3" w:rsidRPr="00C67B16" w14:paraId="4164532E" w14:textId="77777777" w:rsidTr="00DF06CD">
        <w:trPr>
          <w:cantSplit/>
        </w:trPr>
        <w:tc>
          <w:tcPr>
            <w:tcW w:w="9322" w:type="dxa"/>
            <w:gridSpan w:val="2"/>
          </w:tcPr>
          <w:p w14:paraId="23BA693F" w14:textId="77777777" w:rsidR="00586EC3" w:rsidRPr="00C67B16" w:rsidRDefault="00586EC3" w:rsidP="00463647">
            <w:pPr>
              <w:keepNext/>
              <w:widowControl w:val="0"/>
              <w:spacing w:line="240" w:lineRule="auto"/>
              <w:rPr>
                <w:color w:val="000000"/>
                <w:szCs w:val="22"/>
                <w:lang w:val="sv-SE"/>
              </w:rPr>
            </w:pPr>
            <w:r w:rsidRPr="00C67B16">
              <w:rPr>
                <w:b/>
                <w:color w:val="000000"/>
                <w:szCs w:val="22"/>
                <w:lang w:val="sv-SE"/>
              </w:rPr>
              <w:t>Muskuloskeletala systemet och bindväv</w:t>
            </w:r>
          </w:p>
        </w:tc>
      </w:tr>
      <w:tr w:rsidR="00586EC3" w:rsidRPr="00644A2E" w14:paraId="7A275CFA" w14:textId="77777777" w:rsidTr="00DF06CD">
        <w:trPr>
          <w:cantSplit/>
        </w:trPr>
        <w:tc>
          <w:tcPr>
            <w:tcW w:w="2235" w:type="dxa"/>
          </w:tcPr>
          <w:p w14:paraId="40D7D584"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Mycket vanliga:</w:t>
            </w:r>
          </w:p>
        </w:tc>
        <w:tc>
          <w:tcPr>
            <w:tcW w:w="7087" w:type="dxa"/>
          </w:tcPr>
          <w:p w14:paraId="3326FF92"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Muskelspasm och kramper, muskel- och skelettsmärta inklusive myalgi</w:t>
            </w:r>
            <w:r w:rsidR="00B468B3">
              <w:rPr>
                <w:color w:val="000000"/>
                <w:szCs w:val="22"/>
                <w:vertAlign w:val="superscript"/>
                <w:lang w:val="sv-SE"/>
              </w:rPr>
              <w:t>9</w:t>
            </w:r>
            <w:r w:rsidRPr="00C67B16">
              <w:rPr>
                <w:color w:val="000000"/>
                <w:szCs w:val="22"/>
                <w:lang w:val="sv-SE"/>
              </w:rPr>
              <w:t>, ledvärk, skelettsmärta</w:t>
            </w:r>
            <w:r w:rsidR="00B468B3">
              <w:rPr>
                <w:color w:val="000000"/>
                <w:szCs w:val="22"/>
                <w:vertAlign w:val="superscript"/>
                <w:lang w:val="sv-SE"/>
              </w:rPr>
              <w:t>10</w:t>
            </w:r>
          </w:p>
        </w:tc>
      </w:tr>
      <w:tr w:rsidR="00586EC3" w:rsidRPr="00C67B16" w14:paraId="3F2ED64E" w14:textId="77777777" w:rsidTr="00DF06CD">
        <w:trPr>
          <w:cantSplit/>
        </w:trPr>
        <w:tc>
          <w:tcPr>
            <w:tcW w:w="2235" w:type="dxa"/>
          </w:tcPr>
          <w:p w14:paraId="5326D3F6"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139E6900"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Ledsvullnad</w:t>
            </w:r>
          </w:p>
        </w:tc>
      </w:tr>
      <w:tr w:rsidR="00586EC3" w:rsidRPr="00F60A89" w14:paraId="701FB01A" w14:textId="77777777" w:rsidTr="00DF06CD">
        <w:trPr>
          <w:cantSplit/>
        </w:trPr>
        <w:tc>
          <w:tcPr>
            <w:tcW w:w="2235" w:type="dxa"/>
          </w:tcPr>
          <w:p w14:paraId="02E035BF"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6E7A97D5"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Styvhet i leder och muskler</w:t>
            </w:r>
          </w:p>
        </w:tc>
      </w:tr>
      <w:tr w:rsidR="00586EC3" w:rsidRPr="00C67B16" w14:paraId="63C563FC" w14:textId="77777777" w:rsidTr="00DF06CD">
        <w:trPr>
          <w:cantSplit/>
        </w:trPr>
        <w:tc>
          <w:tcPr>
            <w:tcW w:w="2235" w:type="dxa"/>
          </w:tcPr>
          <w:p w14:paraId="0AB3D19B"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Sällsynta:</w:t>
            </w:r>
          </w:p>
        </w:tc>
        <w:tc>
          <w:tcPr>
            <w:tcW w:w="7087" w:type="dxa"/>
          </w:tcPr>
          <w:p w14:paraId="2F7CDA09" w14:textId="77777777" w:rsidR="00586EC3" w:rsidRPr="00C67B16" w:rsidRDefault="00586EC3" w:rsidP="00463647">
            <w:pPr>
              <w:keepNext/>
              <w:widowControl w:val="0"/>
              <w:spacing w:line="240" w:lineRule="auto"/>
              <w:rPr>
                <w:color w:val="000000"/>
                <w:szCs w:val="22"/>
                <w:lang w:val="sv-SE"/>
              </w:rPr>
            </w:pPr>
            <w:r w:rsidRPr="00C67B16">
              <w:rPr>
                <w:bCs/>
                <w:color w:val="000000"/>
                <w:szCs w:val="22"/>
                <w:lang w:val="sv-SE"/>
              </w:rPr>
              <w:t>Muskelsvaghet, artrit, rabdomyolys/myopati</w:t>
            </w:r>
          </w:p>
        </w:tc>
      </w:tr>
      <w:tr w:rsidR="007F640A" w:rsidRPr="00F60A89" w14:paraId="74A1621A" w14:textId="77777777" w:rsidTr="00DF06CD">
        <w:trPr>
          <w:cantSplit/>
        </w:trPr>
        <w:tc>
          <w:tcPr>
            <w:tcW w:w="2235" w:type="dxa"/>
          </w:tcPr>
          <w:p w14:paraId="269996C9" w14:textId="77777777" w:rsidR="007F640A" w:rsidRPr="00C67B16" w:rsidRDefault="007F640A"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6D3A677F" w14:textId="77777777" w:rsidR="007F640A" w:rsidRPr="00C67B16" w:rsidRDefault="007F640A" w:rsidP="00463647">
            <w:pPr>
              <w:widowControl w:val="0"/>
              <w:spacing w:line="240" w:lineRule="auto"/>
              <w:rPr>
                <w:bCs/>
                <w:color w:val="000000"/>
                <w:szCs w:val="22"/>
                <w:lang w:val="sv-SE"/>
              </w:rPr>
            </w:pPr>
            <w:r>
              <w:rPr>
                <w:bCs/>
                <w:color w:val="000000"/>
                <w:szCs w:val="22"/>
                <w:lang w:val="sv-SE"/>
              </w:rPr>
              <w:t xml:space="preserve">Avaskulär nekros/höftnekros*, </w:t>
            </w:r>
            <w:r w:rsidRPr="007F640A">
              <w:rPr>
                <w:bCs/>
                <w:color w:val="000000"/>
                <w:szCs w:val="22"/>
                <w:lang w:val="sv-SE"/>
              </w:rPr>
              <w:t>tillväxthämning hos barn</w:t>
            </w:r>
            <w:r w:rsidR="000A745A">
              <w:rPr>
                <w:bCs/>
                <w:color w:val="000000"/>
                <w:szCs w:val="22"/>
                <w:lang w:val="sv-SE"/>
              </w:rPr>
              <w:t>*</w:t>
            </w:r>
          </w:p>
        </w:tc>
      </w:tr>
      <w:tr w:rsidR="00586EC3" w:rsidRPr="00C67B16" w14:paraId="48681446" w14:textId="77777777" w:rsidTr="00DF06CD">
        <w:trPr>
          <w:cantSplit/>
        </w:trPr>
        <w:tc>
          <w:tcPr>
            <w:tcW w:w="9322" w:type="dxa"/>
            <w:gridSpan w:val="2"/>
          </w:tcPr>
          <w:p w14:paraId="6E3D8018" w14:textId="77777777" w:rsidR="00586EC3" w:rsidRPr="00C67B16" w:rsidRDefault="00586EC3" w:rsidP="00463647">
            <w:pPr>
              <w:keepNext/>
              <w:widowControl w:val="0"/>
              <w:spacing w:line="240" w:lineRule="auto"/>
              <w:rPr>
                <w:b/>
                <w:color w:val="000000"/>
                <w:szCs w:val="22"/>
                <w:lang w:val="sv-SE"/>
              </w:rPr>
            </w:pPr>
            <w:r w:rsidRPr="00C67B16">
              <w:rPr>
                <w:b/>
                <w:color w:val="000000"/>
                <w:szCs w:val="22"/>
                <w:lang w:val="sv-SE"/>
              </w:rPr>
              <w:t>Njurar och urinvägar</w:t>
            </w:r>
          </w:p>
        </w:tc>
      </w:tr>
      <w:tr w:rsidR="00586EC3" w:rsidRPr="00644A2E" w14:paraId="4FFD1587" w14:textId="77777777" w:rsidTr="00DF06CD">
        <w:trPr>
          <w:cantSplit/>
        </w:trPr>
        <w:tc>
          <w:tcPr>
            <w:tcW w:w="2235" w:type="dxa"/>
          </w:tcPr>
          <w:p w14:paraId="5BDEAF7F"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08FF94D3"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Njursmärta, hematuri, akut njursvikt, ökad frekvens urintömningar</w:t>
            </w:r>
          </w:p>
        </w:tc>
      </w:tr>
      <w:tr w:rsidR="003E29E8" w:rsidRPr="00C67B16" w14:paraId="4E38F09F" w14:textId="77777777" w:rsidTr="00DF06CD">
        <w:trPr>
          <w:cantSplit/>
        </w:trPr>
        <w:tc>
          <w:tcPr>
            <w:tcW w:w="2235" w:type="dxa"/>
          </w:tcPr>
          <w:p w14:paraId="3B2FC2B2" w14:textId="77777777" w:rsidR="003E29E8" w:rsidRPr="00C67B16" w:rsidRDefault="003E29E8"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324CFAA9" w14:textId="77777777" w:rsidR="003E29E8" w:rsidRPr="00C67B16" w:rsidRDefault="003E29E8" w:rsidP="00463647">
            <w:pPr>
              <w:widowControl w:val="0"/>
              <w:spacing w:line="240" w:lineRule="auto"/>
              <w:rPr>
                <w:color w:val="000000"/>
                <w:szCs w:val="22"/>
                <w:lang w:val="sv-SE"/>
              </w:rPr>
            </w:pPr>
            <w:r>
              <w:rPr>
                <w:color w:val="000000"/>
                <w:szCs w:val="22"/>
                <w:lang w:val="sv-SE"/>
              </w:rPr>
              <w:t>Kronisk njursvikt</w:t>
            </w:r>
          </w:p>
        </w:tc>
      </w:tr>
      <w:tr w:rsidR="00586EC3" w:rsidRPr="00C67B16" w14:paraId="6F25964D" w14:textId="77777777" w:rsidTr="00DF06CD">
        <w:trPr>
          <w:cantSplit/>
        </w:trPr>
        <w:tc>
          <w:tcPr>
            <w:tcW w:w="9322" w:type="dxa"/>
            <w:gridSpan w:val="2"/>
          </w:tcPr>
          <w:p w14:paraId="7973EBAF" w14:textId="77777777" w:rsidR="00586EC3" w:rsidRPr="00C67B16" w:rsidRDefault="00586EC3" w:rsidP="00463647">
            <w:pPr>
              <w:keepNext/>
              <w:widowControl w:val="0"/>
              <w:spacing w:line="240" w:lineRule="auto"/>
              <w:rPr>
                <w:color w:val="000000"/>
                <w:szCs w:val="22"/>
                <w:lang w:val="sv-SE"/>
              </w:rPr>
            </w:pPr>
            <w:r w:rsidRPr="00C67B16">
              <w:rPr>
                <w:b/>
                <w:color w:val="000000"/>
                <w:szCs w:val="22"/>
                <w:lang w:val="sv-SE"/>
              </w:rPr>
              <w:t>Reproduktionsorgan och bröstkörtel</w:t>
            </w:r>
          </w:p>
        </w:tc>
      </w:tr>
      <w:tr w:rsidR="00586EC3" w:rsidRPr="00644A2E" w14:paraId="11030C73" w14:textId="77777777" w:rsidTr="00DF06CD">
        <w:trPr>
          <w:cantSplit/>
        </w:trPr>
        <w:tc>
          <w:tcPr>
            <w:tcW w:w="2235" w:type="dxa"/>
          </w:tcPr>
          <w:p w14:paraId="10040063"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048F858C"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Gynekomasti, erektil dysfunktion, menorragi, oregelbunden menstruation, sexuell dysfunktion, ömma bröstvårtor, bröstförstoring, skrotumödem</w:t>
            </w:r>
          </w:p>
        </w:tc>
      </w:tr>
      <w:tr w:rsidR="00586EC3" w:rsidRPr="00F60A89" w14:paraId="3FC43BC4" w14:textId="77777777" w:rsidTr="00DF06CD">
        <w:trPr>
          <w:cantSplit/>
        </w:trPr>
        <w:tc>
          <w:tcPr>
            <w:tcW w:w="2235" w:type="dxa"/>
          </w:tcPr>
          <w:p w14:paraId="3D016148" w14:textId="77777777" w:rsidR="00586EC3" w:rsidRPr="00C67B16" w:rsidRDefault="00586EC3" w:rsidP="00463647">
            <w:pPr>
              <w:widowControl w:val="0"/>
              <w:spacing w:line="240" w:lineRule="auto"/>
              <w:rPr>
                <w:i/>
                <w:color w:val="000000"/>
                <w:szCs w:val="22"/>
                <w:lang w:val="sv-SE"/>
              </w:rPr>
            </w:pPr>
            <w:r w:rsidRPr="00C67B16">
              <w:rPr>
                <w:i/>
                <w:color w:val="000000"/>
                <w:szCs w:val="22"/>
                <w:lang w:val="sv-SE"/>
              </w:rPr>
              <w:t>Sällsynta:</w:t>
            </w:r>
          </w:p>
        </w:tc>
        <w:tc>
          <w:tcPr>
            <w:tcW w:w="7087" w:type="dxa"/>
          </w:tcPr>
          <w:p w14:paraId="78FDE843" w14:textId="77777777" w:rsidR="00586EC3" w:rsidRPr="00C67B16" w:rsidRDefault="00586EC3" w:rsidP="00463647">
            <w:pPr>
              <w:widowControl w:val="0"/>
              <w:spacing w:line="240" w:lineRule="auto"/>
              <w:rPr>
                <w:color w:val="000000"/>
                <w:szCs w:val="22"/>
                <w:lang w:val="sv-SE"/>
              </w:rPr>
            </w:pPr>
            <w:r w:rsidRPr="00C67B16">
              <w:rPr>
                <w:color w:val="000000"/>
                <w:szCs w:val="22"/>
                <w:lang w:val="sv-SE"/>
              </w:rPr>
              <w:t>Blödning i gulkropp/blödande ovarialcysta</w:t>
            </w:r>
          </w:p>
        </w:tc>
      </w:tr>
      <w:tr w:rsidR="00586EC3" w:rsidRPr="00F60A89" w14:paraId="31041C1F" w14:textId="77777777" w:rsidTr="00DF06CD">
        <w:trPr>
          <w:cantSplit/>
        </w:trPr>
        <w:tc>
          <w:tcPr>
            <w:tcW w:w="9322" w:type="dxa"/>
            <w:gridSpan w:val="2"/>
          </w:tcPr>
          <w:p w14:paraId="6635978E" w14:textId="77777777" w:rsidR="00586EC3" w:rsidRPr="00C67B16" w:rsidRDefault="00586EC3" w:rsidP="00463647">
            <w:pPr>
              <w:keepNext/>
              <w:widowControl w:val="0"/>
              <w:spacing w:line="240" w:lineRule="auto"/>
              <w:rPr>
                <w:color w:val="000000"/>
                <w:szCs w:val="22"/>
                <w:lang w:val="sv-SE"/>
              </w:rPr>
            </w:pPr>
            <w:r w:rsidRPr="00C67B16">
              <w:rPr>
                <w:b/>
                <w:color w:val="000000"/>
                <w:szCs w:val="22"/>
                <w:lang w:val="sv-SE"/>
              </w:rPr>
              <w:t>Allmänna symtom och/eller symtom vid administreringsstället</w:t>
            </w:r>
          </w:p>
        </w:tc>
      </w:tr>
      <w:tr w:rsidR="00586EC3" w:rsidRPr="00C67B16" w14:paraId="0565D781" w14:textId="77777777" w:rsidTr="00DF06CD">
        <w:trPr>
          <w:cantSplit/>
        </w:trPr>
        <w:tc>
          <w:tcPr>
            <w:tcW w:w="2235" w:type="dxa"/>
          </w:tcPr>
          <w:p w14:paraId="05B79C92"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Mycket vanliga:</w:t>
            </w:r>
          </w:p>
        </w:tc>
        <w:tc>
          <w:tcPr>
            <w:tcW w:w="7087" w:type="dxa"/>
          </w:tcPr>
          <w:p w14:paraId="6FFE2F34"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Vätskeretention och ödem, trötthet</w:t>
            </w:r>
          </w:p>
        </w:tc>
      </w:tr>
      <w:tr w:rsidR="00586EC3" w:rsidRPr="00F60A89" w14:paraId="00802A1F" w14:textId="77777777" w:rsidTr="00DF06CD">
        <w:trPr>
          <w:cantSplit/>
        </w:trPr>
        <w:tc>
          <w:tcPr>
            <w:tcW w:w="2235" w:type="dxa"/>
          </w:tcPr>
          <w:p w14:paraId="2F091BD9"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0B7E1F37"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Svaghet, pyrexi, anasarka, rysningar, stelhet</w:t>
            </w:r>
          </w:p>
        </w:tc>
      </w:tr>
      <w:tr w:rsidR="00586EC3" w:rsidRPr="00C67B16" w14:paraId="72F5795D" w14:textId="77777777" w:rsidTr="00DF06CD">
        <w:trPr>
          <w:cantSplit/>
        </w:trPr>
        <w:tc>
          <w:tcPr>
            <w:tcW w:w="2235" w:type="dxa"/>
          </w:tcPr>
          <w:p w14:paraId="4FDC9006" w14:textId="77777777" w:rsidR="00586EC3" w:rsidRPr="00C67B16" w:rsidRDefault="00586EC3" w:rsidP="00463647">
            <w:pPr>
              <w:widowControl w:val="0"/>
              <w:spacing w:line="240" w:lineRule="auto"/>
              <w:rPr>
                <w:i/>
                <w:color w:val="000000"/>
                <w:szCs w:val="22"/>
                <w:lang w:val="sv-SE"/>
              </w:rPr>
            </w:pPr>
            <w:r w:rsidRPr="00C67B16">
              <w:rPr>
                <w:i/>
                <w:color w:val="000000"/>
                <w:szCs w:val="22"/>
                <w:lang w:val="sv-SE"/>
              </w:rPr>
              <w:t>Mindre vanliga:</w:t>
            </w:r>
          </w:p>
        </w:tc>
        <w:tc>
          <w:tcPr>
            <w:tcW w:w="7087" w:type="dxa"/>
          </w:tcPr>
          <w:p w14:paraId="5B8E08D3" w14:textId="77777777" w:rsidR="00586EC3" w:rsidRPr="00C67B16" w:rsidRDefault="00586EC3" w:rsidP="00463647">
            <w:pPr>
              <w:widowControl w:val="0"/>
              <w:spacing w:line="240" w:lineRule="auto"/>
              <w:rPr>
                <w:color w:val="000000"/>
                <w:szCs w:val="22"/>
                <w:lang w:val="sv-SE"/>
              </w:rPr>
            </w:pPr>
            <w:r w:rsidRPr="00C67B16">
              <w:rPr>
                <w:color w:val="000000"/>
                <w:szCs w:val="22"/>
                <w:lang w:val="sv-SE"/>
              </w:rPr>
              <w:t>Bröstsmärta, allmän sjukdomskänsla</w:t>
            </w:r>
          </w:p>
        </w:tc>
      </w:tr>
      <w:tr w:rsidR="00586EC3" w:rsidRPr="00C67B16" w14:paraId="380DA9A8" w14:textId="77777777" w:rsidTr="00DF06CD">
        <w:trPr>
          <w:cantSplit/>
        </w:trPr>
        <w:tc>
          <w:tcPr>
            <w:tcW w:w="9322" w:type="dxa"/>
            <w:gridSpan w:val="2"/>
          </w:tcPr>
          <w:p w14:paraId="4E3DE882" w14:textId="77777777" w:rsidR="00586EC3" w:rsidRPr="00C67B16" w:rsidRDefault="00586EC3" w:rsidP="00463647">
            <w:pPr>
              <w:keepNext/>
              <w:widowControl w:val="0"/>
              <w:spacing w:line="240" w:lineRule="auto"/>
              <w:rPr>
                <w:color w:val="000000"/>
                <w:lang w:val="sv-SE"/>
              </w:rPr>
            </w:pPr>
            <w:r w:rsidRPr="00C67B16">
              <w:rPr>
                <w:b/>
                <w:color w:val="000000"/>
                <w:szCs w:val="22"/>
                <w:lang w:val="sv-SE"/>
              </w:rPr>
              <w:lastRenderedPageBreak/>
              <w:t>Undersökningar</w:t>
            </w:r>
          </w:p>
        </w:tc>
      </w:tr>
      <w:tr w:rsidR="00586EC3" w:rsidRPr="00C67B16" w14:paraId="7C3E3712" w14:textId="77777777" w:rsidTr="00DF06CD">
        <w:trPr>
          <w:cantSplit/>
        </w:trPr>
        <w:tc>
          <w:tcPr>
            <w:tcW w:w="2235" w:type="dxa"/>
          </w:tcPr>
          <w:p w14:paraId="7F32511E"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Mycket vanliga:</w:t>
            </w:r>
          </w:p>
        </w:tc>
        <w:tc>
          <w:tcPr>
            <w:tcW w:w="7087" w:type="dxa"/>
          </w:tcPr>
          <w:p w14:paraId="485EE9DA"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Viktökning</w:t>
            </w:r>
          </w:p>
        </w:tc>
      </w:tr>
      <w:tr w:rsidR="00586EC3" w:rsidRPr="00C67B16" w14:paraId="23849922" w14:textId="77777777" w:rsidTr="00DF06CD">
        <w:trPr>
          <w:cantSplit/>
        </w:trPr>
        <w:tc>
          <w:tcPr>
            <w:tcW w:w="2235" w:type="dxa"/>
          </w:tcPr>
          <w:p w14:paraId="79D3966F"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Vanliga</w:t>
            </w:r>
            <w:r w:rsidRPr="00C67B16">
              <w:rPr>
                <w:color w:val="000000"/>
                <w:szCs w:val="22"/>
                <w:lang w:val="sv-SE"/>
              </w:rPr>
              <w:t>:</w:t>
            </w:r>
          </w:p>
        </w:tc>
        <w:tc>
          <w:tcPr>
            <w:tcW w:w="7087" w:type="dxa"/>
          </w:tcPr>
          <w:p w14:paraId="453F2BEA"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Viktnedgång</w:t>
            </w:r>
          </w:p>
        </w:tc>
      </w:tr>
      <w:tr w:rsidR="00586EC3" w:rsidRPr="00644A2E" w14:paraId="7E205E33" w14:textId="77777777" w:rsidTr="00DF06CD">
        <w:trPr>
          <w:cantSplit/>
        </w:trPr>
        <w:tc>
          <w:tcPr>
            <w:tcW w:w="2235" w:type="dxa"/>
          </w:tcPr>
          <w:p w14:paraId="30F3811F" w14:textId="77777777" w:rsidR="00586EC3" w:rsidRPr="00C67B16" w:rsidRDefault="00586EC3" w:rsidP="00463647">
            <w:pPr>
              <w:keepNext/>
              <w:widowControl w:val="0"/>
              <w:spacing w:line="240" w:lineRule="auto"/>
              <w:rPr>
                <w:color w:val="000000"/>
                <w:lang w:val="sv-SE"/>
              </w:rPr>
            </w:pPr>
            <w:r w:rsidRPr="00C67B16">
              <w:rPr>
                <w:i/>
                <w:color w:val="000000"/>
                <w:szCs w:val="22"/>
                <w:lang w:val="sv-SE"/>
              </w:rPr>
              <w:t>Mindre vanliga</w:t>
            </w:r>
            <w:r w:rsidRPr="00C67B16">
              <w:rPr>
                <w:color w:val="000000"/>
                <w:szCs w:val="22"/>
                <w:lang w:val="sv-SE"/>
              </w:rPr>
              <w:t>:</w:t>
            </w:r>
          </w:p>
        </w:tc>
        <w:tc>
          <w:tcPr>
            <w:tcW w:w="7087" w:type="dxa"/>
          </w:tcPr>
          <w:p w14:paraId="08AD5EF4" w14:textId="77777777" w:rsidR="00586EC3" w:rsidRPr="00C67B16" w:rsidRDefault="00586EC3" w:rsidP="00463647">
            <w:pPr>
              <w:keepNext/>
              <w:widowControl w:val="0"/>
              <w:spacing w:line="240" w:lineRule="auto"/>
              <w:rPr>
                <w:color w:val="000000"/>
                <w:lang w:val="sv-SE"/>
              </w:rPr>
            </w:pPr>
            <w:r w:rsidRPr="00C67B16">
              <w:rPr>
                <w:color w:val="000000"/>
                <w:szCs w:val="22"/>
                <w:lang w:val="sv-SE"/>
              </w:rPr>
              <w:t>Ökning av kreatinin i blod, ökning av kreatininfosfokinas i blod, ökning av laktatdehydrogenas i blod, ökning av alkaliskt fosfatas i blod</w:t>
            </w:r>
          </w:p>
        </w:tc>
      </w:tr>
      <w:tr w:rsidR="00586EC3" w:rsidRPr="00F60A89" w14:paraId="720DCDD0" w14:textId="77777777" w:rsidTr="00DF06CD">
        <w:trPr>
          <w:cantSplit/>
        </w:trPr>
        <w:tc>
          <w:tcPr>
            <w:tcW w:w="2235" w:type="dxa"/>
          </w:tcPr>
          <w:p w14:paraId="3ACAC722" w14:textId="77777777" w:rsidR="00586EC3" w:rsidRPr="00C67B16" w:rsidRDefault="00586EC3" w:rsidP="00463647">
            <w:pPr>
              <w:keepNext/>
              <w:widowControl w:val="0"/>
              <w:spacing w:line="240" w:lineRule="auto"/>
              <w:rPr>
                <w:i/>
                <w:color w:val="000000"/>
                <w:szCs w:val="22"/>
                <w:lang w:val="sv-SE"/>
              </w:rPr>
            </w:pPr>
            <w:r w:rsidRPr="00C67B16">
              <w:rPr>
                <w:i/>
                <w:color w:val="000000"/>
                <w:szCs w:val="22"/>
                <w:lang w:val="sv-SE"/>
              </w:rPr>
              <w:t>Sällsynta:</w:t>
            </w:r>
          </w:p>
        </w:tc>
        <w:tc>
          <w:tcPr>
            <w:tcW w:w="7087" w:type="dxa"/>
          </w:tcPr>
          <w:p w14:paraId="10463FE4" w14:textId="77777777" w:rsidR="00586EC3" w:rsidRPr="00C67B16" w:rsidRDefault="00586EC3" w:rsidP="00463647">
            <w:pPr>
              <w:keepNext/>
              <w:widowControl w:val="0"/>
              <w:spacing w:line="240" w:lineRule="auto"/>
              <w:rPr>
                <w:color w:val="000000"/>
                <w:szCs w:val="22"/>
                <w:lang w:val="sv-SE"/>
              </w:rPr>
            </w:pPr>
            <w:r w:rsidRPr="00C67B16">
              <w:rPr>
                <w:color w:val="000000"/>
                <w:szCs w:val="22"/>
                <w:lang w:val="sv-SE"/>
              </w:rPr>
              <w:t>Ökning av amylas i blod</w:t>
            </w:r>
          </w:p>
        </w:tc>
      </w:tr>
    </w:tbl>
    <w:p w14:paraId="169DA96A" w14:textId="77777777" w:rsidR="00B719C4" w:rsidRDefault="00B719C4" w:rsidP="00463647">
      <w:pPr>
        <w:keepNext/>
        <w:widowControl w:val="0"/>
        <w:spacing w:line="240" w:lineRule="auto"/>
        <w:rPr>
          <w:color w:val="000000"/>
          <w:lang w:val="sv-SE"/>
        </w:rPr>
      </w:pPr>
    </w:p>
    <w:p w14:paraId="3978FCEF" w14:textId="77777777" w:rsidR="008F125D" w:rsidRPr="000A745A" w:rsidRDefault="000A745A" w:rsidP="00463647">
      <w:pPr>
        <w:keepNext/>
        <w:widowControl w:val="0"/>
        <w:tabs>
          <w:tab w:val="clear" w:pos="567"/>
        </w:tabs>
        <w:spacing w:line="240" w:lineRule="auto"/>
        <w:ind w:left="567" w:hanging="567"/>
        <w:rPr>
          <w:color w:val="000000"/>
          <w:lang w:val="sv-SE"/>
        </w:rPr>
      </w:pPr>
      <w:r w:rsidRPr="00CF395E">
        <w:rPr>
          <w:color w:val="000000"/>
          <w:lang w:val="sv-SE"/>
        </w:rPr>
        <w:t>*</w:t>
      </w:r>
      <w:r w:rsidRPr="00CF395E">
        <w:rPr>
          <w:color w:val="000000"/>
          <w:lang w:val="sv-SE"/>
        </w:rPr>
        <w:tab/>
        <w:t xml:space="preserve">Dessa typer av </w:t>
      </w:r>
      <w:r w:rsidR="00496252">
        <w:rPr>
          <w:color w:val="000000"/>
          <w:lang w:val="sv-SE"/>
        </w:rPr>
        <w:t>biverkningar</w:t>
      </w:r>
      <w:r w:rsidRPr="00CF395E">
        <w:rPr>
          <w:color w:val="000000"/>
          <w:lang w:val="sv-SE"/>
        </w:rPr>
        <w:t xml:space="preserve"> har framförallt rapporterats </w:t>
      </w:r>
      <w:r w:rsidR="00496252">
        <w:rPr>
          <w:color w:val="000000"/>
          <w:lang w:val="sv-SE"/>
        </w:rPr>
        <w:t>baserat på erfarenhet efter introduktionen av Glivec på marknaden</w:t>
      </w:r>
      <w:r w:rsidR="00127FDA">
        <w:rPr>
          <w:color w:val="000000"/>
          <w:lang w:val="sv-SE"/>
        </w:rPr>
        <w:t>.</w:t>
      </w:r>
      <w:r w:rsidRPr="000A745A">
        <w:rPr>
          <w:color w:val="000000"/>
          <w:lang w:val="sv-SE"/>
        </w:rPr>
        <w:t xml:space="preserve"> Detta inkluderar spontana fallrapporter samt allvarliga </w:t>
      </w:r>
      <w:r w:rsidR="00496252">
        <w:rPr>
          <w:color w:val="000000"/>
          <w:lang w:val="sv-SE"/>
        </w:rPr>
        <w:t xml:space="preserve">oönskade händelser i </w:t>
      </w:r>
      <w:r w:rsidRPr="000A745A">
        <w:rPr>
          <w:color w:val="000000"/>
          <w:lang w:val="sv-SE"/>
        </w:rPr>
        <w:t xml:space="preserve">pågående studier, </w:t>
      </w:r>
      <w:r w:rsidR="0055062E">
        <w:rPr>
          <w:color w:val="000000"/>
          <w:lang w:val="sv-SE"/>
        </w:rPr>
        <w:t>expanded access program</w:t>
      </w:r>
      <w:r w:rsidRPr="000A745A">
        <w:rPr>
          <w:color w:val="000000"/>
          <w:lang w:val="sv-SE"/>
        </w:rPr>
        <w:t xml:space="preserve">, </w:t>
      </w:r>
      <w:r w:rsidRPr="00496252">
        <w:rPr>
          <w:color w:val="000000"/>
          <w:lang w:val="sv-SE"/>
        </w:rPr>
        <w:t>kliniska farmakologiska studier</w:t>
      </w:r>
      <w:r w:rsidRPr="000A745A">
        <w:rPr>
          <w:color w:val="000000"/>
          <w:lang w:val="sv-SE"/>
        </w:rPr>
        <w:t xml:space="preserve"> och forskningsstudier på icke godkända indikationer. Eftersom dessa biverkningar har rapporterats från en population av okänd storlek </w:t>
      </w:r>
      <w:r w:rsidR="00496252">
        <w:rPr>
          <w:color w:val="000000"/>
          <w:lang w:val="sv-SE"/>
        </w:rPr>
        <w:t>har det inte alltid varit möjligt att fastställa deras frekvens</w:t>
      </w:r>
      <w:r w:rsidRPr="000A745A">
        <w:rPr>
          <w:color w:val="000000"/>
          <w:lang w:val="sv-SE"/>
        </w:rPr>
        <w:t xml:space="preserve"> eller etablera </w:t>
      </w:r>
      <w:r w:rsidR="00C96D2C">
        <w:rPr>
          <w:color w:val="000000"/>
          <w:lang w:val="sv-SE"/>
        </w:rPr>
        <w:t>kausalsamband</w:t>
      </w:r>
      <w:r w:rsidRPr="000A745A">
        <w:rPr>
          <w:color w:val="000000"/>
          <w:lang w:val="sv-SE"/>
        </w:rPr>
        <w:t xml:space="preserve"> med imatinib</w:t>
      </w:r>
      <w:r w:rsidR="00C96D2C">
        <w:rPr>
          <w:color w:val="000000"/>
          <w:lang w:val="sv-SE"/>
        </w:rPr>
        <w:t>behandlingen</w:t>
      </w:r>
      <w:r w:rsidRPr="000A745A">
        <w:rPr>
          <w:color w:val="000000"/>
          <w:lang w:val="sv-SE"/>
        </w:rPr>
        <w:t>.</w:t>
      </w:r>
    </w:p>
    <w:p w14:paraId="718C23DB" w14:textId="77777777" w:rsidR="00987FDE" w:rsidRPr="00120617" w:rsidRDefault="00120617" w:rsidP="00463647">
      <w:pPr>
        <w:keepNext/>
        <w:widowControl w:val="0"/>
        <w:tabs>
          <w:tab w:val="clear" w:pos="567"/>
        </w:tabs>
        <w:spacing w:line="240" w:lineRule="auto"/>
        <w:ind w:left="567" w:hanging="567"/>
        <w:rPr>
          <w:color w:val="000000"/>
          <w:lang w:val="sv-SE"/>
        </w:rPr>
      </w:pPr>
      <w:r w:rsidRPr="00120617">
        <w:rPr>
          <w:color w:val="000000"/>
          <w:lang w:val="sv-SE"/>
        </w:rPr>
        <w:t>1</w:t>
      </w:r>
      <w:r w:rsidRPr="00120617">
        <w:rPr>
          <w:color w:val="000000"/>
          <w:lang w:val="sv-SE"/>
        </w:rPr>
        <w:tab/>
      </w:r>
      <w:r w:rsidR="00987FDE" w:rsidRPr="00120617">
        <w:rPr>
          <w:color w:val="000000"/>
          <w:lang w:val="sv-SE"/>
        </w:rPr>
        <w:t>Pneumoni rapporterades oftast hos patienter med transformerad KML och hos patienter med GIST.</w:t>
      </w:r>
    </w:p>
    <w:p w14:paraId="284869E4" w14:textId="77777777" w:rsidR="001E7D21" w:rsidRPr="00120617" w:rsidRDefault="00120617" w:rsidP="00463647">
      <w:pPr>
        <w:keepNext/>
        <w:widowControl w:val="0"/>
        <w:tabs>
          <w:tab w:val="clear" w:pos="567"/>
        </w:tabs>
        <w:spacing w:line="240" w:lineRule="auto"/>
        <w:ind w:left="567" w:hanging="567"/>
        <w:rPr>
          <w:color w:val="000000"/>
          <w:lang w:val="sv-SE"/>
        </w:rPr>
      </w:pPr>
      <w:r w:rsidRPr="00120617">
        <w:rPr>
          <w:color w:val="000000"/>
          <w:lang w:val="sv-SE"/>
        </w:rPr>
        <w:t>2</w:t>
      </w:r>
      <w:r w:rsidRPr="00120617">
        <w:rPr>
          <w:color w:val="000000"/>
          <w:lang w:val="sv-SE"/>
        </w:rPr>
        <w:tab/>
      </w:r>
      <w:r w:rsidR="001E7D21" w:rsidRPr="00120617">
        <w:rPr>
          <w:color w:val="000000"/>
          <w:lang w:val="sv-SE"/>
        </w:rPr>
        <w:t>Huvudvärk var vanligast hos patienter med GIST.</w:t>
      </w:r>
    </w:p>
    <w:p w14:paraId="7D1327DE" w14:textId="77777777" w:rsidR="00987FDE" w:rsidRPr="00120617" w:rsidRDefault="00120617" w:rsidP="00463647">
      <w:pPr>
        <w:keepNext/>
        <w:widowControl w:val="0"/>
        <w:tabs>
          <w:tab w:val="clear" w:pos="567"/>
        </w:tabs>
        <w:spacing w:line="240" w:lineRule="auto"/>
        <w:ind w:left="567" w:hanging="567"/>
        <w:rPr>
          <w:color w:val="000000"/>
          <w:lang w:val="sv-SE"/>
        </w:rPr>
      </w:pPr>
      <w:r w:rsidRPr="00120617">
        <w:rPr>
          <w:color w:val="000000"/>
          <w:lang w:val="sv-SE"/>
        </w:rPr>
        <w:t>3</w:t>
      </w:r>
      <w:r w:rsidRPr="00120617">
        <w:rPr>
          <w:color w:val="000000"/>
          <w:lang w:val="sv-SE"/>
        </w:rPr>
        <w:tab/>
      </w:r>
      <w:r w:rsidR="00987FDE" w:rsidRPr="00120617">
        <w:rPr>
          <w:color w:val="000000"/>
          <w:lang w:val="sv-SE"/>
        </w:rPr>
        <w:t>Beräknat på patientår var hjärtbiverkningar inklusive kronisk hjärtsvikt vanligare hos patienter med transformerad KML än hos patienter med kronisk KML.</w:t>
      </w:r>
    </w:p>
    <w:p w14:paraId="62ED59E5" w14:textId="77777777" w:rsidR="00987FDE" w:rsidRPr="00120617" w:rsidRDefault="00120617" w:rsidP="00463647">
      <w:pPr>
        <w:keepNext/>
        <w:widowControl w:val="0"/>
        <w:tabs>
          <w:tab w:val="clear" w:pos="567"/>
        </w:tabs>
        <w:spacing w:line="240" w:lineRule="auto"/>
        <w:ind w:left="567" w:hanging="567"/>
        <w:rPr>
          <w:color w:val="000000"/>
          <w:lang w:val="sv-SE"/>
        </w:rPr>
      </w:pPr>
      <w:r w:rsidRPr="00120617">
        <w:rPr>
          <w:color w:val="000000"/>
          <w:lang w:val="sv-SE"/>
        </w:rPr>
        <w:t>4</w:t>
      </w:r>
      <w:r w:rsidRPr="00120617">
        <w:rPr>
          <w:color w:val="000000"/>
          <w:lang w:val="sv-SE"/>
        </w:rPr>
        <w:tab/>
      </w:r>
      <w:r w:rsidR="00987FDE" w:rsidRPr="00120617">
        <w:rPr>
          <w:color w:val="000000"/>
          <w:lang w:val="sv-SE"/>
        </w:rPr>
        <w:t>Flushing var vanligast hos patienter med GIST och blödningar (hematom, hemorragi) var vanligast hos patienter med GIST och med transformerad KML (KML-AP och KML-BC).</w:t>
      </w:r>
    </w:p>
    <w:p w14:paraId="469E95E9" w14:textId="77777777" w:rsidR="00987FDE" w:rsidRPr="00120617" w:rsidRDefault="00120617" w:rsidP="00463647">
      <w:pPr>
        <w:keepNext/>
        <w:widowControl w:val="0"/>
        <w:tabs>
          <w:tab w:val="clear" w:pos="567"/>
        </w:tabs>
        <w:spacing w:line="240" w:lineRule="auto"/>
        <w:ind w:left="567" w:hanging="567"/>
        <w:rPr>
          <w:color w:val="000000"/>
          <w:lang w:val="sv-SE"/>
        </w:rPr>
      </w:pPr>
      <w:r w:rsidRPr="00120617">
        <w:rPr>
          <w:color w:val="000000"/>
          <w:lang w:val="sv-SE"/>
        </w:rPr>
        <w:t>5</w:t>
      </w:r>
      <w:r w:rsidRPr="00120617">
        <w:rPr>
          <w:color w:val="000000"/>
          <w:lang w:val="sv-SE"/>
        </w:rPr>
        <w:tab/>
      </w:r>
      <w:r w:rsidR="00987FDE" w:rsidRPr="00120617">
        <w:rPr>
          <w:color w:val="000000"/>
          <w:lang w:val="sv-SE"/>
        </w:rPr>
        <w:t>Pleurautgjutning rapporterades oftare för patienter med GIST eller transformerad KML (KML-AP och KML-BC) än för patienter med kronisk KML.</w:t>
      </w:r>
    </w:p>
    <w:p w14:paraId="4CE9DED1" w14:textId="77777777" w:rsidR="00987FDE" w:rsidRPr="00120617" w:rsidRDefault="00987FDE" w:rsidP="00463647">
      <w:pPr>
        <w:keepNext/>
        <w:widowControl w:val="0"/>
        <w:tabs>
          <w:tab w:val="clear" w:pos="567"/>
        </w:tabs>
        <w:spacing w:line="240" w:lineRule="auto"/>
        <w:ind w:left="567" w:hanging="567"/>
        <w:rPr>
          <w:color w:val="000000"/>
          <w:lang w:val="sv-SE"/>
        </w:rPr>
      </w:pPr>
      <w:r w:rsidRPr="00120617">
        <w:rPr>
          <w:color w:val="000000"/>
          <w:lang w:val="sv-SE"/>
        </w:rPr>
        <w:t>6+7</w:t>
      </w:r>
      <w:r w:rsidR="001E7D21" w:rsidRPr="00120617">
        <w:rPr>
          <w:color w:val="000000"/>
          <w:lang w:val="sv-SE"/>
        </w:rPr>
        <w:tab/>
      </w:r>
      <w:r w:rsidRPr="00120617">
        <w:rPr>
          <w:color w:val="000000"/>
          <w:lang w:val="sv-SE"/>
        </w:rPr>
        <w:t>Buksmärta och gastrointestinal blödning sågs oftare hos patienter med GIST.</w:t>
      </w:r>
    </w:p>
    <w:p w14:paraId="4315C33B" w14:textId="77777777" w:rsidR="00987FDE" w:rsidRPr="00120617" w:rsidRDefault="00987FDE" w:rsidP="00463647">
      <w:pPr>
        <w:keepNext/>
        <w:widowControl w:val="0"/>
        <w:tabs>
          <w:tab w:val="clear" w:pos="567"/>
        </w:tabs>
        <w:spacing w:line="240" w:lineRule="auto"/>
        <w:ind w:left="567" w:hanging="567"/>
        <w:rPr>
          <w:color w:val="000000"/>
          <w:lang w:val="sv-SE"/>
        </w:rPr>
      </w:pPr>
      <w:r w:rsidRPr="00120617">
        <w:rPr>
          <w:color w:val="000000"/>
          <w:lang w:val="sv-SE"/>
        </w:rPr>
        <w:t>8</w:t>
      </w:r>
      <w:r w:rsidRPr="00120617">
        <w:rPr>
          <w:color w:val="000000"/>
          <w:lang w:val="sv-SE"/>
        </w:rPr>
        <w:tab/>
        <w:t>Ett antal dödsfall i leversvikt och levernekros har rapporterats.</w:t>
      </w:r>
    </w:p>
    <w:p w14:paraId="34EF76F7" w14:textId="5D919AC1" w:rsidR="00B468B3" w:rsidRDefault="00987FDE" w:rsidP="00463647">
      <w:pPr>
        <w:keepNext/>
        <w:widowControl w:val="0"/>
        <w:spacing w:line="240" w:lineRule="auto"/>
        <w:ind w:left="567" w:hanging="567"/>
        <w:rPr>
          <w:color w:val="000000"/>
          <w:lang w:val="sv-SE"/>
        </w:rPr>
      </w:pPr>
      <w:r w:rsidRPr="00120617">
        <w:rPr>
          <w:color w:val="000000"/>
          <w:lang w:val="sv-SE"/>
        </w:rPr>
        <w:t>9</w:t>
      </w:r>
      <w:r w:rsidRPr="00120617">
        <w:rPr>
          <w:color w:val="000000"/>
          <w:lang w:val="sv-SE"/>
        </w:rPr>
        <w:tab/>
      </w:r>
      <w:r w:rsidR="00B468B3">
        <w:rPr>
          <w:color w:val="000000"/>
          <w:lang w:val="sv-SE"/>
        </w:rPr>
        <w:t xml:space="preserve">Muskel- och skelettsmärta under </w:t>
      </w:r>
      <w:r w:rsidR="002D12D6">
        <w:rPr>
          <w:color w:val="000000"/>
          <w:lang w:val="sv-SE"/>
        </w:rPr>
        <w:t xml:space="preserve">behandling eller efter avslutad behandling med imatinib har observerats efter </w:t>
      </w:r>
      <w:r w:rsidR="00453D31">
        <w:rPr>
          <w:color w:val="000000"/>
          <w:lang w:val="sv-SE"/>
        </w:rPr>
        <w:t>marknadsintroduktion</w:t>
      </w:r>
      <w:r w:rsidR="002D12D6">
        <w:rPr>
          <w:color w:val="000000"/>
          <w:lang w:val="sv-SE"/>
        </w:rPr>
        <w:t>.</w:t>
      </w:r>
    </w:p>
    <w:p w14:paraId="61B3B4F9" w14:textId="77777777" w:rsidR="00987FDE" w:rsidRDefault="00B468B3" w:rsidP="00463647">
      <w:pPr>
        <w:keepNext/>
        <w:widowControl w:val="0"/>
        <w:spacing w:line="240" w:lineRule="auto"/>
        <w:ind w:left="567" w:hanging="567"/>
        <w:rPr>
          <w:color w:val="000000"/>
          <w:lang w:val="sv-SE"/>
        </w:rPr>
      </w:pPr>
      <w:r>
        <w:rPr>
          <w:color w:val="000000"/>
          <w:lang w:val="sv-SE"/>
        </w:rPr>
        <w:t>10</w:t>
      </w:r>
      <w:r>
        <w:rPr>
          <w:color w:val="000000"/>
          <w:lang w:val="sv-SE"/>
        </w:rPr>
        <w:tab/>
      </w:r>
      <w:r w:rsidR="00987FDE" w:rsidRPr="00120617">
        <w:rPr>
          <w:color w:val="000000"/>
          <w:lang w:val="sv-SE"/>
        </w:rPr>
        <w:t>Muskel- och skelettsmärta och besläktade biverkningar sågs oftare hos patienter med KML än hos patient</w:t>
      </w:r>
      <w:r w:rsidR="00987FDE" w:rsidRPr="000E7AE9">
        <w:rPr>
          <w:color w:val="000000"/>
          <w:lang w:val="sv-SE"/>
        </w:rPr>
        <w:t>er med GIST.</w:t>
      </w:r>
    </w:p>
    <w:p w14:paraId="4632AD17" w14:textId="77777777" w:rsidR="00496252" w:rsidRPr="000E7AE9" w:rsidRDefault="00B468B3" w:rsidP="00463647">
      <w:pPr>
        <w:keepLines/>
        <w:widowControl w:val="0"/>
        <w:spacing w:line="240" w:lineRule="auto"/>
        <w:ind w:left="567" w:hanging="567"/>
        <w:rPr>
          <w:color w:val="000000"/>
          <w:lang w:val="sv-SE"/>
        </w:rPr>
      </w:pPr>
      <w:r>
        <w:rPr>
          <w:color w:val="000000"/>
          <w:lang w:val="sv-SE"/>
        </w:rPr>
        <w:t>11</w:t>
      </w:r>
      <w:r w:rsidR="00496252">
        <w:rPr>
          <w:color w:val="000000"/>
          <w:lang w:val="sv-SE"/>
        </w:rPr>
        <w:tab/>
      </w:r>
      <w:r w:rsidR="00496252" w:rsidRPr="00496252">
        <w:rPr>
          <w:color w:val="000000"/>
          <w:lang w:val="sv-SE"/>
        </w:rPr>
        <w:t>Fall med dödlig utgång har rapporterats hos patienter med framskriden sjukdom, allvarliga infektioner, kraftig neutropeni och andra allvarliga samtidiga sjukdomar</w:t>
      </w:r>
      <w:r w:rsidR="00496252">
        <w:rPr>
          <w:color w:val="000000"/>
          <w:lang w:val="sv-SE"/>
        </w:rPr>
        <w:t>.</w:t>
      </w:r>
    </w:p>
    <w:p w14:paraId="21273621" w14:textId="77777777" w:rsidR="00987FDE" w:rsidRPr="000E7AE9" w:rsidRDefault="00987FDE" w:rsidP="00463647">
      <w:pPr>
        <w:widowControl w:val="0"/>
        <w:tabs>
          <w:tab w:val="clear" w:pos="567"/>
        </w:tabs>
        <w:spacing w:line="240" w:lineRule="auto"/>
        <w:rPr>
          <w:color w:val="000000"/>
          <w:lang w:val="sv-SE"/>
        </w:rPr>
      </w:pPr>
    </w:p>
    <w:p w14:paraId="7854639B" w14:textId="77777777" w:rsidR="007C7ADA" w:rsidRPr="007C7ADA" w:rsidRDefault="00620ABA" w:rsidP="00463647">
      <w:pPr>
        <w:keepNext/>
        <w:widowControl w:val="0"/>
        <w:spacing w:line="240" w:lineRule="auto"/>
        <w:rPr>
          <w:color w:val="000000"/>
          <w:szCs w:val="22"/>
          <w:u w:val="single"/>
          <w:lang w:val="sv-SE"/>
        </w:rPr>
      </w:pPr>
      <w:r w:rsidRPr="000E7AE9">
        <w:rPr>
          <w:color w:val="000000"/>
          <w:szCs w:val="22"/>
          <w:u w:val="single"/>
          <w:lang w:val="sv-SE"/>
        </w:rPr>
        <w:t>Avvikelser i laboratorieundersökningar:</w:t>
      </w:r>
    </w:p>
    <w:p w14:paraId="587E266C" w14:textId="77777777" w:rsidR="00620ABA" w:rsidRPr="000E7AE9" w:rsidRDefault="00620ABA" w:rsidP="00463647">
      <w:pPr>
        <w:keepNext/>
        <w:widowControl w:val="0"/>
        <w:spacing w:line="240" w:lineRule="auto"/>
        <w:rPr>
          <w:i/>
          <w:color w:val="000000"/>
          <w:szCs w:val="22"/>
          <w:lang w:val="sv-SE"/>
        </w:rPr>
      </w:pPr>
      <w:r w:rsidRPr="000E7AE9">
        <w:rPr>
          <w:i/>
          <w:color w:val="000000"/>
          <w:szCs w:val="22"/>
          <w:lang w:val="sv-SE"/>
        </w:rPr>
        <w:t>Hematologi</w:t>
      </w:r>
    </w:p>
    <w:p w14:paraId="7A94D379"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 xml:space="preserve">I KML har cytopenier, särskilt neutropeni och trombocytopeni, varit ett genomgående fynd i alla studier och frekvensen tycks öka vid höga doser </w:t>
      </w:r>
      <w:r w:rsidRPr="000E7AE9">
        <w:rPr>
          <w:color w:val="000000"/>
          <w:sz w:val="22"/>
          <w:szCs w:val="22"/>
          <w:lang w:val="sv-SE"/>
        </w:rPr>
        <w:sym w:font="Symbol" w:char="F0B3"/>
      </w:r>
      <w:r w:rsidRPr="000E7AE9">
        <w:rPr>
          <w:color w:val="000000"/>
          <w:sz w:val="22"/>
          <w:szCs w:val="22"/>
          <w:lang w:val="sv-SE"/>
        </w:rPr>
        <w:t> 750 mg (fas I-studie). Dock var förekomst av cytopeni klart beroende av sjukdomens stadium. Förekomsten av neutropeni av grad 3 eller 4 (ANC &lt; 1,0 x 10</w:t>
      </w:r>
      <w:r w:rsidRPr="000E7AE9">
        <w:rPr>
          <w:color w:val="000000"/>
          <w:sz w:val="22"/>
          <w:szCs w:val="22"/>
          <w:vertAlign w:val="superscript"/>
          <w:lang w:val="sv-SE"/>
        </w:rPr>
        <w:t>9</w:t>
      </w:r>
      <w:r w:rsidRPr="000E7AE9">
        <w:rPr>
          <w:color w:val="000000"/>
          <w:sz w:val="22"/>
          <w:szCs w:val="22"/>
          <w:lang w:val="sv-SE"/>
        </w:rPr>
        <w:t>/l) och trombocytopeni (trombocytnivåer &lt; 50 x 10</w:t>
      </w:r>
      <w:r w:rsidRPr="000E7AE9">
        <w:rPr>
          <w:color w:val="000000"/>
          <w:sz w:val="22"/>
          <w:szCs w:val="22"/>
          <w:vertAlign w:val="superscript"/>
          <w:lang w:val="sv-SE"/>
        </w:rPr>
        <w:t>9</w:t>
      </w:r>
      <w:r w:rsidRPr="000E7AE9">
        <w:rPr>
          <w:color w:val="000000"/>
          <w:sz w:val="22"/>
          <w:szCs w:val="22"/>
          <w:lang w:val="sv-SE"/>
        </w:rPr>
        <w:t>/l) var 4 till 6 gånger högre vid blastkris och i accelererad fas (59–64</w:t>
      </w:r>
      <w:r w:rsidR="00370A4C">
        <w:rPr>
          <w:color w:val="000000"/>
          <w:sz w:val="22"/>
          <w:szCs w:val="22"/>
          <w:lang w:val="sv-SE"/>
        </w:rPr>
        <w:t> </w:t>
      </w:r>
      <w:r w:rsidRPr="000E7AE9">
        <w:rPr>
          <w:color w:val="000000"/>
          <w:sz w:val="22"/>
          <w:szCs w:val="22"/>
          <w:lang w:val="sv-SE"/>
        </w:rPr>
        <w:t>% respektive 44–63</w:t>
      </w:r>
      <w:r w:rsidR="00370A4C">
        <w:rPr>
          <w:color w:val="000000"/>
          <w:sz w:val="22"/>
          <w:szCs w:val="22"/>
          <w:lang w:val="sv-SE"/>
        </w:rPr>
        <w:t> </w:t>
      </w:r>
      <w:r w:rsidRPr="000E7AE9">
        <w:rPr>
          <w:color w:val="000000"/>
          <w:sz w:val="22"/>
          <w:szCs w:val="22"/>
          <w:lang w:val="sv-SE"/>
        </w:rPr>
        <w:t>% för neutropeni och trombocytopeni) än hos patienter med nyligen diagnostiserad KML i kronisk fas (16,7</w:t>
      </w:r>
      <w:r w:rsidR="00370A4C">
        <w:rPr>
          <w:color w:val="000000"/>
          <w:sz w:val="22"/>
          <w:szCs w:val="22"/>
          <w:lang w:val="sv-SE"/>
        </w:rPr>
        <w:t> </w:t>
      </w:r>
      <w:r w:rsidRPr="000E7AE9">
        <w:rPr>
          <w:color w:val="000000"/>
          <w:sz w:val="22"/>
          <w:szCs w:val="22"/>
          <w:lang w:val="sv-SE"/>
        </w:rPr>
        <w:t>% neutropeni och 8,9</w:t>
      </w:r>
      <w:r w:rsidR="00370A4C">
        <w:rPr>
          <w:color w:val="000000"/>
          <w:sz w:val="22"/>
          <w:szCs w:val="22"/>
          <w:lang w:val="sv-SE"/>
        </w:rPr>
        <w:t> </w:t>
      </w:r>
      <w:r w:rsidRPr="000E7AE9">
        <w:rPr>
          <w:color w:val="000000"/>
          <w:sz w:val="22"/>
          <w:szCs w:val="22"/>
          <w:lang w:val="sv-SE"/>
        </w:rPr>
        <w:t>% trombocytopeni). Hos patienter med nyligen diagnostiserad KML i kronisk fas observerades neutropeni av grad 4 (ANC &lt; 0,5 x 10</w:t>
      </w:r>
      <w:r w:rsidRPr="000E7AE9">
        <w:rPr>
          <w:color w:val="000000"/>
          <w:sz w:val="22"/>
          <w:szCs w:val="22"/>
          <w:vertAlign w:val="superscript"/>
          <w:lang w:val="sv-SE"/>
        </w:rPr>
        <w:t>9</w:t>
      </w:r>
      <w:r w:rsidRPr="000E7AE9">
        <w:rPr>
          <w:color w:val="000000"/>
          <w:sz w:val="22"/>
          <w:szCs w:val="22"/>
          <w:lang w:val="sv-SE"/>
        </w:rPr>
        <w:t>/l) och trombocytopeni (trombocyter &lt; 10 x 10</w:t>
      </w:r>
      <w:r w:rsidRPr="000E7AE9">
        <w:rPr>
          <w:color w:val="000000"/>
          <w:sz w:val="22"/>
          <w:szCs w:val="22"/>
          <w:vertAlign w:val="superscript"/>
          <w:lang w:val="sv-SE"/>
        </w:rPr>
        <w:t>9</w:t>
      </w:r>
      <w:r w:rsidRPr="000E7AE9">
        <w:rPr>
          <w:color w:val="000000"/>
          <w:sz w:val="22"/>
          <w:szCs w:val="22"/>
          <w:lang w:val="sv-SE"/>
        </w:rPr>
        <w:t>/l) hos 3,6</w:t>
      </w:r>
      <w:r w:rsidR="00370A4C">
        <w:rPr>
          <w:color w:val="000000"/>
          <w:sz w:val="22"/>
          <w:szCs w:val="22"/>
          <w:lang w:val="sv-SE"/>
        </w:rPr>
        <w:t> </w:t>
      </w:r>
      <w:r w:rsidRPr="000E7AE9">
        <w:rPr>
          <w:color w:val="000000"/>
          <w:sz w:val="22"/>
          <w:szCs w:val="22"/>
          <w:lang w:val="sv-SE"/>
        </w:rPr>
        <w:t>% respektive &lt; 1</w:t>
      </w:r>
      <w:r w:rsidR="00370A4C">
        <w:rPr>
          <w:color w:val="000000"/>
          <w:sz w:val="22"/>
          <w:szCs w:val="22"/>
          <w:lang w:val="sv-SE"/>
        </w:rPr>
        <w:t> </w:t>
      </w:r>
      <w:r w:rsidRPr="000E7AE9">
        <w:rPr>
          <w:color w:val="000000"/>
          <w:sz w:val="22"/>
          <w:szCs w:val="22"/>
          <w:lang w:val="sv-SE"/>
        </w:rPr>
        <w:t>% av patienterna. Mediandurationen av de neutropena och trombocytopena episoderna var vanligtvis 2 till 3 veckor respektive 3 till 4 veckor. Dessa händelser kan vanligen åtgärdas med antingen dosminskning eller uppehåll av Glivec-behandlingen. Endast i sällsynta fall kan det krävas permanent behandlingsavbrott. Hos barn med KML observerades de mest frekventa toxiciteterna vara grad 3- eller grad 4-cytopenier innefattande neutropenier, trombocytopenier och anemier. Dessa uppträder i allmänhet inom de första behandlingsmånaderna.</w:t>
      </w:r>
    </w:p>
    <w:p w14:paraId="3A81CBC8" w14:textId="77777777" w:rsidR="00D17AB6" w:rsidRPr="000E7AE9" w:rsidRDefault="00D17AB6" w:rsidP="00463647">
      <w:pPr>
        <w:pStyle w:val="TextChar"/>
        <w:widowControl w:val="0"/>
        <w:spacing w:before="0"/>
        <w:jc w:val="left"/>
        <w:rPr>
          <w:color w:val="000000"/>
          <w:sz w:val="22"/>
          <w:szCs w:val="22"/>
          <w:lang w:val="sv-SE"/>
        </w:rPr>
      </w:pPr>
    </w:p>
    <w:p w14:paraId="20739731" w14:textId="77777777" w:rsidR="00620ABA" w:rsidRPr="000E7AE9" w:rsidRDefault="00D17AB6" w:rsidP="00463647">
      <w:pPr>
        <w:pStyle w:val="TextChar"/>
        <w:widowControl w:val="0"/>
        <w:spacing w:before="0"/>
        <w:jc w:val="left"/>
        <w:rPr>
          <w:color w:val="000000"/>
          <w:sz w:val="22"/>
          <w:szCs w:val="22"/>
          <w:lang w:val="sv-SE"/>
        </w:rPr>
      </w:pPr>
      <w:r>
        <w:rPr>
          <w:color w:val="000000"/>
          <w:sz w:val="22"/>
          <w:szCs w:val="22"/>
          <w:lang w:val="sv-SE"/>
        </w:rPr>
        <w:t>I studien på patienter med icke-resercerbar och/eller metastaserande</w:t>
      </w:r>
      <w:r w:rsidRPr="000E7AE9">
        <w:rPr>
          <w:color w:val="000000"/>
          <w:sz w:val="22"/>
          <w:szCs w:val="22"/>
          <w:lang w:val="sv-SE"/>
        </w:rPr>
        <w:t xml:space="preserve"> GIST</w:t>
      </w:r>
      <w:r w:rsidR="00620ABA" w:rsidRPr="000E7AE9">
        <w:rPr>
          <w:color w:val="000000"/>
          <w:sz w:val="22"/>
          <w:szCs w:val="22"/>
          <w:lang w:val="sv-SE"/>
        </w:rPr>
        <w:t xml:space="preserve"> rapporterades anemier av grad 3 och 4 hos 5,4</w:t>
      </w:r>
      <w:r w:rsidR="00370A4C">
        <w:rPr>
          <w:color w:val="000000"/>
          <w:sz w:val="22"/>
          <w:szCs w:val="22"/>
          <w:lang w:val="sv-SE"/>
        </w:rPr>
        <w:t> </w:t>
      </w:r>
      <w:r w:rsidR="00620ABA" w:rsidRPr="000E7AE9">
        <w:rPr>
          <w:color w:val="000000"/>
          <w:sz w:val="22"/>
          <w:szCs w:val="22"/>
          <w:lang w:val="sv-SE"/>
        </w:rPr>
        <w:t>% respektive 0,7</w:t>
      </w:r>
      <w:r w:rsidR="00370A4C">
        <w:rPr>
          <w:color w:val="000000"/>
          <w:sz w:val="22"/>
          <w:szCs w:val="22"/>
          <w:lang w:val="sv-SE"/>
        </w:rPr>
        <w:t> </w:t>
      </w:r>
      <w:r w:rsidR="00620ABA" w:rsidRPr="000E7AE9">
        <w:rPr>
          <w:color w:val="000000"/>
          <w:sz w:val="22"/>
          <w:szCs w:val="22"/>
          <w:lang w:val="sv-SE"/>
        </w:rPr>
        <w:t>% av patienterna. Detta kan ha varit relaterat till gastrointestinal eller intra-tumoral blödning hos åtminstone några av dessa patienter. Neutropenier av grad 3 och 4 sågs hos 7,5</w:t>
      </w:r>
      <w:r w:rsidR="00370A4C">
        <w:rPr>
          <w:color w:val="000000"/>
          <w:sz w:val="22"/>
          <w:szCs w:val="22"/>
          <w:lang w:val="sv-SE"/>
        </w:rPr>
        <w:t> </w:t>
      </w:r>
      <w:r w:rsidR="00620ABA" w:rsidRPr="000E7AE9">
        <w:rPr>
          <w:color w:val="000000"/>
          <w:sz w:val="22"/>
          <w:szCs w:val="22"/>
          <w:lang w:val="sv-SE"/>
        </w:rPr>
        <w:t>% respektive 2,7</w:t>
      </w:r>
      <w:r w:rsidR="00370A4C">
        <w:rPr>
          <w:color w:val="000000"/>
          <w:sz w:val="22"/>
          <w:szCs w:val="22"/>
          <w:lang w:val="sv-SE"/>
        </w:rPr>
        <w:t> </w:t>
      </w:r>
      <w:r w:rsidR="00620ABA" w:rsidRPr="000E7AE9">
        <w:rPr>
          <w:color w:val="000000"/>
          <w:sz w:val="22"/>
          <w:szCs w:val="22"/>
          <w:lang w:val="sv-SE"/>
        </w:rPr>
        <w:t>% av patienterna och trombocytopeni av grad 3 hos 0,7</w:t>
      </w:r>
      <w:r w:rsidR="00370A4C">
        <w:rPr>
          <w:color w:val="000000"/>
          <w:sz w:val="22"/>
          <w:szCs w:val="22"/>
          <w:lang w:val="sv-SE"/>
        </w:rPr>
        <w:t> </w:t>
      </w:r>
      <w:r w:rsidR="00620ABA" w:rsidRPr="000E7AE9">
        <w:rPr>
          <w:color w:val="000000"/>
          <w:sz w:val="22"/>
          <w:szCs w:val="22"/>
          <w:lang w:val="sv-SE"/>
        </w:rPr>
        <w:t>% av patienterna. Ingen patient utvecklade trombocytopeni av grad 4. Minskningen i vita blodkroppar (WBC) och antal neutrofiler uppstod huvudsakligen under de första sex veckorna av behandlingen och med relativt stabila värden därefter.</w:t>
      </w:r>
    </w:p>
    <w:p w14:paraId="0D7BFCFC" w14:textId="77777777" w:rsidR="00620ABA" w:rsidRPr="000E7AE9" w:rsidRDefault="00620ABA" w:rsidP="00463647">
      <w:pPr>
        <w:pStyle w:val="TextChar"/>
        <w:widowControl w:val="0"/>
        <w:spacing w:before="0"/>
        <w:jc w:val="left"/>
        <w:rPr>
          <w:color w:val="000000"/>
          <w:sz w:val="22"/>
          <w:szCs w:val="22"/>
          <w:lang w:val="sv-SE"/>
        </w:rPr>
      </w:pPr>
    </w:p>
    <w:p w14:paraId="68A4FC47" w14:textId="77777777" w:rsidR="00620ABA" w:rsidRPr="000E7AE9" w:rsidRDefault="00620ABA" w:rsidP="00463647">
      <w:pPr>
        <w:pStyle w:val="TextChar"/>
        <w:keepNext/>
        <w:widowControl w:val="0"/>
        <w:spacing w:before="0"/>
        <w:jc w:val="left"/>
        <w:rPr>
          <w:i/>
          <w:color w:val="000000"/>
          <w:sz w:val="22"/>
          <w:szCs w:val="22"/>
          <w:lang w:val="sv-SE"/>
        </w:rPr>
      </w:pPr>
      <w:r w:rsidRPr="000E7AE9">
        <w:rPr>
          <w:i/>
          <w:color w:val="000000"/>
          <w:sz w:val="22"/>
          <w:szCs w:val="22"/>
          <w:lang w:val="sv-SE"/>
        </w:rPr>
        <w:lastRenderedPageBreak/>
        <w:t>Biokemi</w:t>
      </w:r>
    </w:p>
    <w:p w14:paraId="1C6F1A7E"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 xml:space="preserve">Kraftig förhöjning av transaminaser </w:t>
      </w:r>
      <w:r w:rsidR="0041261E" w:rsidRPr="000E7AE9">
        <w:rPr>
          <w:color w:val="000000"/>
          <w:sz w:val="22"/>
          <w:szCs w:val="22"/>
          <w:lang w:val="sv-SE"/>
        </w:rPr>
        <w:t>(&lt;</w:t>
      </w:r>
      <w:r w:rsidR="00C9040C" w:rsidRPr="000E7AE9">
        <w:rPr>
          <w:color w:val="000000"/>
          <w:sz w:val="22"/>
          <w:szCs w:val="22"/>
          <w:lang w:val="sv-SE"/>
        </w:rPr>
        <w:t> </w:t>
      </w:r>
      <w:r w:rsidR="0041261E" w:rsidRPr="000E7AE9">
        <w:rPr>
          <w:color w:val="000000"/>
          <w:sz w:val="22"/>
          <w:szCs w:val="22"/>
          <w:lang w:val="sv-SE"/>
        </w:rPr>
        <w:t>5</w:t>
      </w:r>
      <w:r w:rsidR="00370A4C">
        <w:rPr>
          <w:color w:val="000000"/>
          <w:sz w:val="22"/>
          <w:szCs w:val="22"/>
          <w:lang w:val="sv-SE"/>
        </w:rPr>
        <w:t> </w:t>
      </w:r>
      <w:r w:rsidR="0041261E" w:rsidRPr="000E7AE9">
        <w:rPr>
          <w:color w:val="000000"/>
          <w:sz w:val="22"/>
          <w:szCs w:val="22"/>
          <w:lang w:val="sv-SE"/>
        </w:rPr>
        <w:t xml:space="preserve">%) </w:t>
      </w:r>
      <w:r w:rsidRPr="000E7AE9">
        <w:rPr>
          <w:color w:val="000000"/>
          <w:sz w:val="22"/>
          <w:szCs w:val="22"/>
          <w:lang w:val="sv-SE"/>
        </w:rPr>
        <w:t>eller bilirubin</w:t>
      </w:r>
      <w:r w:rsidR="0041261E" w:rsidRPr="000E7AE9">
        <w:rPr>
          <w:color w:val="000000"/>
          <w:sz w:val="22"/>
          <w:szCs w:val="22"/>
          <w:lang w:val="sv-SE"/>
        </w:rPr>
        <w:t xml:space="preserve"> (&lt;</w:t>
      </w:r>
      <w:r w:rsidR="00C9040C" w:rsidRPr="000E7AE9">
        <w:rPr>
          <w:color w:val="000000"/>
          <w:sz w:val="22"/>
          <w:szCs w:val="22"/>
          <w:lang w:val="sv-SE"/>
        </w:rPr>
        <w:t> </w:t>
      </w:r>
      <w:r w:rsidR="0041261E" w:rsidRPr="000E7AE9">
        <w:rPr>
          <w:color w:val="000000"/>
          <w:sz w:val="22"/>
          <w:szCs w:val="22"/>
          <w:lang w:val="sv-SE"/>
        </w:rPr>
        <w:t>1</w:t>
      </w:r>
      <w:r w:rsidR="00370A4C">
        <w:rPr>
          <w:color w:val="000000"/>
          <w:sz w:val="22"/>
          <w:szCs w:val="22"/>
          <w:lang w:val="sv-SE"/>
        </w:rPr>
        <w:t> </w:t>
      </w:r>
      <w:r w:rsidR="0041261E" w:rsidRPr="000E7AE9">
        <w:rPr>
          <w:color w:val="000000"/>
          <w:sz w:val="22"/>
          <w:szCs w:val="22"/>
          <w:lang w:val="sv-SE"/>
        </w:rPr>
        <w:t>%) sågs hos</w:t>
      </w:r>
      <w:r w:rsidRPr="000E7AE9">
        <w:rPr>
          <w:color w:val="000000"/>
          <w:sz w:val="22"/>
          <w:szCs w:val="22"/>
          <w:lang w:val="sv-SE"/>
        </w:rPr>
        <w:t xml:space="preserve"> KML-patienterna och kunde vanligen åtgärdas genom dosreduktion eller behandlingsuppehåll (mediandurationen av dessa episoder var ungefär en vecka). Behandlingen avbröts permanent på grund av </w:t>
      </w:r>
      <w:r w:rsidR="001D64E2">
        <w:rPr>
          <w:color w:val="000000"/>
          <w:sz w:val="22"/>
          <w:szCs w:val="22"/>
          <w:lang w:val="sv-SE"/>
        </w:rPr>
        <w:t>avvikande värden på</w:t>
      </w:r>
      <w:r w:rsidR="001D64E2" w:rsidRPr="000E7AE9">
        <w:rPr>
          <w:color w:val="000000"/>
          <w:sz w:val="22"/>
          <w:szCs w:val="22"/>
          <w:lang w:val="sv-SE"/>
        </w:rPr>
        <w:t xml:space="preserve"> </w:t>
      </w:r>
      <w:r w:rsidRPr="000E7AE9">
        <w:rPr>
          <w:color w:val="000000"/>
          <w:sz w:val="22"/>
          <w:szCs w:val="22"/>
          <w:lang w:val="sv-SE"/>
        </w:rPr>
        <w:t>leverprover hos mindre än 1</w:t>
      </w:r>
      <w:r w:rsidR="00370A4C">
        <w:rPr>
          <w:color w:val="000000"/>
          <w:sz w:val="22"/>
          <w:szCs w:val="22"/>
          <w:lang w:val="sv-SE"/>
        </w:rPr>
        <w:t> </w:t>
      </w:r>
      <w:r w:rsidRPr="000E7AE9">
        <w:rPr>
          <w:color w:val="000000"/>
          <w:sz w:val="22"/>
          <w:szCs w:val="22"/>
          <w:lang w:val="sv-SE"/>
        </w:rPr>
        <w:t>% av KML-patienterna. Hos GIST-patienter (studie B2222), observerades 6,8</w:t>
      </w:r>
      <w:r w:rsidR="00370A4C">
        <w:rPr>
          <w:color w:val="000000"/>
          <w:sz w:val="22"/>
          <w:szCs w:val="22"/>
          <w:lang w:val="sv-SE"/>
        </w:rPr>
        <w:t> </w:t>
      </w:r>
      <w:r w:rsidRPr="000E7AE9">
        <w:rPr>
          <w:color w:val="000000"/>
          <w:sz w:val="22"/>
          <w:szCs w:val="22"/>
          <w:lang w:val="sv-SE"/>
        </w:rPr>
        <w:t>% ALAT(alaninaminotransferas)-förhöjningar av grad 3 eller 4 och 4,8</w:t>
      </w:r>
      <w:r w:rsidR="00370A4C">
        <w:rPr>
          <w:color w:val="000000"/>
          <w:sz w:val="22"/>
          <w:szCs w:val="22"/>
          <w:lang w:val="sv-SE"/>
        </w:rPr>
        <w:t> </w:t>
      </w:r>
      <w:r w:rsidRPr="000E7AE9">
        <w:rPr>
          <w:color w:val="000000"/>
          <w:sz w:val="22"/>
          <w:szCs w:val="22"/>
          <w:lang w:val="sv-SE"/>
        </w:rPr>
        <w:t>% ASAT(aspartataminotransferas)-förhöjningar av grad 3 eller 4. Förhöjning av bilirubin var under 3</w:t>
      </w:r>
      <w:r w:rsidR="00370A4C">
        <w:rPr>
          <w:color w:val="000000"/>
          <w:sz w:val="22"/>
          <w:szCs w:val="22"/>
          <w:lang w:val="sv-SE"/>
        </w:rPr>
        <w:t> </w:t>
      </w:r>
      <w:r w:rsidRPr="000E7AE9">
        <w:rPr>
          <w:color w:val="000000"/>
          <w:sz w:val="22"/>
          <w:szCs w:val="22"/>
          <w:lang w:val="sv-SE"/>
        </w:rPr>
        <w:t>%.</w:t>
      </w:r>
    </w:p>
    <w:p w14:paraId="6D58206C" w14:textId="77777777" w:rsidR="00620ABA" w:rsidRPr="000E7AE9" w:rsidRDefault="00620ABA" w:rsidP="00463647">
      <w:pPr>
        <w:pStyle w:val="TextChar"/>
        <w:widowControl w:val="0"/>
        <w:spacing w:before="0"/>
        <w:jc w:val="left"/>
        <w:rPr>
          <w:color w:val="000000"/>
          <w:sz w:val="22"/>
          <w:szCs w:val="22"/>
          <w:lang w:val="sv-SE"/>
        </w:rPr>
      </w:pPr>
    </w:p>
    <w:p w14:paraId="68E0C877" w14:textId="77777777" w:rsidR="00620ABA" w:rsidRDefault="00620ABA" w:rsidP="00463647">
      <w:pPr>
        <w:pStyle w:val="TextChar"/>
        <w:widowControl w:val="0"/>
        <w:spacing w:before="0"/>
        <w:jc w:val="left"/>
        <w:rPr>
          <w:color w:val="000000"/>
          <w:sz w:val="22"/>
          <w:szCs w:val="22"/>
          <w:lang w:val="sv-SE"/>
        </w:rPr>
      </w:pPr>
      <w:r w:rsidRPr="000E7AE9">
        <w:rPr>
          <w:color w:val="000000"/>
          <w:sz w:val="22"/>
          <w:szCs w:val="22"/>
          <w:lang w:val="sv-SE"/>
        </w:rPr>
        <w:t>Det har förekommit fall av cytolytisk och kolestatisk hepatit och leversvikt, som i något fall var dödligt, inklusive en patient behandlad med högdos paracetamol.</w:t>
      </w:r>
    </w:p>
    <w:p w14:paraId="1277798A" w14:textId="77777777" w:rsidR="0023611A" w:rsidRDefault="0023611A" w:rsidP="00463647">
      <w:pPr>
        <w:pStyle w:val="TextChar"/>
        <w:widowControl w:val="0"/>
        <w:spacing w:before="0"/>
        <w:jc w:val="left"/>
        <w:rPr>
          <w:color w:val="000000"/>
          <w:sz w:val="22"/>
          <w:szCs w:val="22"/>
          <w:lang w:val="sv-SE"/>
        </w:rPr>
      </w:pPr>
    </w:p>
    <w:p w14:paraId="0C7E63B9" w14:textId="77777777" w:rsidR="0023611A" w:rsidRDefault="0023611A" w:rsidP="00463647">
      <w:pPr>
        <w:pStyle w:val="TextChar"/>
        <w:keepNext/>
        <w:widowControl w:val="0"/>
        <w:spacing w:before="0"/>
        <w:jc w:val="left"/>
        <w:rPr>
          <w:color w:val="000000"/>
          <w:sz w:val="22"/>
          <w:szCs w:val="22"/>
          <w:u w:val="single"/>
          <w:lang w:val="sv-SE"/>
        </w:rPr>
      </w:pPr>
      <w:r>
        <w:rPr>
          <w:color w:val="000000"/>
          <w:sz w:val="22"/>
          <w:szCs w:val="22"/>
          <w:u w:val="single"/>
          <w:lang w:val="sv-SE"/>
        </w:rPr>
        <w:t>Beskrivning av valda biverkningar</w:t>
      </w:r>
    </w:p>
    <w:p w14:paraId="67C479B6" w14:textId="77777777" w:rsidR="0023611A" w:rsidRDefault="0023611A" w:rsidP="00463647">
      <w:pPr>
        <w:pStyle w:val="TextChar"/>
        <w:keepNext/>
        <w:widowControl w:val="0"/>
        <w:spacing w:before="0"/>
        <w:jc w:val="left"/>
        <w:rPr>
          <w:i/>
          <w:color w:val="000000"/>
          <w:sz w:val="22"/>
          <w:szCs w:val="22"/>
          <w:u w:val="single"/>
          <w:lang w:val="sv-SE"/>
        </w:rPr>
      </w:pPr>
      <w:r>
        <w:rPr>
          <w:i/>
          <w:color w:val="000000"/>
          <w:sz w:val="22"/>
          <w:szCs w:val="22"/>
          <w:u w:val="single"/>
          <w:lang w:val="sv-SE"/>
        </w:rPr>
        <w:t>Hepatit B-reaktivering</w:t>
      </w:r>
    </w:p>
    <w:p w14:paraId="777E1C39" w14:textId="77777777" w:rsidR="0023611A" w:rsidRPr="0023611A" w:rsidRDefault="0023611A" w:rsidP="00463647">
      <w:pPr>
        <w:pStyle w:val="TextChar"/>
        <w:widowControl w:val="0"/>
        <w:spacing w:before="0"/>
        <w:jc w:val="left"/>
        <w:rPr>
          <w:color w:val="000000"/>
          <w:sz w:val="22"/>
          <w:szCs w:val="22"/>
          <w:lang w:val="sv-SE"/>
        </w:rPr>
      </w:pPr>
      <w:r w:rsidRPr="005F1948">
        <w:rPr>
          <w:color w:val="000000"/>
          <w:sz w:val="22"/>
          <w:szCs w:val="22"/>
          <w:lang w:val="sv-SE"/>
        </w:rPr>
        <w:t>Hepatit B-reaktivering har rapporterats i samband med BCR-ABL TKI. Vissa fall ledde till akut leversvikt eller fulminant hepatit med levertransplantation eller dödlig utgång som följd (se avsnitt 4.4).</w:t>
      </w:r>
    </w:p>
    <w:p w14:paraId="3C0DA022" w14:textId="77777777" w:rsidR="00620ABA" w:rsidRDefault="00620ABA" w:rsidP="00463647">
      <w:pPr>
        <w:pStyle w:val="TextChar"/>
        <w:widowControl w:val="0"/>
        <w:spacing w:before="0"/>
        <w:jc w:val="left"/>
        <w:rPr>
          <w:color w:val="000000"/>
          <w:sz w:val="22"/>
          <w:szCs w:val="22"/>
          <w:lang w:val="sv-SE"/>
        </w:rPr>
      </w:pPr>
    </w:p>
    <w:p w14:paraId="71C501B4" w14:textId="77777777" w:rsidR="00544B28" w:rsidRPr="00292CDC" w:rsidRDefault="00544B28" w:rsidP="00463647">
      <w:pPr>
        <w:pStyle w:val="TextChar"/>
        <w:keepNext/>
        <w:widowControl w:val="0"/>
        <w:spacing w:before="0"/>
        <w:jc w:val="left"/>
        <w:rPr>
          <w:color w:val="000000"/>
          <w:sz w:val="22"/>
          <w:szCs w:val="22"/>
          <w:u w:val="single"/>
          <w:lang w:val="sv-SE"/>
        </w:rPr>
      </w:pPr>
      <w:r w:rsidRPr="00292CDC">
        <w:rPr>
          <w:color w:val="000000"/>
          <w:sz w:val="22"/>
          <w:szCs w:val="22"/>
          <w:u w:val="single"/>
          <w:lang w:val="sv-SE"/>
        </w:rPr>
        <w:t>Rapportering av misstänkta biverkningar</w:t>
      </w:r>
    </w:p>
    <w:p w14:paraId="2DDF4FED" w14:textId="77777777" w:rsidR="00DF1DDD" w:rsidRPr="00292CDC" w:rsidRDefault="00453D31" w:rsidP="00463647">
      <w:pPr>
        <w:widowControl w:val="0"/>
        <w:tabs>
          <w:tab w:val="clear" w:pos="567"/>
        </w:tabs>
        <w:spacing w:line="240" w:lineRule="auto"/>
        <w:rPr>
          <w:sz w:val="24"/>
          <w:szCs w:val="24"/>
          <w:lang w:val="sv-SE"/>
        </w:rPr>
      </w:pPr>
      <w:r>
        <w:rPr>
          <w:color w:val="000000"/>
          <w:szCs w:val="22"/>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00350D42" w:rsidRPr="00292CDC">
        <w:rPr>
          <w:noProof/>
          <w:szCs w:val="22"/>
          <w:shd w:val="pct15" w:color="auto" w:fill="auto"/>
          <w:lang w:val="sv-SE"/>
        </w:rPr>
        <w:t xml:space="preserve">det nationella rapporteringssystemet listat i </w:t>
      </w:r>
      <w:hyperlink r:id="rId12" w:history="1">
        <w:r w:rsidR="00A37513" w:rsidRPr="00292CDC">
          <w:rPr>
            <w:rStyle w:val="Hyperlink"/>
            <w:szCs w:val="22"/>
            <w:shd w:val="pct15" w:color="auto" w:fill="auto"/>
            <w:lang w:val="sv-SE" w:eastAsia="ja-JP"/>
          </w:rPr>
          <w:t>bilaga</w:t>
        </w:r>
        <w:r w:rsidR="00DF1DDD" w:rsidRPr="00292CDC">
          <w:rPr>
            <w:rStyle w:val="Hyperlink"/>
            <w:szCs w:val="22"/>
            <w:shd w:val="pct15" w:color="auto" w:fill="auto"/>
            <w:lang w:val="sv-SE" w:eastAsia="ja-JP"/>
          </w:rPr>
          <w:t xml:space="preserve"> V</w:t>
        </w:r>
      </w:hyperlink>
      <w:r w:rsidR="00DF1DDD" w:rsidRPr="00292CDC">
        <w:rPr>
          <w:color w:val="000000"/>
          <w:szCs w:val="22"/>
          <w:lang w:val="sv-SE" w:eastAsia="ja-JP"/>
        </w:rPr>
        <w:t>.</w:t>
      </w:r>
    </w:p>
    <w:p w14:paraId="6B0A028C" w14:textId="77777777" w:rsidR="00474CB7" w:rsidRPr="000E7AE9" w:rsidRDefault="00474CB7" w:rsidP="00463647">
      <w:pPr>
        <w:pStyle w:val="TextChar"/>
        <w:widowControl w:val="0"/>
        <w:spacing w:before="0"/>
        <w:jc w:val="left"/>
        <w:rPr>
          <w:color w:val="000000"/>
          <w:sz w:val="22"/>
          <w:szCs w:val="22"/>
          <w:lang w:val="sv-SE"/>
        </w:rPr>
      </w:pPr>
    </w:p>
    <w:bookmarkEnd w:id="1"/>
    <w:bookmarkEnd w:id="2"/>
    <w:p w14:paraId="7A10B1B0"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4.9</w:t>
      </w:r>
      <w:r w:rsidRPr="000E7AE9">
        <w:rPr>
          <w:noProof w:val="0"/>
          <w:color w:val="000000"/>
          <w:szCs w:val="22"/>
          <w:lang w:val="sv-SE"/>
        </w:rPr>
        <w:tab/>
        <w:t>Överdosering</w:t>
      </w:r>
    </w:p>
    <w:p w14:paraId="6D7D9E74" w14:textId="77777777" w:rsidR="00620ABA" w:rsidRPr="000E7AE9" w:rsidRDefault="00620ABA" w:rsidP="00463647">
      <w:pPr>
        <w:keepNext/>
        <w:widowControl w:val="0"/>
        <w:tabs>
          <w:tab w:val="clear" w:pos="567"/>
        </w:tabs>
        <w:spacing w:line="240" w:lineRule="auto"/>
        <w:rPr>
          <w:color w:val="000000"/>
          <w:szCs w:val="22"/>
          <w:lang w:val="sv-SE"/>
        </w:rPr>
      </w:pPr>
    </w:p>
    <w:p w14:paraId="0734A92D" w14:textId="77777777" w:rsidR="006D2211" w:rsidRDefault="00244CB0" w:rsidP="00463647">
      <w:pPr>
        <w:pStyle w:val="EndnoteText"/>
        <w:widowControl w:val="0"/>
        <w:tabs>
          <w:tab w:val="clear" w:pos="567"/>
        </w:tabs>
        <w:rPr>
          <w:szCs w:val="22"/>
          <w:lang w:val="sv-SE"/>
        </w:rPr>
      </w:pPr>
      <w:r>
        <w:rPr>
          <w:color w:val="000000"/>
          <w:szCs w:val="22"/>
          <w:lang w:val="sv-SE"/>
        </w:rPr>
        <w:t>Erfarenhet av doser högre än rekommenderad terapeutisk dos är begränsad. Enstaka fall av överdos med Glivec har rapporterats spontant och i litteraturen. I h</w:t>
      </w:r>
      <w:r w:rsidR="007D339D">
        <w:rPr>
          <w:color w:val="000000"/>
          <w:szCs w:val="22"/>
          <w:lang w:val="sv-SE"/>
        </w:rPr>
        <w:t>ä</w:t>
      </w:r>
      <w:r>
        <w:rPr>
          <w:color w:val="000000"/>
          <w:szCs w:val="22"/>
          <w:lang w:val="sv-SE"/>
        </w:rPr>
        <w:t>ndelse av överdos ska patienten observeras och lämplig symptomatisk behandling ges.</w:t>
      </w:r>
      <w:r w:rsidR="00372219">
        <w:rPr>
          <w:color w:val="000000"/>
          <w:szCs w:val="22"/>
          <w:lang w:val="sv-SE"/>
        </w:rPr>
        <w:t xml:space="preserve"> </w:t>
      </w:r>
      <w:r w:rsidR="006D2211">
        <w:rPr>
          <w:color w:val="000000"/>
          <w:szCs w:val="22"/>
          <w:lang w:val="sv-SE"/>
        </w:rPr>
        <w:t>I a</w:t>
      </w:r>
      <w:r w:rsidR="00372219">
        <w:rPr>
          <w:color w:val="000000"/>
          <w:szCs w:val="22"/>
          <w:lang w:val="sv-SE"/>
        </w:rPr>
        <w:t>l</w:t>
      </w:r>
      <w:r w:rsidR="006D2211">
        <w:rPr>
          <w:color w:val="000000"/>
          <w:szCs w:val="22"/>
          <w:lang w:val="sv-SE"/>
        </w:rPr>
        <w:t xml:space="preserve">lmännhet rapporterades utgången av dessa fall som </w:t>
      </w:r>
      <w:r w:rsidR="00817DA6" w:rsidRPr="00817DA6">
        <w:rPr>
          <w:szCs w:val="22"/>
          <w:lang w:val="sv-SE"/>
        </w:rPr>
        <w:t>“</w:t>
      </w:r>
      <w:r w:rsidR="006D2211">
        <w:rPr>
          <w:color w:val="000000"/>
          <w:szCs w:val="22"/>
          <w:lang w:val="sv-SE"/>
        </w:rPr>
        <w:t xml:space="preserve">förbättring” eller </w:t>
      </w:r>
      <w:r w:rsidR="00817DA6" w:rsidRPr="00817DA6">
        <w:rPr>
          <w:szCs w:val="22"/>
          <w:lang w:val="sv-SE"/>
        </w:rPr>
        <w:t>“</w:t>
      </w:r>
      <w:r w:rsidR="006D2211">
        <w:rPr>
          <w:szCs w:val="22"/>
          <w:lang w:val="sv-SE"/>
        </w:rPr>
        <w:t xml:space="preserve">återställd”. Händelser som har rapporterats vid </w:t>
      </w:r>
      <w:r w:rsidR="007D339D">
        <w:rPr>
          <w:szCs w:val="22"/>
          <w:lang w:val="sv-SE"/>
        </w:rPr>
        <w:t>olika</w:t>
      </w:r>
      <w:r w:rsidR="006D2211">
        <w:rPr>
          <w:szCs w:val="22"/>
          <w:lang w:val="sv-SE"/>
        </w:rPr>
        <w:t xml:space="preserve"> dosintervall är följande:</w:t>
      </w:r>
    </w:p>
    <w:p w14:paraId="0A4ADF85" w14:textId="77777777" w:rsidR="006D2211" w:rsidRDefault="006D2211" w:rsidP="00463647">
      <w:pPr>
        <w:pStyle w:val="EndnoteText"/>
        <w:widowControl w:val="0"/>
        <w:tabs>
          <w:tab w:val="clear" w:pos="567"/>
        </w:tabs>
        <w:rPr>
          <w:szCs w:val="22"/>
          <w:lang w:val="sv-SE"/>
        </w:rPr>
      </w:pPr>
    </w:p>
    <w:p w14:paraId="756D9F52" w14:textId="77777777" w:rsidR="006D2211" w:rsidRPr="00681C98" w:rsidRDefault="00884AB4" w:rsidP="00463647">
      <w:pPr>
        <w:pStyle w:val="EndnoteText"/>
        <w:keepNext/>
        <w:widowControl w:val="0"/>
        <w:tabs>
          <w:tab w:val="clear" w:pos="567"/>
        </w:tabs>
        <w:rPr>
          <w:i/>
          <w:szCs w:val="22"/>
          <w:lang w:val="sv-SE"/>
        </w:rPr>
      </w:pPr>
      <w:r w:rsidRPr="00681C98">
        <w:rPr>
          <w:i/>
          <w:szCs w:val="22"/>
          <w:lang w:val="sv-SE"/>
        </w:rPr>
        <w:t>Vuxen population</w:t>
      </w:r>
    </w:p>
    <w:p w14:paraId="0985FADD" w14:textId="77777777" w:rsidR="00620ABA" w:rsidRDefault="006D2211" w:rsidP="00463647">
      <w:pPr>
        <w:pStyle w:val="EndnoteText"/>
        <w:widowControl w:val="0"/>
        <w:tabs>
          <w:tab w:val="clear" w:pos="567"/>
        </w:tabs>
        <w:rPr>
          <w:szCs w:val="22"/>
          <w:lang w:val="sv-SE"/>
        </w:rPr>
      </w:pPr>
      <w:r>
        <w:rPr>
          <w:color w:val="000000"/>
          <w:szCs w:val="22"/>
          <w:lang w:val="sv-SE"/>
        </w:rPr>
        <w:t>1200 till 1600</w:t>
      </w:r>
      <w:r w:rsidRPr="006D2211">
        <w:rPr>
          <w:szCs w:val="22"/>
          <w:lang w:val="sv-SE"/>
        </w:rPr>
        <w:t> </w:t>
      </w:r>
      <w:r>
        <w:rPr>
          <w:color w:val="000000"/>
          <w:szCs w:val="22"/>
          <w:lang w:val="sv-SE"/>
        </w:rPr>
        <w:t xml:space="preserve">mg </w:t>
      </w:r>
      <w:r w:rsidR="007564F8">
        <w:rPr>
          <w:color w:val="000000"/>
          <w:szCs w:val="22"/>
          <w:lang w:val="sv-SE"/>
        </w:rPr>
        <w:t>(duration vari</w:t>
      </w:r>
      <w:r>
        <w:rPr>
          <w:color w:val="000000"/>
          <w:szCs w:val="22"/>
          <w:lang w:val="sv-SE"/>
        </w:rPr>
        <w:t>erande mellan 1 till 10</w:t>
      </w:r>
      <w:r w:rsidRPr="006D2211">
        <w:rPr>
          <w:szCs w:val="22"/>
          <w:lang w:val="sv-SE"/>
        </w:rPr>
        <w:t> </w:t>
      </w:r>
      <w:r>
        <w:rPr>
          <w:szCs w:val="22"/>
          <w:lang w:val="sv-SE"/>
        </w:rPr>
        <w:t xml:space="preserve">dagar): Illamående, kräkningar, diarré, utslag, hudrodnad, ödem, svullnad, </w:t>
      </w:r>
      <w:r w:rsidR="007564F8">
        <w:rPr>
          <w:szCs w:val="22"/>
          <w:lang w:val="sv-SE"/>
        </w:rPr>
        <w:t>trötthet, muskelkramper, trombocytopeni, pancytopeni, buksmärta, huvudvärk, minskad aptit.</w:t>
      </w:r>
    </w:p>
    <w:p w14:paraId="73F59D50" w14:textId="77777777" w:rsidR="007564F8" w:rsidRDefault="007564F8" w:rsidP="00463647">
      <w:pPr>
        <w:pStyle w:val="EndnoteText"/>
        <w:widowControl w:val="0"/>
        <w:tabs>
          <w:tab w:val="clear" w:pos="567"/>
        </w:tabs>
        <w:rPr>
          <w:szCs w:val="22"/>
          <w:lang w:val="sv-SE"/>
        </w:rPr>
      </w:pPr>
      <w:r>
        <w:rPr>
          <w:szCs w:val="22"/>
          <w:lang w:val="sv-SE"/>
        </w:rPr>
        <w:t>1800 till 3200</w:t>
      </w:r>
      <w:r w:rsidRPr="007564F8">
        <w:rPr>
          <w:szCs w:val="22"/>
          <w:lang w:val="sv-SE"/>
        </w:rPr>
        <w:t xml:space="preserve"> mg (upp till 3200 mg dagligen </w:t>
      </w:r>
      <w:r>
        <w:rPr>
          <w:szCs w:val="22"/>
          <w:lang w:val="sv-SE"/>
        </w:rPr>
        <w:t>i</w:t>
      </w:r>
      <w:r w:rsidRPr="007564F8">
        <w:rPr>
          <w:szCs w:val="22"/>
          <w:lang w:val="sv-SE"/>
        </w:rPr>
        <w:t xml:space="preserve"> 6 </w:t>
      </w:r>
      <w:r>
        <w:rPr>
          <w:szCs w:val="22"/>
          <w:lang w:val="sv-SE"/>
        </w:rPr>
        <w:t>dagar): Svaghet, myalgi, ökat kreatinfosfokinas, ökat bilirubin, magtarmsmärta.</w:t>
      </w:r>
    </w:p>
    <w:p w14:paraId="30A10CA3" w14:textId="77777777" w:rsidR="007564F8" w:rsidRDefault="007564F8" w:rsidP="00463647">
      <w:pPr>
        <w:pStyle w:val="EndnoteText"/>
        <w:widowControl w:val="0"/>
        <w:tabs>
          <w:tab w:val="clear" w:pos="567"/>
        </w:tabs>
        <w:rPr>
          <w:szCs w:val="22"/>
          <w:lang w:val="sv-SE"/>
        </w:rPr>
      </w:pPr>
      <w:r>
        <w:rPr>
          <w:szCs w:val="22"/>
          <w:lang w:val="sv-SE"/>
        </w:rPr>
        <w:t>6400</w:t>
      </w:r>
      <w:r w:rsidRPr="007564F8">
        <w:rPr>
          <w:szCs w:val="22"/>
          <w:lang w:val="sv-SE"/>
        </w:rPr>
        <w:t xml:space="preserve"> mg (singeldos): Ett fall rapporterad i </w:t>
      </w:r>
      <w:r>
        <w:rPr>
          <w:szCs w:val="22"/>
          <w:lang w:val="sv-SE"/>
        </w:rPr>
        <w:t xml:space="preserve">litteraturen om en patient som fick illamående, kräkningar, buksmärta, pyrexi, ansiktssvullnad, </w:t>
      </w:r>
      <w:r w:rsidRPr="003409A9">
        <w:rPr>
          <w:szCs w:val="22"/>
          <w:lang w:val="sv-SE"/>
        </w:rPr>
        <w:t>minskat antal neutrofiler,</w:t>
      </w:r>
      <w:r>
        <w:rPr>
          <w:szCs w:val="22"/>
          <w:lang w:val="sv-SE"/>
        </w:rPr>
        <w:t xml:space="preserve"> förhöjda transaminaser.</w:t>
      </w:r>
    </w:p>
    <w:p w14:paraId="2D6E8562" w14:textId="77777777" w:rsidR="007564F8" w:rsidRPr="007564F8" w:rsidRDefault="007564F8" w:rsidP="00463647">
      <w:pPr>
        <w:pStyle w:val="EndnoteText"/>
        <w:widowControl w:val="0"/>
        <w:tabs>
          <w:tab w:val="clear" w:pos="567"/>
        </w:tabs>
        <w:rPr>
          <w:szCs w:val="22"/>
          <w:lang w:val="sv-SE"/>
        </w:rPr>
      </w:pPr>
      <w:r>
        <w:rPr>
          <w:szCs w:val="22"/>
          <w:lang w:val="sv-SE"/>
        </w:rPr>
        <w:t>8 till 10</w:t>
      </w:r>
      <w:r w:rsidRPr="007564F8">
        <w:rPr>
          <w:szCs w:val="22"/>
          <w:lang w:val="sv-SE"/>
        </w:rPr>
        <w:t xml:space="preserve"> g (singeldos): Kräkningar och </w:t>
      </w:r>
      <w:r w:rsidR="0061768A">
        <w:rPr>
          <w:szCs w:val="22"/>
          <w:lang w:val="sv-SE"/>
        </w:rPr>
        <w:t>mag-tarm</w:t>
      </w:r>
      <w:r w:rsidRPr="007564F8">
        <w:rPr>
          <w:szCs w:val="22"/>
          <w:lang w:val="sv-SE"/>
        </w:rPr>
        <w:t>smärta har rapporterats.</w:t>
      </w:r>
    </w:p>
    <w:p w14:paraId="03FFD4FA" w14:textId="77777777" w:rsidR="007564F8" w:rsidRDefault="007564F8" w:rsidP="00463647">
      <w:pPr>
        <w:pStyle w:val="EndnoteText"/>
        <w:widowControl w:val="0"/>
        <w:tabs>
          <w:tab w:val="clear" w:pos="567"/>
        </w:tabs>
        <w:rPr>
          <w:szCs w:val="22"/>
          <w:lang w:val="sv-SE"/>
        </w:rPr>
      </w:pPr>
    </w:p>
    <w:p w14:paraId="089A1C2B" w14:textId="77777777" w:rsidR="007564F8" w:rsidRPr="00681C98" w:rsidRDefault="00884AB4" w:rsidP="00463647">
      <w:pPr>
        <w:pStyle w:val="EndnoteText"/>
        <w:keepNext/>
        <w:widowControl w:val="0"/>
        <w:tabs>
          <w:tab w:val="clear" w:pos="567"/>
        </w:tabs>
        <w:rPr>
          <w:i/>
          <w:szCs w:val="22"/>
          <w:lang w:val="sv-SE"/>
        </w:rPr>
      </w:pPr>
      <w:r w:rsidRPr="00681C98">
        <w:rPr>
          <w:i/>
          <w:szCs w:val="22"/>
          <w:lang w:val="sv-SE"/>
        </w:rPr>
        <w:t>Pediatrisk population</w:t>
      </w:r>
    </w:p>
    <w:p w14:paraId="1B374A95" w14:textId="77777777" w:rsidR="008B2367" w:rsidRPr="007564F8" w:rsidRDefault="008B2367" w:rsidP="00463647">
      <w:pPr>
        <w:pStyle w:val="EndnoteText"/>
        <w:widowControl w:val="0"/>
        <w:tabs>
          <w:tab w:val="clear" w:pos="567"/>
        </w:tabs>
        <w:rPr>
          <w:color w:val="000000"/>
          <w:szCs w:val="22"/>
          <w:lang w:val="sv-SE"/>
        </w:rPr>
      </w:pPr>
      <w:r>
        <w:rPr>
          <w:szCs w:val="22"/>
          <w:lang w:val="sv-SE"/>
        </w:rPr>
        <w:t>En 3-åri</w:t>
      </w:r>
      <w:r w:rsidR="00817DA6">
        <w:rPr>
          <w:szCs w:val="22"/>
          <w:lang w:val="sv-SE"/>
        </w:rPr>
        <w:t xml:space="preserve">g </w:t>
      </w:r>
      <w:r w:rsidR="0061768A">
        <w:rPr>
          <w:szCs w:val="22"/>
          <w:lang w:val="sv-SE"/>
        </w:rPr>
        <w:t>pojke</w:t>
      </w:r>
      <w:r>
        <w:rPr>
          <w:szCs w:val="22"/>
          <w:lang w:val="sv-SE"/>
        </w:rPr>
        <w:t xml:space="preserve"> exponerad för en singeldos på 400</w:t>
      </w:r>
      <w:r w:rsidRPr="008B2367">
        <w:rPr>
          <w:szCs w:val="22"/>
          <w:lang w:val="sv-SE"/>
        </w:rPr>
        <w:t> </w:t>
      </w:r>
      <w:r>
        <w:rPr>
          <w:szCs w:val="22"/>
          <w:lang w:val="sv-SE"/>
        </w:rPr>
        <w:t xml:space="preserve">mg fick kräkningar, diarré och anorexi och en annan 3-årig </w:t>
      </w:r>
      <w:r w:rsidR="0061768A">
        <w:rPr>
          <w:szCs w:val="22"/>
          <w:lang w:val="sv-SE"/>
        </w:rPr>
        <w:t>pojke</w:t>
      </w:r>
      <w:r>
        <w:rPr>
          <w:szCs w:val="22"/>
          <w:lang w:val="sv-SE"/>
        </w:rPr>
        <w:t xml:space="preserve"> exponerad för en singeldos på 980</w:t>
      </w:r>
      <w:r w:rsidRPr="008B2367">
        <w:rPr>
          <w:szCs w:val="22"/>
          <w:lang w:val="sv-SE"/>
        </w:rPr>
        <w:t> </w:t>
      </w:r>
      <w:r>
        <w:rPr>
          <w:szCs w:val="22"/>
          <w:lang w:val="sv-SE"/>
        </w:rPr>
        <w:t xml:space="preserve">mg fick </w:t>
      </w:r>
      <w:r w:rsidRPr="003409A9">
        <w:rPr>
          <w:szCs w:val="22"/>
          <w:lang w:val="sv-SE"/>
        </w:rPr>
        <w:t>minskat antal vita blodkroppar</w:t>
      </w:r>
      <w:r>
        <w:rPr>
          <w:szCs w:val="22"/>
          <w:lang w:val="sv-SE"/>
        </w:rPr>
        <w:t xml:space="preserve"> och diarré.</w:t>
      </w:r>
    </w:p>
    <w:p w14:paraId="3334E902" w14:textId="77777777" w:rsidR="00620ABA" w:rsidRPr="000E7AE9" w:rsidRDefault="00620ABA" w:rsidP="00463647">
      <w:pPr>
        <w:pStyle w:val="EndnoteText"/>
        <w:widowControl w:val="0"/>
        <w:tabs>
          <w:tab w:val="clear" w:pos="567"/>
        </w:tabs>
        <w:rPr>
          <w:color w:val="000000"/>
          <w:szCs w:val="22"/>
          <w:lang w:val="sv-SE"/>
        </w:rPr>
      </w:pPr>
    </w:p>
    <w:p w14:paraId="0FDBB205"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I händelse av överdos skall patienten observeras och adekvat understödjande behandling ges.</w:t>
      </w:r>
    </w:p>
    <w:p w14:paraId="7A491772" w14:textId="77777777" w:rsidR="00620ABA" w:rsidRPr="000E7AE9" w:rsidRDefault="00620ABA" w:rsidP="00463647">
      <w:pPr>
        <w:pStyle w:val="EndnoteText"/>
        <w:widowControl w:val="0"/>
        <w:tabs>
          <w:tab w:val="clear" w:pos="567"/>
        </w:tabs>
        <w:rPr>
          <w:color w:val="000000"/>
          <w:szCs w:val="22"/>
          <w:lang w:val="sv-SE"/>
        </w:rPr>
      </w:pPr>
    </w:p>
    <w:p w14:paraId="61156201" w14:textId="77777777" w:rsidR="00620ABA" w:rsidRPr="000E7AE9" w:rsidRDefault="00620ABA" w:rsidP="00463647">
      <w:pPr>
        <w:widowControl w:val="0"/>
        <w:tabs>
          <w:tab w:val="clear" w:pos="567"/>
        </w:tabs>
        <w:spacing w:line="240" w:lineRule="auto"/>
        <w:rPr>
          <w:color w:val="000000"/>
          <w:szCs w:val="22"/>
          <w:lang w:val="sv-SE"/>
        </w:rPr>
      </w:pPr>
    </w:p>
    <w:p w14:paraId="0C5DA84B"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5.</w:t>
      </w:r>
      <w:r w:rsidRPr="000E7AE9">
        <w:rPr>
          <w:noProof w:val="0"/>
          <w:color w:val="000000"/>
          <w:szCs w:val="22"/>
          <w:lang w:val="sv-SE"/>
        </w:rPr>
        <w:tab/>
        <w:t>FARMAKOLOGISKA EGENSKAPER</w:t>
      </w:r>
    </w:p>
    <w:p w14:paraId="000DF641" w14:textId="77777777" w:rsidR="00620ABA" w:rsidRPr="000E7AE9" w:rsidRDefault="00620ABA" w:rsidP="00463647">
      <w:pPr>
        <w:keepNext/>
        <w:widowControl w:val="0"/>
        <w:tabs>
          <w:tab w:val="clear" w:pos="567"/>
        </w:tabs>
        <w:spacing w:line="240" w:lineRule="auto"/>
        <w:rPr>
          <w:color w:val="000000"/>
          <w:szCs w:val="22"/>
          <w:lang w:val="sv-SE"/>
        </w:rPr>
      </w:pPr>
    </w:p>
    <w:p w14:paraId="32ACC726"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5.1</w:t>
      </w:r>
      <w:r w:rsidRPr="000E7AE9">
        <w:rPr>
          <w:noProof w:val="0"/>
          <w:color w:val="000000"/>
          <w:szCs w:val="22"/>
          <w:lang w:val="sv-SE"/>
        </w:rPr>
        <w:tab/>
        <w:t>Farmakodynamiska egenskaper</w:t>
      </w:r>
    </w:p>
    <w:p w14:paraId="2960C4BD" w14:textId="77777777" w:rsidR="00620ABA" w:rsidRPr="000E7AE9" w:rsidRDefault="00620ABA" w:rsidP="00463647">
      <w:pPr>
        <w:pStyle w:val="EndnoteText"/>
        <w:keepNext/>
        <w:widowControl w:val="0"/>
        <w:tabs>
          <w:tab w:val="clear" w:pos="567"/>
        </w:tabs>
        <w:rPr>
          <w:color w:val="000000"/>
          <w:szCs w:val="22"/>
          <w:lang w:val="sv-SE"/>
        </w:rPr>
      </w:pPr>
    </w:p>
    <w:p w14:paraId="0068562A" w14:textId="77777777" w:rsidR="00620ABA" w:rsidRPr="000E7AE9" w:rsidRDefault="00620ABA" w:rsidP="00463647">
      <w:pPr>
        <w:keepNext/>
        <w:widowControl w:val="0"/>
        <w:tabs>
          <w:tab w:val="clear" w:pos="567"/>
        </w:tabs>
        <w:spacing w:line="240" w:lineRule="auto"/>
        <w:rPr>
          <w:color w:val="000000"/>
          <w:szCs w:val="22"/>
          <w:lang w:val="sv-SE"/>
        </w:rPr>
      </w:pPr>
      <w:r w:rsidRPr="000E7AE9">
        <w:rPr>
          <w:color w:val="000000"/>
          <w:szCs w:val="22"/>
          <w:lang w:val="sv-SE"/>
        </w:rPr>
        <w:t xml:space="preserve">Farmakoterapeutisk grupp: Protein-tyrosinkinashämmare, ATC-kod: </w:t>
      </w:r>
      <w:r w:rsidR="00873A50" w:rsidRPr="000E7AE9">
        <w:rPr>
          <w:color w:val="000000"/>
          <w:szCs w:val="22"/>
          <w:lang w:val="sv-SE"/>
        </w:rPr>
        <w:t>L01XE01</w:t>
      </w:r>
    </w:p>
    <w:p w14:paraId="3DBE3205" w14:textId="77777777" w:rsidR="00620ABA" w:rsidRPr="000E7AE9" w:rsidRDefault="00620ABA" w:rsidP="00463647">
      <w:pPr>
        <w:pStyle w:val="EndnoteText"/>
        <w:keepNext/>
        <w:widowControl w:val="0"/>
        <w:tabs>
          <w:tab w:val="clear" w:pos="567"/>
        </w:tabs>
        <w:rPr>
          <w:color w:val="000000"/>
          <w:szCs w:val="22"/>
          <w:lang w:val="sv-SE"/>
        </w:rPr>
      </w:pPr>
    </w:p>
    <w:p w14:paraId="4491BC77" w14:textId="77777777" w:rsidR="00E7107B" w:rsidRPr="003D4D46" w:rsidRDefault="00E7107B" w:rsidP="00463647">
      <w:pPr>
        <w:pStyle w:val="EndnoteText"/>
        <w:keepNext/>
        <w:widowControl w:val="0"/>
        <w:tabs>
          <w:tab w:val="clear" w:pos="567"/>
        </w:tabs>
        <w:rPr>
          <w:color w:val="000000"/>
          <w:szCs w:val="22"/>
          <w:u w:val="single"/>
          <w:lang w:val="sv-SE"/>
        </w:rPr>
      </w:pPr>
      <w:r w:rsidRPr="003D4D46">
        <w:rPr>
          <w:color w:val="000000"/>
          <w:szCs w:val="22"/>
          <w:u w:val="single"/>
          <w:lang w:val="sv-SE"/>
        </w:rPr>
        <w:t>Verkningsmekanism</w:t>
      </w:r>
    </w:p>
    <w:p w14:paraId="25F7F082" w14:textId="77777777" w:rsidR="00E7107B" w:rsidRDefault="00E7107B" w:rsidP="00463647">
      <w:pPr>
        <w:pStyle w:val="EndnoteText"/>
        <w:widowControl w:val="0"/>
        <w:tabs>
          <w:tab w:val="clear" w:pos="567"/>
        </w:tabs>
        <w:rPr>
          <w:color w:val="000000"/>
          <w:szCs w:val="22"/>
          <w:lang w:val="sv-SE"/>
        </w:rPr>
      </w:pPr>
      <w:r>
        <w:rPr>
          <w:color w:val="000000"/>
          <w:szCs w:val="22"/>
          <w:lang w:val="sv-SE"/>
        </w:rPr>
        <w:t xml:space="preserve">Imatinib är en lågmolekylär protein-tyrosinkinashämmare med kraftigt hämmande effekt på aktiviteten hos Bcr-Abl-tyrosinkinas (TK) samt flera TK-receptorer: KIT, stamcellsfaktorreceptorn (SCF) som kodas av c-Kit protoonkogen, discoidin domain receptors (DDR1 och DDR2), kolonistimulerande </w:t>
      </w:r>
      <w:r>
        <w:rPr>
          <w:color w:val="000000"/>
          <w:szCs w:val="22"/>
          <w:lang w:val="sv-SE"/>
        </w:rPr>
        <w:lastRenderedPageBreak/>
        <w:t>kofaktorreceptorn (CSF-1R) och trombocytorelaterad tillväxtfaktorreceptorerna alfa och beta (platelet-derived growth factor receptors alpha and beta, PDGFR-alpha and PDGFR-beta). Imatinib kan också hämma cellulära händelser som är medierade av aktivering av dessa receptorkinaser.</w:t>
      </w:r>
    </w:p>
    <w:p w14:paraId="33D26572" w14:textId="77777777" w:rsidR="00E7107B" w:rsidRDefault="00E7107B" w:rsidP="00463647">
      <w:pPr>
        <w:pStyle w:val="EndnoteText"/>
        <w:widowControl w:val="0"/>
        <w:tabs>
          <w:tab w:val="clear" w:pos="567"/>
          <w:tab w:val="left" w:pos="1785"/>
        </w:tabs>
        <w:rPr>
          <w:color w:val="000000"/>
          <w:szCs w:val="22"/>
          <w:lang w:val="sv-SE"/>
        </w:rPr>
      </w:pPr>
    </w:p>
    <w:p w14:paraId="298AA56D" w14:textId="77777777" w:rsidR="00E7107B" w:rsidRPr="003D4D46" w:rsidRDefault="00E7107B" w:rsidP="00463647">
      <w:pPr>
        <w:pStyle w:val="EndnoteText"/>
        <w:keepNext/>
        <w:widowControl w:val="0"/>
        <w:tabs>
          <w:tab w:val="clear" w:pos="567"/>
        </w:tabs>
        <w:rPr>
          <w:color w:val="000000"/>
          <w:szCs w:val="22"/>
          <w:u w:val="single"/>
          <w:lang w:val="sv-SE"/>
        </w:rPr>
      </w:pPr>
      <w:r w:rsidRPr="003D4D46">
        <w:rPr>
          <w:color w:val="000000"/>
          <w:szCs w:val="22"/>
          <w:u w:val="single"/>
          <w:lang w:val="sv-SE"/>
        </w:rPr>
        <w:t>Farmakodynamisk effekt</w:t>
      </w:r>
    </w:p>
    <w:p w14:paraId="46F9065D"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Imatinib är en protein-tyrosinkinashämmare med kraftigt hämmande effekt på Bcr-Abl-tyrosinkinas </w:t>
      </w:r>
      <w:r w:rsidRPr="000E7AE9">
        <w:rPr>
          <w:i/>
          <w:color w:val="000000"/>
          <w:szCs w:val="22"/>
          <w:lang w:val="sv-SE"/>
        </w:rPr>
        <w:t>in vitro,</w:t>
      </w:r>
      <w:r w:rsidRPr="000E7AE9">
        <w:rPr>
          <w:color w:val="000000"/>
          <w:szCs w:val="22"/>
          <w:lang w:val="sv-SE"/>
        </w:rPr>
        <w:t xml:space="preserve"> på cellulär nivå och </w:t>
      </w:r>
      <w:r w:rsidRPr="000E7AE9">
        <w:rPr>
          <w:i/>
          <w:color w:val="000000"/>
          <w:szCs w:val="22"/>
          <w:lang w:val="sv-SE"/>
        </w:rPr>
        <w:t>in vivo.</w:t>
      </w:r>
      <w:r w:rsidRPr="000E7AE9">
        <w:rPr>
          <w:color w:val="000000"/>
          <w:szCs w:val="22"/>
          <w:lang w:val="sv-SE"/>
        </w:rPr>
        <w:t xml:space="preserve"> Substansen hämmar proliferation selektivt och inducerar apoptos hos såväl Bcr-Abl-positiva cellinjer som hos färska leukemiska celler från patienter med Philadelphiakromosom-positiv KML och akut lymfoblastleukemi (ALL).</w:t>
      </w:r>
    </w:p>
    <w:p w14:paraId="5A75E75D" w14:textId="77777777" w:rsidR="00620ABA" w:rsidRPr="000E7AE9" w:rsidRDefault="00620ABA" w:rsidP="00463647">
      <w:pPr>
        <w:pStyle w:val="EndnoteText"/>
        <w:widowControl w:val="0"/>
        <w:tabs>
          <w:tab w:val="clear" w:pos="567"/>
        </w:tabs>
        <w:rPr>
          <w:color w:val="000000"/>
          <w:szCs w:val="22"/>
          <w:lang w:val="sv-SE"/>
        </w:rPr>
      </w:pPr>
    </w:p>
    <w:p w14:paraId="7839C2DC" w14:textId="77777777" w:rsidR="00620ABA" w:rsidRPr="000E7AE9" w:rsidRDefault="00620ABA" w:rsidP="00463647">
      <w:pPr>
        <w:pStyle w:val="EndnoteText"/>
        <w:widowControl w:val="0"/>
        <w:tabs>
          <w:tab w:val="clear" w:pos="567"/>
        </w:tabs>
        <w:rPr>
          <w:color w:val="000000"/>
          <w:szCs w:val="22"/>
          <w:lang w:val="sv-SE"/>
        </w:rPr>
      </w:pPr>
      <w:r w:rsidRPr="000E7AE9">
        <w:rPr>
          <w:i/>
          <w:color w:val="000000"/>
          <w:szCs w:val="22"/>
          <w:lang w:val="sv-SE"/>
        </w:rPr>
        <w:t>In vivo</w:t>
      </w:r>
      <w:r w:rsidRPr="000E7AE9">
        <w:rPr>
          <w:color w:val="000000"/>
          <w:szCs w:val="22"/>
          <w:lang w:val="sv-SE"/>
        </w:rPr>
        <w:t xml:space="preserve"> uppvisar ämnet anti-tumöraktivitet givet som enda agens i djurmodeller med Bcr-Abl-positiva tumörceller.</w:t>
      </w:r>
    </w:p>
    <w:p w14:paraId="5AF55739" w14:textId="77777777" w:rsidR="00620ABA" w:rsidRPr="000E7AE9" w:rsidRDefault="00620ABA" w:rsidP="00463647">
      <w:pPr>
        <w:pStyle w:val="EndnoteText"/>
        <w:widowControl w:val="0"/>
        <w:tabs>
          <w:tab w:val="clear" w:pos="567"/>
        </w:tabs>
        <w:rPr>
          <w:color w:val="000000"/>
          <w:szCs w:val="22"/>
          <w:lang w:val="sv-SE"/>
        </w:rPr>
      </w:pPr>
    </w:p>
    <w:p w14:paraId="112015BA"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Imatinib är också en hämmare av receptor-tyrosinkinaserna för trombocytrelaterad tillväxtfaktor (platelet-derived growth factor, PDGF), PDGF-R och stamcellsfaktor (SCF), c-Kit och hämmar PDGF- och SCF-medierade cellhändelser. Imatinib hämmar proliferationen </w:t>
      </w:r>
      <w:r w:rsidRPr="000E7AE9">
        <w:rPr>
          <w:i/>
          <w:color w:val="000000"/>
          <w:szCs w:val="22"/>
          <w:lang w:val="sv-SE"/>
        </w:rPr>
        <w:t>in vitro</w:t>
      </w:r>
      <w:r w:rsidRPr="000E7AE9">
        <w:rPr>
          <w:color w:val="000000"/>
          <w:szCs w:val="22"/>
          <w:lang w:val="sv-SE"/>
        </w:rPr>
        <w:t xml:space="preserve"> och inducerar apoptos i gastrointestinala stromacellstumörer (GIST), som uttrycker en aktiverande </w:t>
      </w:r>
      <w:r w:rsidRPr="000E7AE9">
        <w:rPr>
          <w:i/>
          <w:color w:val="000000"/>
          <w:szCs w:val="22"/>
          <w:lang w:val="sv-SE"/>
        </w:rPr>
        <w:t>kit</w:t>
      </w:r>
      <w:r w:rsidRPr="000E7AE9">
        <w:rPr>
          <w:color w:val="000000"/>
          <w:szCs w:val="22"/>
          <w:lang w:val="sv-SE"/>
        </w:rPr>
        <w:t xml:space="preserve">-mutation. Uppkommen aktivering av PDGF-receptorn eller Abl protein-tyrosinkinaserna som en konsekvens av fusion med diverse partnerproteiner eller uppkommen produktion av PDGF har satts i samband med patogenesen av </w:t>
      </w:r>
      <w:r w:rsidR="00915126" w:rsidRPr="000E7AE9">
        <w:rPr>
          <w:color w:val="000000"/>
          <w:szCs w:val="22"/>
          <w:lang w:val="sv-SE"/>
        </w:rPr>
        <w:t>MDS/MPD</w:t>
      </w:r>
      <w:r w:rsidR="00502E12" w:rsidRPr="000E7AE9">
        <w:rPr>
          <w:color w:val="000000"/>
          <w:szCs w:val="22"/>
          <w:lang w:val="sv-SE"/>
        </w:rPr>
        <w:t>, HES/CEL</w:t>
      </w:r>
      <w:r w:rsidR="00915126" w:rsidRPr="000E7AE9">
        <w:rPr>
          <w:color w:val="000000"/>
          <w:szCs w:val="22"/>
          <w:lang w:val="sv-SE"/>
        </w:rPr>
        <w:t xml:space="preserve"> och </w:t>
      </w:r>
      <w:r w:rsidRPr="000E7AE9">
        <w:rPr>
          <w:color w:val="000000"/>
          <w:szCs w:val="22"/>
          <w:lang w:val="sv-SE"/>
        </w:rPr>
        <w:t>DFSP. Imatinib inhiberar signalering och proliferation av celler som drivs av oreglerad PDGFR och Abl kinas-aktivitet.</w:t>
      </w:r>
    </w:p>
    <w:p w14:paraId="16EE4941" w14:textId="77777777" w:rsidR="00620ABA" w:rsidRPr="000E7AE9" w:rsidRDefault="00620ABA" w:rsidP="00463647">
      <w:pPr>
        <w:pStyle w:val="EndnoteText"/>
        <w:widowControl w:val="0"/>
        <w:tabs>
          <w:tab w:val="clear" w:pos="567"/>
        </w:tabs>
        <w:rPr>
          <w:color w:val="000000"/>
          <w:szCs w:val="22"/>
          <w:lang w:val="sv-SE"/>
        </w:rPr>
      </w:pPr>
    </w:p>
    <w:p w14:paraId="4E7CFD6E" w14:textId="77777777" w:rsidR="00620ABA" w:rsidRPr="000E7AE9" w:rsidRDefault="00620ABA" w:rsidP="00463647">
      <w:pPr>
        <w:pStyle w:val="EndnoteText"/>
        <w:keepNext/>
        <w:widowControl w:val="0"/>
        <w:tabs>
          <w:tab w:val="clear" w:pos="567"/>
        </w:tabs>
        <w:rPr>
          <w:color w:val="000000"/>
          <w:szCs w:val="22"/>
          <w:lang w:val="sv-SE"/>
        </w:rPr>
      </w:pPr>
      <w:r w:rsidRPr="000E7AE9">
        <w:rPr>
          <w:color w:val="000000"/>
          <w:szCs w:val="22"/>
          <w:u w:val="single"/>
          <w:lang w:val="sv-SE"/>
        </w:rPr>
        <w:t>Kliniska studier vid kronisk myeloisk leukemi</w:t>
      </w:r>
    </w:p>
    <w:p w14:paraId="2C13555B" w14:textId="77777777" w:rsidR="00620ABA" w:rsidRPr="000E7AE9" w:rsidRDefault="00620ABA" w:rsidP="00463647">
      <w:pPr>
        <w:pStyle w:val="EndnoteText"/>
        <w:widowControl w:val="0"/>
        <w:tabs>
          <w:tab w:val="clear" w:pos="567"/>
        </w:tabs>
        <w:rPr>
          <w:color w:val="000000"/>
          <w:szCs w:val="22"/>
          <w:u w:val="single"/>
          <w:lang w:val="sv-SE"/>
        </w:rPr>
      </w:pPr>
      <w:r w:rsidRPr="000E7AE9">
        <w:rPr>
          <w:color w:val="000000"/>
          <w:szCs w:val="22"/>
          <w:lang w:val="sv-SE"/>
        </w:rPr>
        <w:t>Effekten av Glivec baseras på det sammantagna hematologiska och cytogenetiska svaret samt på progressionsfri överlevnad. Förutom vid nyligen diagnostiserad KML i kronisk fas finns inga kontrollerade studier som visar på en klinisk nytta, såsom förbättring av sjukdomsrelaterade symtom eller ökad överlevnad.</w:t>
      </w:r>
    </w:p>
    <w:p w14:paraId="7CBE4937" w14:textId="77777777" w:rsidR="00620ABA" w:rsidRPr="000E7AE9" w:rsidRDefault="00620ABA" w:rsidP="00463647">
      <w:pPr>
        <w:pStyle w:val="EndnoteText"/>
        <w:widowControl w:val="0"/>
        <w:tabs>
          <w:tab w:val="clear" w:pos="567"/>
        </w:tabs>
        <w:rPr>
          <w:color w:val="000000"/>
          <w:szCs w:val="22"/>
          <w:lang w:val="sv-SE"/>
        </w:rPr>
      </w:pPr>
    </w:p>
    <w:p w14:paraId="2B0BB5EC"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Tre stora, internationella, öppna, icke-kontrollerade fas II-studier har genomförts på patienter med Philadelphiakromosom-positiv (Ph+)-KML i avancerad, blast- eller accelererad fas eller KML i kronisk fas vid terapisvikt med interferon alfa-terapi (IFN). En stor, internationell, öppen, multicenter, randomiserad fas III-studie har genomförts på patienter med nyligen diagnostiserad (Ph+)-KML. Dessutom har barn behandlats i två fas I-studier och en fas II-studie.</w:t>
      </w:r>
    </w:p>
    <w:p w14:paraId="7B4EEAC9" w14:textId="77777777" w:rsidR="00620ABA" w:rsidRPr="000E7AE9" w:rsidRDefault="00620ABA" w:rsidP="00463647">
      <w:pPr>
        <w:pStyle w:val="EndnoteText"/>
        <w:widowControl w:val="0"/>
        <w:tabs>
          <w:tab w:val="clear" w:pos="567"/>
        </w:tabs>
        <w:rPr>
          <w:color w:val="000000"/>
          <w:szCs w:val="22"/>
          <w:lang w:val="sv-SE"/>
        </w:rPr>
      </w:pPr>
    </w:p>
    <w:p w14:paraId="1D9208DF"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I samtliga kliniska studier var 38–40</w:t>
      </w:r>
      <w:r w:rsidR="00370A4C">
        <w:rPr>
          <w:color w:val="000000"/>
          <w:szCs w:val="22"/>
          <w:lang w:val="sv-SE"/>
        </w:rPr>
        <w:t> </w:t>
      </w:r>
      <w:r w:rsidRPr="000E7AE9">
        <w:rPr>
          <w:color w:val="000000"/>
          <w:szCs w:val="22"/>
          <w:lang w:val="sv-SE"/>
        </w:rPr>
        <w:t xml:space="preserve">% av patienterna </w:t>
      </w:r>
      <w:r w:rsidRPr="000E7AE9">
        <w:rPr>
          <w:color w:val="000000"/>
          <w:szCs w:val="22"/>
          <w:lang w:val="sv-SE"/>
        </w:rPr>
        <w:sym w:font="Symbol" w:char="F0B3"/>
      </w:r>
      <w:r w:rsidRPr="000E7AE9">
        <w:rPr>
          <w:color w:val="000000"/>
          <w:szCs w:val="22"/>
          <w:lang w:val="sv-SE"/>
        </w:rPr>
        <w:t> 60 års ålder och 10–12</w:t>
      </w:r>
      <w:r w:rsidR="00370A4C">
        <w:rPr>
          <w:color w:val="000000"/>
          <w:szCs w:val="22"/>
          <w:lang w:val="sv-SE"/>
        </w:rPr>
        <w:t> </w:t>
      </w:r>
      <w:r w:rsidRPr="000E7AE9">
        <w:rPr>
          <w:color w:val="000000"/>
          <w:szCs w:val="22"/>
          <w:lang w:val="sv-SE"/>
        </w:rPr>
        <w:t xml:space="preserve">% av patienterna var </w:t>
      </w:r>
      <w:r w:rsidRPr="000E7AE9">
        <w:rPr>
          <w:color w:val="000000"/>
          <w:szCs w:val="22"/>
          <w:lang w:val="sv-SE"/>
        </w:rPr>
        <w:sym w:font="Symbol" w:char="F0B3"/>
      </w:r>
      <w:r w:rsidRPr="000E7AE9">
        <w:rPr>
          <w:color w:val="000000"/>
          <w:szCs w:val="22"/>
          <w:lang w:val="sv-SE"/>
        </w:rPr>
        <w:t> 70 års ålder.</w:t>
      </w:r>
    </w:p>
    <w:p w14:paraId="066B2390" w14:textId="77777777" w:rsidR="00620ABA" w:rsidRPr="000E7AE9" w:rsidRDefault="00620ABA" w:rsidP="00463647">
      <w:pPr>
        <w:pStyle w:val="EndnoteText"/>
        <w:widowControl w:val="0"/>
        <w:tabs>
          <w:tab w:val="clear" w:pos="567"/>
        </w:tabs>
        <w:rPr>
          <w:color w:val="000000"/>
          <w:szCs w:val="22"/>
          <w:lang w:val="sv-SE"/>
        </w:rPr>
      </w:pPr>
    </w:p>
    <w:p w14:paraId="574008E7" w14:textId="77777777" w:rsidR="00620ABA" w:rsidRPr="000E7AE9" w:rsidRDefault="00620ABA" w:rsidP="00463647">
      <w:pPr>
        <w:pStyle w:val="EndnoteText"/>
        <w:widowControl w:val="0"/>
        <w:rPr>
          <w:color w:val="000000"/>
          <w:szCs w:val="22"/>
          <w:lang w:val="sv-SE"/>
        </w:rPr>
      </w:pPr>
      <w:r w:rsidRPr="000E7AE9">
        <w:rPr>
          <w:i/>
          <w:color w:val="000000"/>
          <w:szCs w:val="22"/>
          <w:lang w:val="sv-SE"/>
        </w:rPr>
        <w:t>Kronisk fas, nyligen diagnostiserade:</w:t>
      </w:r>
      <w:r w:rsidRPr="000E7AE9">
        <w:rPr>
          <w:color w:val="000000"/>
          <w:szCs w:val="22"/>
          <w:lang w:val="sv-SE"/>
        </w:rPr>
        <w:t xml:space="preserve"> Denna fas III-studie på vuxna patienter jämförde behandlingen med endera enbart Glivec eller en kombination av interferon-alfa (IFN) och cytarabin (Ara-C). Patienter som uppvisade bristande respons på behandlingen (brist på fullständigt hematologiskt svar (FHS) efter 6 månader, ökande antal vita blodkroppar, inget betydande cytogenetiskt svar (BCyS) efter 24 månader), utebliven respons (förlust av FHS eller BCyS) eller allvarlig intolerans för behandlingen tilläts övergå till den alternativa behandlingsarmen. I Glivec-armen behandlades patienterna med 400 mg dagligen. I IFN-armen behandlades patienterna med en måldos av IFN på 5 MIE/m</w:t>
      </w:r>
      <w:r w:rsidRPr="000E7AE9">
        <w:rPr>
          <w:color w:val="000000"/>
          <w:szCs w:val="22"/>
          <w:vertAlign w:val="superscript"/>
          <w:lang w:val="sv-SE"/>
        </w:rPr>
        <w:t>2</w:t>
      </w:r>
      <w:r w:rsidRPr="000E7AE9">
        <w:rPr>
          <w:color w:val="000000"/>
          <w:szCs w:val="22"/>
          <w:lang w:val="sv-SE"/>
        </w:rPr>
        <w:t>/dag subkutant i kombination med subkutant Ara-C 20 mg/m</w:t>
      </w:r>
      <w:r w:rsidRPr="000E7AE9">
        <w:rPr>
          <w:color w:val="000000"/>
          <w:szCs w:val="22"/>
          <w:vertAlign w:val="superscript"/>
          <w:lang w:val="sv-SE"/>
        </w:rPr>
        <w:t>2</w:t>
      </w:r>
      <w:r w:rsidRPr="000E7AE9">
        <w:rPr>
          <w:color w:val="000000"/>
          <w:szCs w:val="22"/>
          <w:lang w:val="sv-SE"/>
        </w:rPr>
        <w:t>/dag under 10 dagar/månad.</w:t>
      </w:r>
    </w:p>
    <w:p w14:paraId="4EA26B98" w14:textId="77777777" w:rsidR="00620ABA" w:rsidRPr="000E7AE9" w:rsidRDefault="00620ABA" w:rsidP="00463647">
      <w:pPr>
        <w:pStyle w:val="EndnoteText"/>
        <w:widowControl w:val="0"/>
        <w:rPr>
          <w:color w:val="000000"/>
          <w:szCs w:val="22"/>
          <w:lang w:val="sv-SE"/>
        </w:rPr>
      </w:pPr>
    </w:p>
    <w:p w14:paraId="480692B7" w14:textId="77777777" w:rsidR="00620ABA" w:rsidRPr="000E7AE9" w:rsidRDefault="00620ABA" w:rsidP="00463647">
      <w:pPr>
        <w:pStyle w:val="EndnoteText"/>
        <w:widowControl w:val="0"/>
        <w:rPr>
          <w:color w:val="000000"/>
          <w:szCs w:val="22"/>
          <w:lang w:val="sv-SE"/>
        </w:rPr>
      </w:pPr>
      <w:r w:rsidRPr="000E7AE9">
        <w:rPr>
          <w:color w:val="000000"/>
          <w:szCs w:val="22"/>
          <w:lang w:val="sv-SE"/>
        </w:rPr>
        <w:t>Totalt 1 106 patienter randomiserades, 553 i vardera armen. Karakteristika vid baslinjen var väl balanserade mellan de båda armarna. Medianåldern var 51 år (18–70 år), varav 21,9</w:t>
      </w:r>
      <w:r w:rsidR="00370A4C">
        <w:rPr>
          <w:color w:val="000000"/>
          <w:szCs w:val="22"/>
          <w:lang w:val="sv-SE"/>
        </w:rPr>
        <w:t> </w:t>
      </w:r>
      <w:r w:rsidRPr="000E7AE9">
        <w:rPr>
          <w:color w:val="000000"/>
          <w:szCs w:val="22"/>
          <w:lang w:val="sv-SE"/>
        </w:rPr>
        <w:t>% av patienterna ≥ 60 års ålder. Det fanns 59</w:t>
      </w:r>
      <w:r w:rsidR="00370A4C">
        <w:rPr>
          <w:color w:val="000000"/>
          <w:szCs w:val="22"/>
          <w:lang w:val="sv-SE"/>
        </w:rPr>
        <w:t> </w:t>
      </w:r>
      <w:r w:rsidRPr="000E7AE9">
        <w:rPr>
          <w:color w:val="000000"/>
          <w:szCs w:val="22"/>
          <w:lang w:val="sv-SE"/>
        </w:rPr>
        <w:t>% män och 41</w:t>
      </w:r>
      <w:r w:rsidR="00370A4C">
        <w:rPr>
          <w:color w:val="000000"/>
          <w:szCs w:val="22"/>
          <w:lang w:val="sv-SE"/>
        </w:rPr>
        <w:t> </w:t>
      </w:r>
      <w:r w:rsidRPr="000E7AE9">
        <w:rPr>
          <w:color w:val="000000"/>
          <w:szCs w:val="22"/>
          <w:lang w:val="sv-SE"/>
        </w:rPr>
        <w:t>% kvinnor; 89,9</w:t>
      </w:r>
      <w:r w:rsidR="00370A4C">
        <w:rPr>
          <w:color w:val="000000"/>
          <w:szCs w:val="22"/>
          <w:lang w:val="sv-SE"/>
        </w:rPr>
        <w:t> </w:t>
      </w:r>
      <w:r w:rsidRPr="000E7AE9">
        <w:rPr>
          <w:color w:val="000000"/>
          <w:szCs w:val="22"/>
          <w:lang w:val="sv-SE"/>
        </w:rPr>
        <w:t>% kaukasiska och 4,7</w:t>
      </w:r>
      <w:r w:rsidR="00370A4C">
        <w:rPr>
          <w:color w:val="000000"/>
          <w:szCs w:val="22"/>
          <w:lang w:val="sv-SE"/>
        </w:rPr>
        <w:t> </w:t>
      </w:r>
      <w:r w:rsidRPr="000E7AE9">
        <w:rPr>
          <w:color w:val="000000"/>
          <w:szCs w:val="22"/>
          <w:lang w:val="sv-SE"/>
        </w:rPr>
        <w:t xml:space="preserve">% svarta patienter. </w:t>
      </w:r>
      <w:r w:rsidR="008B2367">
        <w:rPr>
          <w:color w:val="000000"/>
          <w:szCs w:val="22"/>
          <w:lang w:val="sv-SE"/>
        </w:rPr>
        <w:t>Sju</w:t>
      </w:r>
      <w:r w:rsidR="008B2367" w:rsidRPr="000E7AE9">
        <w:rPr>
          <w:color w:val="000000"/>
          <w:szCs w:val="22"/>
          <w:lang w:val="sv-SE"/>
        </w:rPr>
        <w:t xml:space="preserve"> </w:t>
      </w:r>
      <w:r w:rsidRPr="000E7AE9">
        <w:rPr>
          <w:color w:val="000000"/>
          <w:szCs w:val="22"/>
          <w:lang w:val="sv-SE"/>
        </w:rPr>
        <w:t xml:space="preserve">år efter rekrytering av den sista patienten var mediandurationen för förstahandsbehandling </w:t>
      </w:r>
      <w:r w:rsidR="008B2367">
        <w:rPr>
          <w:color w:val="000000"/>
          <w:szCs w:val="22"/>
          <w:lang w:val="sv-SE"/>
        </w:rPr>
        <w:t>82</w:t>
      </w:r>
      <w:r w:rsidR="008B2367" w:rsidRPr="000E7AE9">
        <w:rPr>
          <w:color w:val="000000"/>
          <w:szCs w:val="22"/>
          <w:lang w:val="sv-SE"/>
        </w:rPr>
        <w:t xml:space="preserve"> </w:t>
      </w:r>
      <w:r w:rsidRPr="000E7AE9">
        <w:rPr>
          <w:color w:val="000000"/>
          <w:szCs w:val="22"/>
          <w:lang w:val="sv-SE"/>
        </w:rPr>
        <w:t>respektive 8</w:t>
      </w:r>
      <w:r w:rsidR="00E80015" w:rsidRPr="000E7AE9">
        <w:rPr>
          <w:color w:val="000000"/>
          <w:szCs w:val="22"/>
          <w:lang w:val="sv-SE"/>
        </w:rPr>
        <w:t> </w:t>
      </w:r>
      <w:r w:rsidRPr="000E7AE9">
        <w:rPr>
          <w:color w:val="000000"/>
          <w:szCs w:val="22"/>
          <w:lang w:val="sv-SE"/>
        </w:rPr>
        <w:t xml:space="preserve">månader för Glivec- respektive IFN-armarna. Medianduration för andrahandsbehandling med Glivec var </w:t>
      </w:r>
      <w:r w:rsidR="008B2367">
        <w:rPr>
          <w:color w:val="000000"/>
          <w:szCs w:val="22"/>
          <w:lang w:val="sv-SE"/>
        </w:rPr>
        <w:t>64</w:t>
      </w:r>
      <w:r w:rsidR="008B2367" w:rsidRPr="000E7AE9">
        <w:rPr>
          <w:color w:val="000000"/>
          <w:szCs w:val="22"/>
          <w:lang w:val="sv-SE"/>
        </w:rPr>
        <w:t> </w:t>
      </w:r>
      <w:r w:rsidRPr="000E7AE9">
        <w:rPr>
          <w:color w:val="000000"/>
          <w:szCs w:val="22"/>
          <w:lang w:val="sv-SE"/>
        </w:rPr>
        <w:t xml:space="preserve">månader. Totalt sett var den genomsnittliga administrerade dygnsdosen </w:t>
      </w:r>
      <w:r w:rsidR="008B2367">
        <w:rPr>
          <w:color w:val="000000"/>
          <w:szCs w:val="22"/>
          <w:lang w:val="sv-SE"/>
        </w:rPr>
        <w:t>406</w:t>
      </w:r>
      <w:r w:rsidR="008B2367" w:rsidRPr="000E7AE9">
        <w:rPr>
          <w:color w:val="000000"/>
          <w:szCs w:val="22"/>
          <w:lang w:val="sv-SE"/>
        </w:rPr>
        <w:t> </w:t>
      </w:r>
      <w:r w:rsidR="00E80015" w:rsidRPr="000E7AE9">
        <w:rPr>
          <w:color w:val="000000"/>
          <w:szCs w:val="22"/>
          <w:lang w:val="sv-SE"/>
        </w:rPr>
        <w:t>± </w:t>
      </w:r>
      <w:r w:rsidR="008B2367">
        <w:rPr>
          <w:color w:val="000000"/>
          <w:szCs w:val="22"/>
          <w:lang w:val="sv-SE"/>
        </w:rPr>
        <w:t>76</w:t>
      </w:r>
      <w:r w:rsidR="008B2367" w:rsidRPr="000E7AE9">
        <w:rPr>
          <w:color w:val="000000"/>
          <w:szCs w:val="22"/>
          <w:lang w:val="sv-SE"/>
        </w:rPr>
        <w:t> </w:t>
      </w:r>
      <w:r w:rsidRPr="000E7AE9">
        <w:rPr>
          <w:color w:val="000000"/>
          <w:szCs w:val="22"/>
          <w:lang w:val="sv-SE"/>
        </w:rPr>
        <w:t>mg för alla patienter som fick Glivec som försthands</w:t>
      </w:r>
      <w:r w:rsidRPr="000E7AE9">
        <w:rPr>
          <w:color w:val="000000"/>
          <w:szCs w:val="22"/>
          <w:lang w:val="sv-SE"/>
        </w:rPr>
        <w:softHyphen/>
        <w:t xml:space="preserve">behandling. Det primära effektmåttet i denna studie är progressionsfri överlevnad. Progression definierades som någon av följande händelser: progression till accelererad fas eller blastkris, död, brist på FHS eller BCyS eller hos patienter som inte uppnådde FHS, ett ökande antal vita blodkroppar trots tillbörlig behandling. Betydande cytogenetiskt svar, hematologiskt svar, molekylärt svar (evaluering av minimal kvarvarande sjukdom) tid till </w:t>
      </w:r>
      <w:r w:rsidRPr="000E7AE9">
        <w:rPr>
          <w:color w:val="000000"/>
          <w:szCs w:val="22"/>
          <w:lang w:val="sv-SE"/>
        </w:rPr>
        <w:lastRenderedPageBreak/>
        <w:t>accelererad fas eller blastkris och överlevnad är de huvudsakliga sekundära effektmåtten. Behand</w:t>
      </w:r>
      <w:r w:rsidR="0044075B" w:rsidRPr="000E7AE9">
        <w:rPr>
          <w:color w:val="000000"/>
          <w:szCs w:val="22"/>
          <w:lang w:val="sv-SE"/>
        </w:rPr>
        <w:t>lingssvar redovisas i Tabell </w:t>
      </w:r>
      <w:r w:rsidR="007F2DDD">
        <w:rPr>
          <w:color w:val="000000"/>
          <w:szCs w:val="22"/>
          <w:lang w:val="sv-SE"/>
        </w:rPr>
        <w:t>2</w:t>
      </w:r>
      <w:r w:rsidR="0044075B" w:rsidRPr="000E7AE9">
        <w:rPr>
          <w:color w:val="000000"/>
          <w:szCs w:val="22"/>
          <w:lang w:val="sv-SE"/>
        </w:rPr>
        <w:t>.</w:t>
      </w:r>
    </w:p>
    <w:p w14:paraId="3F3750EB" w14:textId="77777777" w:rsidR="00620ABA" w:rsidRPr="000E7AE9" w:rsidRDefault="00620ABA" w:rsidP="00463647">
      <w:pPr>
        <w:pStyle w:val="EndnoteText"/>
        <w:widowControl w:val="0"/>
        <w:rPr>
          <w:color w:val="000000"/>
          <w:szCs w:val="22"/>
          <w:lang w:val="sv-SE"/>
        </w:rPr>
      </w:pPr>
    </w:p>
    <w:p w14:paraId="48282A6D" w14:textId="77777777" w:rsidR="00620ABA" w:rsidRPr="000E7AE9" w:rsidRDefault="00620ABA" w:rsidP="00463647">
      <w:pPr>
        <w:keepNext/>
        <w:keepLines/>
        <w:widowControl w:val="0"/>
        <w:autoSpaceDE w:val="0"/>
        <w:autoSpaceDN w:val="0"/>
        <w:adjustRightInd w:val="0"/>
        <w:spacing w:line="240" w:lineRule="auto"/>
        <w:rPr>
          <w:b/>
          <w:bCs/>
          <w:color w:val="000000"/>
          <w:szCs w:val="22"/>
          <w:lang w:val="sv-SE"/>
        </w:rPr>
      </w:pPr>
      <w:r w:rsidRPr="000E7AE9">
        <w:rPr>
          <w:b/>
          <w:bCs/>
          <w:color w:val="000000"/>
          <w:szCs w:val="22"/>
          <w:lang w:val="sv-SE"/>
        </w:rPr>
        <w:t>Tabell</w:t>
      </w:r>
      <w:r w:rsidR="00E80015" w:rsidRPr="000E7AE9">
        <w:rPr>
          <w:b/>
          <w:bCs/>
          <w:color w:val="000000"/>
          <w:szCs w:val="22"/>
          <w:lang w:val="sv-SE"/>
        </w:rPr>
        <w:t> </w:t>
      </w:r>
      <w:r w:rsidR="007F2DDD">
        <w:rPr>
          <w:b/>
          <w:bCs/>
          <w:color w:val="000000"/>
          <w:szCs w:val="22"/>
          <w:lang w:val="sv-SE"/>
        </w:rPr>
        <w:t>2</w:t>
      </w:r>
      <w:r w:rsidRPr="000E7AE9">
        <w:rPr>
          <w:b/>
          <w:bCs/>
          <w:color w:val="000000"/>
          <w:szCs w:val="22"/>
          <w:lang w:val="sv-SE"/>
        </w:rPr>
        <w:tab/>
        <w:t xml:space="preserve">Svar i studie av nyligen diagnostiserad KML (data vid </w:t>
      </w:r>
      <w:r w:rsidR="00C54F7C">
        <w:rPr>
          <w:b/>
          <w:bCs/>
          <w:color w:val="000000"/>
          <w:szCs w:val="22"/>
          <w:lang w:val="sv-SE"/>
        </w:rPr>
        <w:t>84</w:t>
      </w:r>
      <w:r w:rsidR="00C54F7C" w:rsidRPr="000E7AE9">
        <w:rPr>
          <w:b/>
          <w:bCs/>
          <w:color w:val="000000"/>
          <w:szCs w:val="22"/>
          <w:lang w:val="sv-SE"/>
        </w:rPr>
        <w:t> </w:t>
      </w:r>
      <w:r w:rsidRPr="000E7AE9">
        <w:rPr>
          <w:b/>
          <w:bCs/>
          <w:color w:val="000000"/>
          <w:szCs w:val="22"/>
          <w:lang w:val="sv-SE"/>
        </w:rPr>
        <w:t>månader)</w:t>
      </w:r>
    </w:p>
    <w:p w14:paraId="47F07662" w14:textId="77777777" w:rsidR="00620ABA" w:rsidRPr="000E7AE9" w:rsidRDefault="00620ABA" w:rsidP="00463647">
      <w:pPr>
        <w:pStyle w:val="EndnoteText"/>
        <w:keepNext/>
        <w:keepLines/>
        <w:widowControl w:val="0"/>
        <w:rPr>
          <w:color w:val="000000"/>
          <w:szCs w:val="22"/>
          <w:lang w:val="sv-SE"/>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693"/>
      </w:tblGrid>
      <w:tr w:rsidR="00620ABA" w:rsidRPr="000E7AE9" w14:paraId="34BF615C" w14:textId="77777777" w:rsidTr="00C81D6E">
        <w:trPr>
          <w:cantSplit/>
        </w:trPr>
        <w:tc>
          <w:tcPr>
            <w:tcW w:w="3794" w:type="dxa"/>
            <w:tcBorders>
              <w:top w:val="single" w:sz="4" w:space="0" w:color="auto"/>
              <w:left w:val="single" w:sz="4" w:space="0" w:color="auto"/>
              <w:bottom w:val="nil"/>
            </w:tcBorders>
          </w:tcPr>
          <w:p w14:paraId="6EFA5ED2"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p>
        </w:tc>
        <w:tc>
          <w:tcPr>
            <w:tcW w:w="2693" w:type="dxa"/>
            <w:tcBorders>
              <w:top w:val="single" w:sz="4" w:space="0" w:color="auto"/>
              <w:bottom w:val="nil"/>
            </w:tcBorders>
          </w:tcPr>
          <w:p w14:paraId="16149A99" w14:textId="77777777" w:rsidR="00620ABA" w:rsidRPr="000E7AE9" w:rsidRDefault="00620ABA" w:rsidP="00463647">
            <w:pPr>
              <w:pStyle w:val="Table"/>
              <w:widowControl w:val="0"/>
              <w:spacing w:before="0" w:after="0"/>
              <w:jc w:val="center"/>
              <w:rPr>
                <w:rFonts w:ascii="Times New Roman" w:hAnsi="Times New Roman"/>
                <w:b/>
                <w:color w:val="000000"/>
                <w:sz w:val="22"/>
                <w:szCs w:val="22"/>
                <w:lang w:val="sv-SE"/>
              </w:rPr>
            </w:pPr>
            <w:r w:rsidRPr="000E7AE9">
              <w:rPr>
                <w:rFonts w:ascii="Times New Roman" w:hAnsi="Times New Roman"/>
                <w:b/>
                <w:color w:val="000000"/>
                <w:sz w:val="22"/>
                <w:szCs w:val="22"/>
                <w:lang w:val="sv-SE"/>
              </w:rPr>
              <w:t>Glivec</w:t>
            </w:r>
          </w:p>
        </w:tc>
        <w:tc>
          <w:tcPr>
            <w:tcW w:w="2693" w:type="dxa"/>
            <w:tcBorders>
              <w:top w:val="single" w:sz="4" w:space="0" w:color="auto"/>
              <w:bottom w:val="nil"/>
              <w:right w:val="single" w:sz="4" w:space="0" w:color="auto"/>
            </w:tcBorders>
          </w:tcPr>
          <w:p w14:paraId="2F7BA03F" w14:textId="77777777" w:rsidR="00620ABA" w:rsidRPr="000E7AE9" w:rsidRDefault="00620ABA" w:rsidP="00463647">
            <w:pPr>
              <w:pStyle w:val="Table"/>
              <w:widowControl w:val="0"/>
              <w:spacing w:before="0" w:after="0"/>
              <w:jc w:val="center"/>
              <w:rPr>
                <w:rFonts w:ascii="Times New Roman" w:hAnsi="Times New Roman"/>
                <w:b/>
                <w:color w:val="000000"/>
                <w:sz w:val="22"/>
                <w:szCs w:val="22"/>
                <w:lang w:val="sv-SE"/>
              </w:rPr>
            </w:pPr>
            <w:r w:rsidRPr="000E7AE9">
              <w:rPr>
                <w:rFonts w:ascii="Times New Roman" w:hAnsi="Times New Roman"/>
                <w:b/>
                <w:color w:val="000000"/>
                <w:sz w:val="22"/>
                <w:szCs w:val="22"/>
                <w:lang w:val="sv-SE"/>
              </w:rPr>
              <w:t>IFN+Ara-C</w:t>
            </w:r>
          </w:p>
        </w:tc>
      </w:tr>
      <w:tr w:rsidR="00620ABA" w:rsidRPr="000E7AE9" w14:paraId="1C421D81" w14:textId="77777777" w:rsidTr="00C81D6E">
        <w:trPr>
          <w:cantSplit/>
        </w:trPr>
        <w:tc>
          <w:tcPr>
            <w:tcW w:w="3794" w:type="dxa"/>
            <w:tcBorders>
              <w:top w:val="nil"/>
              <w:left w:val="single" w:sz="4" w:space="0" w:color="auto"/>
              <w:bottom w:val="single" w:sz="4" w:space="0" w:color="auto"/>
            </w:tcBorders>
          </w:tcPr>
          <w:p w14:paraId="2D06E369" w14:textId="77777777" w:rsidR="00620ABA" w:rsidRPr="000E7AE9" w:rsidRDefault="00620ABA" w:rsidP="00463647">
            <w:pPr>
              <w:pStyle w:val="Table"/>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(Bästa behandlingssvar)</w:t>
            </w:r>
          </w:p>
        </w:tc>
        <w:tc>
          <w:tcPr>
            <w:tcW w:w="2693" w:type="dxa"/>
            <w:tcBorders>
              <w:top w:val="nil"/>
              <w:bottom w:val="single" w:sz="4" w:space="0" w:color="auto"/>
            </w:tcBorders>
          </w:tcPr>
          <w:p w14:paraId="7C4EF694"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n=553</w:t>
            </w:r>
          </w:p>
        </w:tc>
        <w:tc>
          <w:tcPr>
            <w:tcW w:w="2693" w:type="dxa"/>
            <w:tcBorders>
              <w:top w:val="nil"/>
              <w:bottom w:val="single" w:sz="4" w:space="0" w:color="auto"/>
              <w:right w:val="single" w:sz="4" w:space="0" w:color="auto"/>
            </w:tcBorders>
          </w:tcPr>
          <w:p w14:paraId="7C5677E2"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n=553</w:t>
            </w:r>
          </w:p>
        </w:tc>
      </w:tr>
      <w:tr w:rsidR="00620ABA" w:rsidRPr="000E7AE9" w14:paraId="61B4C63E" w14:textId="77777777" w:rsidTr="00C81D6E">
        <w:trPr>
          <w:cantSplit/>
        </w:trPr>
        <w:tc>
          <w:tcPr>
            <w:tcW w:w="3794" w:type="dxa"/>
            <w:tcBorders>
              <w:top w:val="nil"/>
              <w:left w:val="single" w:sz="4" w:space="0" w:color="auto"/>
            </w:tcBorders>
          </w:tcPr>
          <w:p w14:paraId="2F728FD7" w14:textId="77777777" w:rsidR="00620ABA" w:rsidRPr="000E7AE9" w:rsidRDefault="00620ABA" w:rsidP="00463647">
            <w:pPr>
              <w:pStyle w:val="Table"/>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Hematologiskt svar</w:t>
            </w:r>
          </w:p>
        </w:tc>
        <w:tc>
          <w:tcPr>
            <w:tcW w:w="2693" w:type="dxa"/>
            <w:tcBorders>
              <w:top w:val="nil"/>
            </w:tcBorders>
          </w:tcPr>
          <w:p w14:paraId="59050ADD" w14:textId="77777777" w:rsidR="00620ABA" w:rsidRPr="000E7AE9" w:rsidRDefault="00620ABA" w:rsidP="00463647">
            <w:pPr>
              <w:pStyle w:val="Table"/>
              <w:widowControl w:val="0"/>
              <w:spacing w:before="0" w:after="0"/>
              <w:jc w:val="center"/>
              <w:rPr>
                <w:rFonts w:ascii="Times New Roman" w:hAnsi="Times New Roman"/>
                <w:b/>
                <w:color w:val="000000"/>
                <w:sz w:val="22"/>
                <w:szCs w:val="22"/>
                <w:lang w:val="sv-SE"/>
              </w:rPr>
            </w:pPr>
          </w:p>
        </w:tc>
        <w:tc>
          <w:tcPr>
            <w:tcW w:w="2693" w:type="dxa"/>
            <w:tcBorders>
              <w:top w:val="nil"/>
              <w:right w:val="single" w:sz="4" w:space="0" w:color="auto"/>
            </w:tcBorders>
          </w:tcPr>
          <w:p w14:paraId="317E9F5F" w14:textId="77777777" w:rsidR="00620ABA" w:rsidRPr="000E7AE9" w:rsidRDefault="00620ABA" w:rsidP="00463647">
            <w:pPr>
              <w:pStyle w:val="Table"/>
              <w:widowControl w:val="0"/>
              <w:spacing w:before="0" w:after="0"/>
              <w:jc w:val="center"/>
              <w:rPr>
                <w:rFonts w:ascii="Times New Roman" w:hAnsi="Times New Roman"/>
                <w:b/>
                <w:color w:val="000000"/>
                <w:sz w:val="22"/>
                <w:szCs w:val="22"/>
                <w:lang w:val="sv-SE"/>
              </w:rPr>
            </w:pPr>
          </w:p>
        </w:tc>
      </w:tr>
      <w:tr w:rsidR="00620ABA" w:rsidRPr="000E7AE9" w14:paraId="567C2FD2" w14:textId="77777777" w:rsidTr="00C81D6E">
        <w:trPr>
          <w:cantSplit/>
        </w:trPr>
        <w:tc>
          <w:tcPr>
            <w:tcW w:w="3794" w:type="dxa"/>
            <w:tcBorders>
              <w:top w:val="nil"/>
              <w:left w:val="single" w:sz="4" w:space="0" w:color="auto"/>
            </w:tcBorders>
          </w:tcPr>
          <w:p w14:paraId="6F262458"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FHS n</w:t>
            </w:r>
            <w:r w:rsidR="003A5706" w:rsidRPr="000E7AE9">
              <w:rPr>
                <w:rFonts w:ascii="Times New Roman" w:hAnsi="Times New Roman"/>
                <w:color w:val="000000"/>
                <w:sz w:val="22"/>
                <w:szCs w:val="22"/>
                <w:lang w:val="sv-SE"/>
              </w:rPr>
              <w:t xml:space="preserve"> </w:t>
            </w:r>
            <w:r w:rsidRPr="000E7AE9">
              <w:rPr>
                <w:rFonts w:ascii="Times New Roman" w:hAnsi="Times New Roman"/>
                <w:color w:val="000000"/>
                <w:sz w:val="22"/>
                <w:szCs w:val="22"/>
                <w:lang w:val="sv-SE"/>
              </w:rPr>
              <w:t>(</w:t>
            </w:r>
            <w:r w:rsidR="00AD00B7" w:rsidRPr="000E7AE9">
              <w:rPr>
                <w:rFonts w:ascii="Times New Roman" w:hAnsi="Times New Roman"/>
                <w:color w:val="000000"/>
                <w:sz w:val="22"/>
                <w:szCs w:val="22"/>
                <w:lang w:val="sv-SE"/>
              </w:rPr>
              <w:t>%</w:t>
            </w:r>
            <w:r w:rsidRPr="000E7AE9">
              <w:rPr>
                <w:rFonts w:ascii="Times New Roman" w:hAnsi="Times New Roman"/>
                <w:color w:val="000000"/>
                <w:sz w:val="22"/>
                <w:szCs w:val="22"/>
                <w:lang w:val="sv-SE"/>
              </w:rPr>
              <w:t>)</w:t>
            </w:r>
          </w:p>
        </w:tc>
        <w:tc>
          <w:tcPr>
            <w:tcW w:w="2693" w:type="dxa"/>
            <w:tcBorders>
              <w:top w:val="nil"/>
            </w:tcBorders>
          </w:tcPr>
          <w:p w14:paraId="254D2C6C"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534 (96,6</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r w:rsidR="00AD00B7" w:rsidRPr="000E7AE9">
              <w:rPr>
                <w:rFonts w:ascii="Times New Roman" w:hAnsi="Times New Roman"/>
                <w:color w:val="000000"/>
                <w:sz w:val="22"/>
                <w:szCs w:val="22"/>
                <w:lang w:val="sv-SE"/>
              </w:rPr>
              <w:t>*</w:t>
            </w:r>
          </w:p>
        </w:tc>
        <w:tc>
          <w:tcPr>
            <w:tcW w:w="2693" w:type="dxa"/>
            <w:tcBorders>
              <w:top w:val="nil"/>
              <w:right w:val="single" w:sz="4" w:space="0" w:color="auto"/>
            </w:tcBorders>
          </w:tcPr>
          <w:p w14:paraId="1CADE6CE"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313 (56,6</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r w:rsidR="00AD00B7" w:rsidRPr="000E7AE9">
              <w:rPr>
                <w:rFonts w:ascii="Times New Roman" w:hAnsi="Times New Roman"/>
                <w:color w:val="000000"/>
                <w:sz w:val="22"/>
                <w:szCs w:val="22"/>
                <w:lang w:val="sv-SE"/>
              </w:rPr>
              <w:t>*</w:t>
            </w:r>
          </w:p>
        </w:tc>
      </w:tr>
      <w:tr w:rsidR="00620ABA" w:rsidRPr="000E7AE9" w14:paraId="3AB90565" w14:textId="77777777" w:rsidTr="00C81D6E">
        <w:trPr>
          <w:cantSplit/>
        </w:trPr>
        <w:tc>
          <w:tcPr>
            <w:tcW w:w="3794" w:type="dxa"/>
            <w:tcBorders>
              <w:left w:val="single" w:sz="4" w:space="0" w:color="auto"/>
            </w:tcBorders>
          </w:tcPr>
          <w:p w14:paraId="754373F6"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b/>
              <w:t>[95</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xml:space="preserve">% </w:t>
            </w:r>
            <w:r w:rsidR="007A04BC">
              <w:rPr>
                <w:rFonts w:ascii="Times New Roman" w:hAnsi="Times New Roman"/>
                <w:color w:val="000000"/>
                <w:sz w:val="22"/>
                <w:szCs w:val="22"/>
                <w:lang w:val="sv-SE"/>
              </w:rPr>
              <w:t>K</w:t>
            </w:r>
            <w:r w:rsidR="007A04BC" w:rsidRPr="000E7AE9">
              <w:rPr>
                <w:rFonts w:ascii="Times New Roman" w:hAnsi="Times New Roman"/>
                <w:color w:val="000000"/>
                <w:sz w:val="22"/>
                <w:szCs w:val="22"/>
                <w:lang w:val="sv-SE"/>
              </w:rPr>
              <w:t>I</w:t>
            </w:r>
            <w:r w:rsidRPr="000E7AE9">
              <w:rPr>
                <w:rFonts w:ascii="Times New Roman" w:hAnsi="Times New Roman"/>
                <w:color w:val="000000"/>
                <w:sz w:val="22"/>
                <w:szCs w:val="22"/>
                <w:lang w:val="sv-SE"/>
              </w:rPr>
              <w:t>]</w:t>
            </w:r>
          </w:p>
        </w:tc>
        <w:tc>
          <w:tcPr>
            <w:tcW w:w="2693" w:type="dxa"/>
          </w:tcPr>
          <w:p w14:paraId="37C49B0E"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[94,7</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97,9</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c>
          <w:tcPr>
            <w:tcW w:w="2693" w:type="dxa"/>
            <w:tcBorders>
              <w:right w:val="single" w:sz="4" w:space="0" w:color="auto"/>
            </w:tcBorders>
          </w:tcPr>
          <w:p w14:paraId="0C7D3724"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[52,4</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60,8</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620ABA" w:rsidRPr="000E7AE9" w14:paraId="2C4C66E4" w14:textId="77777777" w:rsidTr="00C81D6E">
        <w:trPr>
          <w:cantSplit/>
        </w:trPr>
        <w:tc>
          <w:tcPr>
            <w:tcW w:w="3794" w:type="dxa"/>
            <w:tcBorders>
              <w:left w:val="single" w:sz="4" w:space="0" w:color="auto"/>
            </w:tcBorders>
          </w:tcPr>
          <w:p w14:paraId="6710B8B3"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p>
        </w:tc>
        <w:tc>
          <w:tcPr>
            <w:tcW w:w="2693" w:type="dxa"/>
          </w:tcPr>
          <w:p w14:paraId="078A9009"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p>
        </w:tc>
        <w:tc>
          <w:tcPr>
            <w:tcW w:w="2693" w:type="dxa"/>
            <w:tcBorders>
              <w:right w:val="single" w:sz="4" w:space="0" w:color="auto"/>
            </w:tcBorders>
          </w:tcPr>
          <w:p w14:paraId="69C4570C"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p>
        </w:tc>
      </w:tr>
      <w:tr w:rsidR="00620ABA" w:rsidRPr="000E7AE9" w14:paraId="06B838F1" w14:textId="77777777" w:rsidTr="00C81D6E">
        <w:trPr>
          <w:cantSplit/>
        </w:trPr>
        <w:tc>
          <w:tcPr>
            <w:tcW w:w="3794" w:type="dxa"/>
            <w:tcBorders>
              <w:left w:val="single" w:sz="4" w:space="0" w:color="auto"/>
            </w:tcBorders>
          </w:tcPr>
          <w:p w14:paraId="0A13F227" w14:textId="77777777" w:rsidR="00620ABA" w:rsidRPr="000E7AE9" w:rsidRDefault="00620ABA" w:rsidP="00463647">
            <w:pPr>
              <w:pStyle w:val="Table"/>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Cytogenetiskt svar</w:t>
            </w:r>
          </w:p>
        </w:tc>
        <w:tc>
          <w:tcPr>
            <w:tcW w:w="2693" w:type="dxa"/>
          </w:tcPr>
          <w:p w14:paraId="3A3D73EC" w14:textId="77777777" w:rsidR="00620ABA" w:rsidRPr="000E7AE9" w:rsidRDefault="00620ABA" w:rsidP="00463647">
            <w:pPr>
              <w:pStyle w:val="Table"/>
              <w:widowControl w:val="0"/>
              <w:spacing w:before="0" w:after="0"/>
              <w:rPr>
                <w:rFonts w:ascii="Times New Roman" w:hAnsi="Times New Roman"/>
                <w:b/>
                <w:color w:val="000000"/>
                <w:sz w:val="22"/>
                <w:szCs w:val="22"/>
                <w:lang w:val="sv-SE"/>
              </w:rPr>
            </w:pPr>
          </w:p>
        </w:tc>
        <w:tc>
          <w:tcPr>
            <w:tcW w:w="2693" w:type="dxa"/>
            <w:tcBorders>
              <w:right w:val="single" w:sz="4" w:space="0" w:color="auto"/>
            </w:tcBorders>
          </w:tcPr>
          <w:p w14:paraId="6294EF96" w14:textId="77777777" w:rsidR="00620ABA" w:rsidRPr="000E7AE9" w:rsidRDefault="00620ABA" w:rsidP="00463647">
            <w:pPr>
              <w:pStyle w:val="Table"/>
              <w:widowControl w:val="0"/>
              <w:spacing w:before="0" w:after="0"/>
              <w:rPr>
                <w:rFonts w:ascii="Times New Roman" w:hAnsi="Times New Roman"/>
                <w:b/>
                <w:color w:val="000000"/>
                <w:sz w:val="22"/>
                <w:szCs w:val="22"/>
                <w:lang w:val="sv-SE"/>
              </w:rPr>
            </w:pPr>
          </w:p>
        </w:tc>
      </w:tr>
      <w:tr w:rsidR="00620ABA" w:rsidRPr="000E7AE9" w14:paraId="574551CE" w14:textId="77777777" w:rsidTr="00C81D6E">
        <w:trPr>
          <w:cantSplit/>
        </w:trPr>
        <w:tc>
          <w:tcPr>
            <w:tcW w:w="3794" w:type="dxa"/>
            <w:tcBorders>
              <w:left w:val="single" w:sz="4" w:space="0" w:color="auto"/>
            </w:tcBorders>
          </w:tcPr>
          <w:p w14:paraId="646D3B28"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Betydande svar n (%)</w:t>
            </w:r>
          </w:p>
        </w:tc>
        <w:tc>
          <w:tcPr>
            <w:tcW w:w="2693" w:type="dxa"/>
          </w:tcPr>
          <w:p w14:paraId="4D8363EB"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490 (88,6</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c>
          <w:tcPr>
            <w:tcW w:w="2693" w:type="dxa"/>
            <w:tcBorders>
              <w:right w:val="single" w:sz="4" w:space="0" w:color="auto"/>
            </w:tcBorders>
          </w:tcPr>
          <w:p w14:paraId="449D07E9"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129 (23,3</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620ABA" w:rsidRPr="000E7AE9" w14:paraId="5DDF2B5F" w14:textId="77777777" w:rsidTr="00C81D6E">
        <w:trPr>
          <w:cantSplit/>
        </w:trPr>
        <w:tc>
          <w:tcPr>
            <w:tcW w:w="3794" w:type="dxa"/>
            <w:tcBorders>
              <w:left w:val="single" w:sz="4" w:space="0" w:color="auto"/>
            </w:tcBorders>
          </w:tcPr>
          <w:p w14:paraId="196035B6"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b/>
              <w:t>[95</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xml:space="preserve">% </w:t>
            </w:r>
            <w:r w:rsidR="007A04BC">
              <w:rPr>
                <w:rFonts w:ascii="Times New Roman" w:hAnsi="Times New Roman"/>
                <w:color w:val="000000"/>
                <w:sz w:val="22"/>
                <w:szCs w:val="22"/>
                <w:lang w:val="sv-SE"/>
              </w:rPr>
              <w:t>K</w:t>
            </w:r>
            <w:r w:rsidR="007A04BC" w:rsidRPr="000E7AE9">
              <w:rPr>
                <w:rFonts w:ascii="Times New Roman" w:hAnsi="Times New Roman"/>
                <w:color w:val="000000"/>
                <w:sz w:val="22"/>
                <w:szCs w:val="22"/>
                <w:lang w:val="sv-SE"/>
              </w:rPr>
              <w:t>I</w:t>
            </w:r>
            <w:r w:rsidRPr="000E7AE9">
              <w:rPr>
                <w:rFonts w:ascii="Times New Roman" w:hAnsi="Times New Roman"/>
                <w:color w:val="000000"/>
                <w:sz w:val="22"/>
                <w:szCs w:val="22"/>
                <w:lang w:val="sv-SE"/>
              </w:rPr>
              <w:t>]</w:t>
            </w:r>
          </w:p>
        </w:tc>
        <w:tc>
          <w:tcPr>
            <w:tcW w:w="2693" w:type="dxa"/>
          </w:tcPr>
          <w:p w14:paraId="1AF953D9"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[85,7</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91,1</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c>
          <w:tcPr>
            <w:tcW w:w="2693" w:type="dxa"/>
            <w:tcBorders>
              <w:right w:val="single" w:sz="4" w:space="0" w:color="auto"/>
            </w:tcBorders>
          </w:tcPr>
          <w:p w14:paraId="6A125F4E"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[19,9</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27,1</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620ABA" w:rsidRPr="000E7AE9" w14:paraId="650E3524" w14:textId="77777777" w:rsidTr="00C81D6E">
        <w:trPr>
          <w:cantSplit/>
        </w:trPr>
        <w:tc>
          <w:tcPr>
            <w:tcW w:w="3794" w:type="dxa"/>
            <w:tcBorders>
              <w:left w:val="single" w:sz="4" w:space="0" w:color="auto"/>
            </w:tcBorders>
          </w:tcPr>
          <w:p w14:paraId="558FB4E6"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b/>
              <w:t>Fullständigt CyS n (%)</w:t>
            </w:r>
          </w:p>
        </w:tc>
        <w:tc>
          <w:tcPr>
            <w:tcW w:w="2693" w:type="dxa"/>
          </w:tcPr>
          <w:p w14:paraId="051BD026" w14:textId="77777777" w:rsidR="00620ABA" w:rsidRPr="000E7AE9" w:rsidRDefault="00C54F7C" w:rsidP="00463647">
            <w:pPr>
              <w:pStyle w:val="Table"/>
              <w:widowControl w:val="0"/>
              <w:spacing w:before="0" w:after="0"/>
              <w:jc w:val="center"/>
              <w:rPr>
                <w:rFonts w:ascii="Times New Roman" w:hAnsi="Times New Roman"/>
                <w:color w:val="000000"/>
                <w:sz w:val="22"/>
                <w:szCs w:val="22"/>
                <w:lang w:val="sv-SE"/>
              </w:rPr>
            </w:pPr>
            <w:r>
              <w:rPr>
                <w:rFonts w:ascii="Times New Roman" w:hAnsi="Times New Roman"/>
                <w:color w:val="000000"/>
                <w:sz w:val="22"/>
                <w:szCs w:val="22"/>
                <w:lang w:val="en-GB"/>
              </w:rPr>
              <w:t>456</w:t>
            </w:r>
            <w:r w:rsidRPr="0021220C">
              <w:rPr>
                <w:rFonts w:ascii="Times New Roman" w:hAnsi="Times New Roman"/>
                <w:color w:val="000000"/>
                <w:sz w:val="22"/>
                <w:szCs w:val="22"/>
                <w:lang w:val="en-GB"/>
              </w:rPr>
              <w:t xml:space="preserve"> (</w:t>
            </w:r>
            <w:r>
              <w:rPr>
                <w:rFonts w:ascii="Times New Roman" w:hAnsi="Times New Roman"/>
                <w:color w:val="000000"/>
                <w:sz w:val="22"/>
                <w:szCs w:val="22"/>
                <w:lang w:val="en-GB"/>
              </w:rPr>
              <w:t>82</w:t>
            </w:r>
            <w:r w:rsidR="00EE18BC">
              <w:rPr>
                <w:rFonts w:ascii="Times New Roman" w:hAnsi="Times New Roman"/>
                <w:color w:val="000000"/>
                <w:sz w:val="22"/>
                <w:szCs w:val="22"/>
                <w:lang w:val="en-GB"/>
              </w:rPr>
              <w:t>,</w:t>
            </w:r>
            <w:r>
              <w:rPr>
                <w:rFonts w:ascii="Times New Roman" w:hAnsi="Times New Roman"/>
                <w:color w:val="000000"/>
                <w:sz w:val="22"/>
                <w:szCs w:val="22"/>
                <w:lang w:val="en-GB"/>
              </w:rPr>
              <w:t>5</w:t>
            </w:r>
            <w:r w:rsidR="00370A4C">
              <w:rPr>
                <w:rFonts w:ascii="Times New Roman" w:hAnsi="Times New Roman"/>
                <w:color w:val="000000"/>
                <w:sz w:val="22"/>
                <w:szCs w:val="22"/>
                <w:lang w:val="en-GB"/>
              </w:rPr>
              <w:t> </w:t>
            </w:r>
            <w:r w:rsidRPr="0021220C">
              <w:rPr>
                <w:rFonts w:ascii="Times New Roman" w:hAnsi="Times New Roman"/>
                <w:color w:val="000000"/>
                <w:sz w:val="22"/>
                <w:szCs w:val="22"/>
                <w:lang w:val="en-GB"/>
              </w:rPr>
              <w:t>%)*</w:t>
            </w:r>
          </w:p>
        </w:tc>
        <w:tc>
          <w:tcPr>
            <w:tcW w:w="2693" w:type="dxa"/>
            <w:tcBorders>
              <w:right w:val="single" w:sz="4" w:space="0" w:color="auto"/>
            </w:tcBorders>
          </w:tcPr>
          <w:p w14:paraId="170CE732"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64 (11,6</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620ABA" w:rsidRPr="000E7AE9" w14:paraId="0C52C641" w14:textId="77777777" w:rsidTr="00C81D6E">
        <w:trPr>
          <w:cantSplit/>
        </w:trPr>
        <w:tc>
          <w:tcPr>
            <w:tcW w:w="3794" w:type="dxa"/>
            <w:tcBorders>
              <w:left w:val="single" w:sz="4" w:space="0" w:color="auto"/>
            </w:tcBorders>
          </w:tcPr>
          <w:p w14:paraId="6D1986F5"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b/>
              <w:t>Partiellt CyS n (%)</w:t>
            </w:r>
          </w:p>
        </w:tc>
        <w:tc>
          <w:tcPr>
            <w:tcW w:w="2693" w:type="dxa"/>
          </w:tcPr>
          <w:p w14:paraId="075B5FE4" w14:textId="77777777" w:rsidR="00620ABA" w:rsidRPr="000E7AE9" w:rsidRDefault="00C54F7C" w:rsidP="00463647">
            <w:pPr>
              <w:pStyle w:val="Table"/>
              <w:widowControl w:val="0"/>
              <w:spacing w:before="0" w:after="0"/>
              <w:jc w:val="center"/>
              <w:rPr>
                <w:rFonts w:ascii="Times New Roman" w:hAnsi="Times New Roman"/>
                <w:color w:val="000000"/>
                <w:sz w:val="22"/>
                <w:szCs w:val="22"/>
                <w:lang w:val="sv-SE"/>
              </w:rPr>
            </w:pPr>
            <w:r>
              <w:rPr>
                <w:rFonts w:ascii="Times New Roman" w:hAnsi="Times New Roman"/>
                <w:color w:val="000000"/>
                <w:sz w:val="22"/>
                <w:szCs w:val="22"/>
                <w:lang w:val="en-GB"/>
              </w:rPr>
              <w:t>34</w:t>
            </w:r>
            <w:r w:rsidRPr="0021220C">
              <w:rPr>
                <w:rFonts w:ascii="Times New Roman" w:hAnsi="Times New Roman"/>
                <w:color w:val="000000"/>
                <w:sz w:val="22"/>
                <w:szCs w:val="22"/>
                <w:lang w:val="en-GB"/>
              </w:rPr>
              <w:t xml:space="preserve"> (</w:t>
            </w:r>
            <w:r>
              <w:rPr>
                <w:rFonts w:ascii="Times New Roman" w:hAnsi="Times New Roman"/>
                <w:color w:val="000000"/>
                <w:sz w:val="22"/>
                <w:szCs w:val="22"/>
                <w:lang w:val="en-GB"/>
              </w:rPr>
              <w:t>6</w:t>
            </w:r>
            <w:r w:rsidR="00EE18BC">
              <w:rPr>
                <w:rFonts w:ascii="Times New Roman" w:hAnsi="Times New Roman"/>
                <w:color w:val="000000"/>
                <w:sz w:val="22"/>
                <w:szCs w:val="22"/>
                <w:lang w:val="en-GB"/>
              </w:rPr>
              <w:t>,</w:t>
            </w:r>
            <w:r>
              <w:rPr>
                <w:rFonts w:ascii="Times New Roman" w:hAnsi="Times New Roman"/>
                <w:color w:val="000000"/>
                <w:sz w:val="22"/>
                <w:szCs w:val="22"/>
                <w:lang w:val="en-GB"/>
              </w:rPr>
              <w:t>1</w:t>
            </w:r>
            <w:r w:rsidR="00370A4C">
              <w:rPr>
                <w:rFonts w:ascii="Times New Roman" w:hAnsi="Times New Roman"/>
                <w:color w:val="000000"/>
                <w:sz w:val="22"/>
                <w:szCs w:val="22"/>
                <w:lang w:val="en-GB"/>
              </w:rPr>
              <w:t> </w:t>
            </w:r>
            <w:r w:rsidRPr="0021220C">
              <w:rPr>
                <w:rFonts w:ascii="Times New Roman" w:hAnsi="Times New Roman"/>
                <w:color w:val="000000"/>
                <w:sz w:val="22"/>
                <w:szCs w:val="22"/>
                <w:lang w:val="en-GB"/>
              </w:rPr>
              <w:t>%)</w:t>
            </w:r>
          </w:p>
        </w:tc>
        <w:tc>
          <w:tcPr>
            <w:tcW w:w="2693" w:type="dxa"/>
            <w:tcBorders>
              <w:right w:val="single" w:sz="4" w:space="0" w:color="auto"/>
            </w:tcBorders>
          </w:tcPr>
          <w:p w14:paraId="577A5D1B" w14:textId="77777777" w:rsidR="00620ABA" w:rsidRPr="000E7AE9" w:rsidRDefault="00620ABA"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65 (11,8</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620ABA" w:rsidRPr="000E7AE9" w14:paraId="53C2AF74" w14:textId="77777777" w:rsidTr="00C81D6E">
        <w:trPr>
          <w:cantSplit/>
        </w:trPr>
        <w:tc>
          <w:tcPr>
            <w:tcW w:w="3794" w:type="dxa"/>
            <w:tcBorders>
              <w:left w:val="single" w:sz="4" w:space="0" w:color="auto"/>
            </w:tcBorders>
          </w:tcPr>
          <w:p w14:paraId="5E8C5F3D"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p>
        </w:tc>
        <w:tc>
          <w:tcPr>
            <w:tcW w:w="2693" w:type="dxa"/>
          </w:tcPr>
          <w:p w14:paraId="4A2E86C5" w14:textId="77777777" w:rsidR="00620ABA" w:rsidRPr="000E7AE9" w:rsidDel="009B538A" w:rsidRDefault="00620ABA" w:rsidP="00463647">
            <w:pPr>
              <w:pStyle w:val="Table"/>
              <w:widowControl w:val="0"/>
              <w:spacing w:before="0" w:after="0"/>
              <w:jc w:val="center"/>
              <w:rPr>
                <w:rFonts w:ascii="Times New Roman" w:hAnsi="Times New Roman"/>
                <w:color w:val="000000"/>
                <w:sz w:val="22"/>
                <w:szCs w:val="22"/>
                <w:lang w:val="sv-SE"/>
              </w:rPr>
            </w:pPr>
          </w:p>
        </w:tc>
        <w:tc>
          <w:tcPr>
            <w:tcW w:w="2693" w:type="dxa"/>
            <w:tcBorders>
              <w:right w:val="single" w:sz="4" w:space="0" w:color="auto"/>
            </w:tcBorders>
          </w:tcPr>
          <w:p w14:paraId="75F504B6" w14:textId="77777777" w:rsidR="00620ABA" w:rsidRPr="000E7AE9" w:rsidDel="009B538A" w:rsidRDefault="00620ABA" w:rsidP="00463647">
            <w:pPr>
              <w:pStyle w:val="Table"/>
              <w:widowControl w:val="0"/>
              <w:spacing w:before="0" w:after="0"/>
              <w:jc w:val="center"/>
              <w:rPr>
                <w:rFonts w:ascii="Times New Roman" w:hAnsi="Times New Roman"/>
                <w:color w:val="000000"/>
                <w:sz w:val="22"/>
                <w:szCs w:val="22"/>
                <w:lang w:val="sv-SE"/>
              </w:rPr>
            </w:pPr>
          </w:p>
        </w:tc>
      </w:tr>
      <w:tr w:rsidR="00620ABA" w:rsidRPr="000E7AE9" w14:paraId="4409CD49" w14:textId="77777777" w:rsidTr="00C81D6E">
        <w:trPr>
          <w:cantSplit/>
        </w:trPr>
        <w:tc>
          <w:tcPr>
            <w:tcW w:w="3794" w:type="dxa"/>
            <w:tcBorders>
              <w:left w:val="single" w:sz="4" w:space="0" w:color="auto"/>
              <w:bottom w:val="nil"/>
            </w:tcBorders>
          </w:tcPr>
          <w:p w14:paraId="6ED1E05C"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b/>
                <w:color w:val="000000"/>
                <w:sz w:val="22"/>
                <w:szCs w:val="22"/>
                <w:lang w:val="sv-SE"/>
              </w:rPr>
              <w:t>Molekylärt svar</w:t>
            </w:r>
            <w:r w:rsidR="0031449D" w:rsidRPr="0043610C">
              <w:rPr>
                <w:rFonts w:ascii="Times New Roman" w:hAnsi="Times New Roman"/>
                <w:color w:val="000000"/>
                <w:sz w:val="22"/>
                <w:szCs w:val="22"/>
                <w:lang w:val="sv-SE"/>
              </w:rPr>
              <w:t>**</w:t>
            </w:r>
          </w:p>
        </w:tc>
        <w:tc>
          <w:tcPr>
            <w:tcW w:w="2693" w:type="dxa"/>
            <w:tcBorders>
              <w:bottom w:val="nil"/>
            </w:tcBorders>
          </w:tcPr>
          <w:p w14:paraId="049926DB"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p>
        </w:tc>
        <w:tc>
          <w:tcPr>
            <w:tcW w:w="2692" w:type="dxa"/>
            <w:tcBorders>
              <w:bottom w:val="nil"/>
              <w:right w:val="single" w:sz="4" w:space="0" w:color="auto"/>
            </w:tcBorders>
          </w:tcPr>
          <w:p w14:paraId="027455BC"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p>
        </w:tc>
      </w:tr>
      <w:tr w:rsidR="00620ABA" w:rsidRPr="000E7AE9" w14:paraId="35F7D567" w14:textId="77777777" w:rsidTr="00C81D6E">
        <w:trPr>
          <w:cantSplit/>
        </w:trPr>
        <w:tc>
          <w:tcPr>
            <w:tcW w:w="3794" w:type="dxa"/>
            <w:tcBorders>
              <w:left w:val="single" w:sz="4" w:space="0" w:color="auto"/>
              <w:bottom w:val="nil"/>
            </w:tcBorders>
          </w:tcPr>
          <w:p w14:paraId="47154802"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Betydande svar vid 12 månader (%)</w:t>
            </w:r>
          </w:p>
        </w:tc>
        <w:tc>
          <w:tcPr>
            <w:tcW w:w="2693" w:type="dxa"/>
            <w:tcBorders>
              <w:top w:val="nil"/>
              <w:bottom w:val="nil"/>
            </w:tcBorders>
          </w:tcPr>
          <w:p w14:paraId="16784115" w14:textId="77777777" w:rsidR="00620ABA" w:rsidRPr="000E7AE9" w:rsidRDefault="00D7631D" w:rsidP="00463647">
            <w:pPr>
              <w:pStyle w:val="Table"/>
              <w:widowControl w:val="0"/>
              <w:spacing w:before="0" w:after="0"/>
              <w:jc w:val="center"/>
              <w:rPr>
                <w:rFonts w:ascii="Times New Roman" w:hAnsi="Times New Roman"/>
                <w:color w:val="000000"/>
                <w:sz w:val="22"/>
                <w:szCs w:val="22"/>
                <w:lang w:val="sv-SE"/>
              </w:rPr>
            </w:pPr>
            <w:r w:rsidRPr="004A25EC">
              <w:rPr>
                <w:rFonts w:ascii="Times New Roman" w:hAnsi="Times New Roman"/>
                <w:sz w:val="22"/>
                <w:szCs w:val="22"/>
                <w:lang w:val="en-GB"/>
              </w:rPr>
              <w:t>153/305=50</w:t>
            </w:r>
            <w:r w:rsidR="00EE18BC">
              <w:rPr>
                <w:rFonts w:ascii="Times New Roman" w:hAnsi="Times New Roman"/>
                <w:sz w:val="22"/>
                <w:szCs w:val="22"/>
                <w:lang w:val="en-GB"/>
              </w:rPr>
              <w:t>,</w:t>
            </w:r>
            <w:r w:rsidRPr="004A25EC">
              <w:rPr>
                <w:rFonts w:ascii="Times New Roman" w:hAnsi="Times New Roman"/>
                <w:sz w:val="22"/>
                <w:szCs w:val="22"/>
                <w:lang w:val="en-GB"/>
              </w:rPr>
              <w:t>2</w:t>
            </w:r>
            <w:r w:rsidR="00370A4C">
              <w:rPr>
                <w:rFonts w:ascii="Times New Roman" w:hAnsi="Times New Roman"/>
                <w:sz w:val="22"/>
                <w:szCs w:val="22"/>
                <w:lang w:val="en-GB"/>
              </w:rPr>
              <w:t> </w:t>
            </w:r>
            <w:r w:rsidRPr="004A25EC">
              <w:rPr>
                <w:rFonts w:ascii="Times New Roman" w:hAnsi="Times New Roman"/>
                <w:sz w:val="22"/>
                <w:szCs w:val="22"/>
                <w:lang w:val="en-GB"/>
              </w:rPr>
              <w:t>%</w:t>
            </w:r>
          </w:p>
        </w:tc>
        <w:tc>
          <w:tcPr>
            <w:tcW w:w="2692" w:type="dxa"/>
            <w:tcBorders>
              <w:bottom w:val="nil"/>
              <w:right w:val="single" w:sz="4" w:space="0" w:color="auto"/>
            </w:tcBorders>
          </w:tcPr>
          <w:p w14:paraId="1E6579A1" w14:textId="77777777" w:rsidR="00620ABA" w:rsidRPr="000E7AE9" w:rsidRDefault="00D7631D" w:rsidP="00463647">
            <w:pPr>
              <w:pStyle w:val="Table"/>
              <w:widowControl w:val="0"/>
              <w:spacing w:before="0" w:after="0"/>
              <w:jc w:val="center"/>
              <w:rPr>
                <w:rFonts w:ascii="Times New Roman" w:hAnsi="Times New Roman"/>
                <w:color w:val="000000"/>
                <w:sz w:val="22"/>
                <w:szCs w:val="22"/>
                <w:lang w:val="sv-SE"/>
              </w:rPr>
            </w:pPr>
            <w:r w:rsidRPr="004A25EC">
              <w:rPr>
                <w:rFonts w:ascii="Times New Roman" w:hAnsi="Times New Roman"/>
                <w:sz w:val="22"/>
                <w:szCs w:val="22"/>
                <w:lang w:val="en-GB"/>
              </w:rPr>
              <w:t>8/83=9</w:t>
            </w:r>
            <w:r w:rsidR="00EE18BC">
              <w:rPr>
                <w:rFonts w:ascii="Times New Roman" w:hAnsi="Times New Roman"/>
                <w:sz w:val="22"/>
                <w:szCs w:val="22"/>
                <w:lang w:val="en-GB"/>
              </w:rPr>
              <w:t>,</w:t>
            </w:r>
            <w:r w:rsidRPr="004A25EC">
              <w:rPr>
                <w:rFonts w:ascii="Times New Roman" w:hAnsi="Times New Roman"/>
                <w:sz w:val="22"/>
                <w:szCs w:val="22"/>
                <w:lang w:val="en-GB"/>
              </w:rPr>
              <w:t>6</w:t>
            </w:r>
            <w:r w:rsidR="00370A4C">
              <w:rPr>
                <w:rFonts w:ascii="Times New Roman" w:hAnsi="Times New Roman"/>
                <w:sz w:val="22"/>
                <w:szCs w:val="22"/>
                <w:lang w:val="en-GB"/>
              </w:rPr>
              <w:t> </w:t>
            </w:r>
            <w:r w:rsidRPr="004A25EC">
              <w:rPr>
                <w:rFonts w:ascii="Times New Roman" w:hAnsi="Times New Roman"/>
                <w:sz w:val="22"/>
                <w:szCs w:val="22"/>
                <w:lang w:val="en-GB"/>
              </w:rPr>
              <w:t>%</w:t>
            </w:r>
          </w:p>
        </w:tc>
      </w:tr>
      <w:tr w:rsidR="00620ABA" w:rsidRPr="000E7AE9" w14:paraId="70294879" w14:textId="77777777" w:rsidTr="00C81D6E">
        <w:trPr>
          <w:cantSplit/>
        </w:trPr>
        <w:tc>
          <w:tcPr>
            <w:tcW w:w="3794" w:type="dxa"/>
            <w:tcBorders>
              <w:left w:val="single" w:sz="4" w:space="0" w:color="auto"/>
              <w:bottom w:val="nil"/>
            </w:tcBorders>
          </w:tcPr>
          <w:p w14:paraId="7FC2A7EE"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Betydande svar vid 24 månader (%)</w:t>
            </w:r>
          </w:p>
        </w:tc>
        <w:tc>
          <w:tcPr>
            <w:tcW w:w="2693" w:type="dxa"/>
            <w:tcBorders>
              <w:bottom w:val="nil"/>
            </w:tcBorders>
          </w:tcPr>
          <w:p w14:paraId="69B15BA8" w14:textId="77777777" w:rsidR="00620ABA" w:rsidRPr="000E7AE9" w:rsidRDefault="00D7631D" w:rsidP="00463647">
            <w:pPr>
              <w:pStyle w:val="Table"/>
              <w:widowControl w:val="0"/>
              <w:spacing w:before="0" w:after="0"/>
              <w:jc w:val="center"/>
              <w:rPr>
                <w:rFonts w:ascii="Times New Roman" w:hAnsi="Times New Roman"/>
                <w:color w:val="000000"/>
                <w:sz w:val="22"/>
                <w:szCs w:val="22"/>
                <w:lang w:val="sv-SE"/>
              </w:rPr>
            </w:pPr>
            <w:r w:rsidRPr="004A25EC">
              <w:rPr>
                <w:rFonts w:ascii="Times New Roman" w:hAnsi="Times New Roman"/>
                <w:sz w:val="22"/>
                <w:szCs w:val="22"/>
                <w:lang w:val="en-GB"/>
              </w:rPr>
              <w:t>73/104=70</w:t>
            </w:r>
            <w:r w:rsidR="00EE18BC">
              <w:rPr>
                <w:rFonts w:ascii="Times New Roman" w:hAnsi="Times New Roman"/>
                <w:sz w:val="22"/>
                <w:szCs w:val="22"/>
                <w:lang w:val="en-GB"/>
              </w:rPr>
              <w:t>,</w:t>
            </w:r>
            <w:r w:rsidRPr="004A25EC">
              <w:rPr>
                <w:rFonts w:ascii="Times New Roman" w:hAnsi="Times New Roman"/>
                <w:sz w:val="22"/>
                <w:szCs w:val="22"/>
                <w:lang w:val="en-GB"/>
              </w:rPr>
              <w:t>2</w:t>
            </w:r>
            <w:r w:rsidR="00370A4C">
              <w:rPr>
                <w:rFonts w:ascii="Times New Roman" w:hAnsi="Times New Roman"/>
                <w:sz w:val="22"/>
                <w:szCs w:val="22"/>
                <w:lang w:val="en-GB"/>
              </w:rPr>
              <w:t> </w:t>
            </w:r>
            <w:r w:rsidRPr="004A25EC">
              <w:rPr>
                <w:rFonts w:ascii="Times New Roman" w:hAnsi="Times New Roman"/>
                <w:sz w:val="22"/>
                <w:szCs w:val="22"/>
                <w:lang w:val="en-GB"/>
              </w:rPr>
              <w:t>%</w:t>
            </w:r>
          </w:p>
        </w:tc>
        <w:tc>
          <w:tcPr>
            <w:tcW w:w="2692" w:type="dxa"/>
            <w:tcBorders>
              <w:bottom w:val="nil"/>
              <w:right w:val="single" w:sz="4" w:space="0" w:color="auto"/>
            </w:tcBorders>
          </w:tcPr>
          <w:p w14:paraId="54162228" w14:textId="77777777" w:rsidR="00620ABA" w:rsidRPr="000E7AE9" w:rsidRDefault="00D7631D" w:rsidP="00463647">
            <w:pPr>
              <w:pStyle w:val="Table"/>
              <w:widowControl w:val="0"/>
              <w:spacing w:before="0" w:after="0"/>
              <w:jc w:val="center"/>
              <w:rPr>
                <w:rFonts w:ascii="Times New Roman" w:hAnsi="Times New Roman"/>
                <w:color w:val="000000"/>
                <w:sz w:val="22"/>
                <w:szCs w:val="22"/>
                <w:lang w:val="sv-SE"/>
              </w:rPr>
            </w:pPr>
            <w:r w:rsidRPr="004A25EC">
              <w:rPr>
                <w:rFonts w:ascii="Times New Roman" w:hAnsi="Times New Roman"/>
                <w:sz w:val="22"/>
                <w:szCs w:val="22"/>
                <w:lang w:val="en-GB"/>
              </w:rPr>
              <w:t>3/12=25</w:t>
            </w:r>
            <w:r w:rsidR="00370A4C">
              <w:rPr>
                <w:rFonts w:ascii="Times New Roman" w:hAnsi="Times New Roman"/>
                <w:sz w:val="22"/>
                <w:szCs w:val="22"/>
                <w:lang w:val="en-GB"/>
              </w:rPr>
              <w:t> </w:t>
            </w:r>
            <w:r w:rsidRPr="004A25EC">
              <w:rPr>
                <w:rFonts w:ascii="Times New Roman" w:hAnsi="Times New Roman"/>
                <w:sz w:val="22"/>
                <w:szCs w:val="22"/>
                <w:lang w:val="en-GB"/>
              </w:rPr>
              <w:t>%</w:t>
            </w:r>
          </w:p>
        </w:tc>
      </w:tr>
      <w:tr w:rsidR="00D7631D" w:rsidRPr="000E7AE9" w14:paraId="3A3C1EDF" w14:textId="77777777" w:rsidTr="00C81D6E">
        <w:trPr>
          <w:cantSplit/>
        </w:trPr>
        <w:tc>
          <w:tcPr>
            <w:tcW w:w="3794" w:type="dxa"/>
            <w:tcBorders>
              <w:left w:val="single" w:sz="4" w:space="0" w:color="auto"/>
              <w:bottom w:val="nil"/>
            </w:tcBorders>
          </w:tcPr>
          <w:p w14:paraId="7ACE3207" w14:textId="77777777" w:rsidR="00D7631D" w:rsidRPr="000E7AE9" w:rsidRDefault="00D7631D" w:rsidP="00463647">
            <w:pPr>
              <w:pStyle w:val="Table"/>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Betydande svar vid 84</w:t>
            </w:r>
            <w:r w:rsidRPr="000E7AE9">
              <w:rPr>
                <w:rFonts w:ascii="Times New Roman" w:hAnsi="Times New Roman"/>
                <w:color w:val="000000"/>
                <w:sz w:val="22"/>
                <w:szCs w:val="22"/>
                <w:lang w:val="sv-SE"/>
              </w:rPr>
              <w:t> </w:t>
            </w:r>
            <w:r>
              <w:rPr>
                <w:rFonts w:ascii="Times New Roman" w:hAnsi="Times New Roman"/>
                <w:color w:val="000000"/>
                <w:sz w:val="22"/>
                <w:szCs w:val="22"/>
                <w:lang w:val="sv-SE"/>
              </w:rPr>
              <w:t>månader (%)</w:t>
            </w:r>
          </w:p>
        </w:tc>
        <w:tc>
          <w:tcPr>
            <w:tcW w:w="2693" w:type="dxa"/>
            <w:tcBorders>
              <w:bottom w:val="nil"/>
            </w:tcBorders>
          </w:tcPr>
          <w:p w14:paraId="53624249" w14:textId="77777777" w:rsidR="00D7631D" w:rsidRPr="004A25EC" w:rsidRDefault="00D7631D" w:rsidP="00463647">
            <w:pPr>
              <w:pStyle w:val="Table"/>
              <w:widowControl w:val="0"/>
              <w:spacing w:before="0" w:after="0"/>
              <w:jc w:val="center"/>
              <w:rPr>
                <w:rFonts w:ascii="Times New Roman" w:hAnsi="Times New Roman"/>
                <w:sz w:val="22"/>
                <w:szCs w:val="22"/>
                <w:lang w:val="en-GB"/>
              </w:rPr>
            </w:pPr>
            <w:r w:rsidRPr="004A25EC">
              <w:rPr>
                <w:rFonts w:ascii="Times New Roman" w:hAnsi="Times New Roman"/>
                <w:sz w:val="22"/>
                <w:szCs w:val="22"/>
                <w:lang w:val="en-GB"/>
              </w:rPr>
              <w:t>102/116=87</w:t>
            </w:r>
            <w:r w:rsidR="00EE18BC">
              <w:rPr>
                <w:rFonts w:ascii="Times New Roman" w:hAnsi="Times New Roman"/>
                <w:sz w:val="22"/>
                <w:szCs w:val="22"/>
                <w:lang w:val="en-GB"/>
              </w:rPr>
              <w:t>,</w:t>
            </w:r>
            <w:r w:rsidRPr="004A25EC">
              <w:rPr>
                <w:rFonts w:ascii="Times New Roman" w:hAnsi="Times New Roman"/>
                <w:sz w:val="22"/>
                <w:szCs w:val="22"/>
                <w:lang w:val="en-GB"/>
              </w:rPr>
              <w:t>9</w:t>
            </w:r>
            <w:r w:rsidR="00370A4C">
              <w:rPr>
                <w:rFonts w:ascii="Times New Roman" w:hAnsi="Times New Roman"/>
                <w:sz w:val="22"/>
                <w:szCs w:val="22"/>
                <w:lang w:val="en-GB"/>
              </w:rPr>
              <w:t> </w:t>
            </w:r>
            <w:r w:rsidRPr="004A25EC">
              <w:rPr>
                <w:rFonts w:ascii="Times New Roman" w:hAnsi="Times New Roman"/>
                <w:sz w:val="22"/>
                <w:szCs w:val="22"/>
                <w:lang w:val="en-GB"/>
              </w:rPr>
              <w:t>%</w:t>
            </w:r>
          </w:p>
        </w:tc>
        <w:tc>
          <w:tcPr>
            <w:tcW w:w="2692" w:type="dxa"/>
            <w:tcBorders>
              <w:bottom w:val="nil"/>
              <w:right w:val="single" w:sz="4" w:space="0" w:color="auto"/>
            </w:tcBorders>
          </w:tcPr>
          <w:p w14:paraId="7B95BB37" w14:textId="77777777" w:rsidR="00D7631D" w:rsidRPr="004A25EC" w:rsidRDefault="00D7631D" w:rsidP="00463647">
            <w:pPr>
              <w:pStyle w:val="Table"/>
              <w:widowControl w:val="0"/>
              <w:spacing w:before="0" w:after="0"/>
              <w:jc w:val="center"/>
              <w:rPr>
                <w:rFonts w:ascii="Times New Roman" w:hAnsi="Times New Roman"/>
                <w:sz w:val="22"/>
                <w:szCs w:val="22"/>
                <w:lang w:val="en-GB"/>
              </w:rPr>
            </w:pPr>
            <w:r w:rsidRPr="004A25EC">
              <w:rPr>
                <w:rFonts w:ascii="Times New Roman" w:hAnsi="Times New Roman"/>
                <w:sz w:val="22"/>
                <w:szCs w:val="22"/>
                <w:lang w:val="en-GB"/>
              </w:rPr>
              <w:t>3/4=75</w:t>
            </w:r>
            <w:r w:rsidR="00370A4C">
              <w:rPr>
                <w:rFonts w:ascii="Times New Roman" w:hAnsi="Times New Roman"/>
                <w:sz w:val="22"/>
                <w:szCs w:val="22"/>
                <w:lang w:val="en-GB"/>
              </w:rPr>
              <w:t> </w:t>
            </w:r>
            <w:r w:rsidRPr="004A25EC">
              <w:rPr>
                <w:rFonts w:ascii="Times New Roman" w:hAnsi="Times New Roman"/>
                <w:sz w:val="22"/>
                <w:szCs w:val="22"/>
                <w:lang w:val="en-GB"/>
              </w:rPr>
              <w:t>%</w:t>
            </w:r>
          </w:p>
        </w:tc>
      </w:tr>
      <w:tr w:rsidR="00620ABA" w:rsidRPr="00644A2E" w14:paraId="509F5EF3" w14:textId="77777777" w:rsidTr="00C81D6E">
        <w:trPr>
          <w:cantSplit/>
        </w:trPr>
        <w:tc>
          <w:tcPr>
            <w:tcW w:w="9180" w:type="dxa"/>
            <w:gridSpan w:val="3"/>
            <w:tcBorders>
              <w:top w:val="single" w:sz="4" w:space="0" w:color="auto"/>
              <w:left w:val="single" w:sz="4" w:space="0" w:color="auto"/>
              <w:bottom w:val="single" w:sz="4" w:space="0" w:color="auto"/>
              <w:right w:val="single" w:sz="4" w:space="0" w:color="auto"/>
            </w:tcBorders>
          </w:tcPr>
          <w:p w14:paraId="2F792E73" w14:textId="77777777" w:rsidR="00620ABA" w:rsidRPr="00D537D1" w:rsidRDefault="00620ABA" w:rsidP="00463647">
            <w:pPr>
              <w:pStyle w:val="Table"/>
              <w:widowControl w:val="0"/>
              <w:spacing w:before="0" w:after="0"/>
              <w:rPr>
                <w:rFonts w:ascii="Times New Roman" w:hAnsi="Times New Roman"/>
                <w:color w:val="000000"/>
                <w:sz w:val="22"/>
                <w:szCs w:val="22"/>
                <w:lang w:val="sv-SE"/>
              </w:rPr>
            </w:pPr>
            <w:r w:rsidRPr="00D537D1">
              <w:rPr>
                <w:rFonts w:ascii="Times New Roman" w:hAnsi="Times New Roman"/>
                <w:color w:val="000000"/>
                <w:sz w:val="22"/>
                <w:szCs w:val="22"/>
                <w:lang w:val="sv-SE"/>
              </w:rPr>
              <w:t>* p&lt;0,001, Fischer’s exact test</w:t>
            </w:r>
          </w:p>
          <w:p w14:paraId="56F7B8A9" w14:textId="77777777" w:rsidR="0044075B" w:rsidRPr="00D7631D" w:rsidRDefault="0044075B" w:rsidP="00463647">
            <w:pPr>
              <w:keepNext/>
              <w:keepLines/>
              <w:widowControl w:val="0"/>
              <w:tabs>
                <w:tab w:val="left" w:pos="284"/>
              </w:tabs>
              <w:autoSpaceDE w:val="0"/>
              <w:autoSpaceDN w:val="0"/>
              <w:adjustRightInd w:val="0"/>
              <w:spacing w:line="240" w:lineRule="auto"/>
              <w:rPr>
                <w:color w:val="000000"/>
                <w:szCs w:val="22"/>
                <w:lang w:val="sv-SE"/>
              </w:rPr>
            </w:pPr>
            <w:r w:rsidRPr="00D7631D">
              <w:rPr>
                <w:color w:val="000000"/>
                <w:szCs w:val="22"/>
                <w:lang w:val="sv-SE"/>
              </w:rPr>
              <w:t xml:space="preserve">** </w:t>
            </w:r>
            <w:r w:rsidR="00D7631D">
              <w:rPr>
                <w:color w:val="000000"/>
                <w:szCs w:val="22"/>
                <w:lang w:val="sv-SE"/>
              </w:rPr>
              <w:t>procenttal för molekylärt svar baseras på tillgängliga prover</w:t>
            </w:r>
            <w:r w:rsidRPr="00D7631D">
              <w:rPr>
                <w:color w:val="000000"/>
                <w:szCs w:val="22"/>
                <w:lang w:val="sv-SE"/>
              </w:rPr>
              <w:t>.</w:t>
            </w:r>
          </w:p>
          <w:p w14:paraId="7873FEC9" w14:textId="77777777" w:rsidR="0044075B" w:rsidRPr="000E7AE9" w:rsidRDefault="0044075B" w:rsidP="00463647">
            <w:pPr>
              <w:keepNext/>
              <w:keepLines/>
              <w:widowControl w:val="0"/>
              <w:tabs>
                <w:tab w:val="left" w:pos="284"/>
              </w:tabs>
              <w:autoSpaceDE w:val="0"/>
              <w:autoSpaceDN w:val="0"/>
              <w:adjustRightInd w:val="0"/>
              <w:spacing w:line="240" w:lineRule="auto"/>
              <w:rPr>
                <w:b/>
                <w:bCs/>
                <w:color w:val="000000"/>
                <w:szCs w:val="22"/>
                <w:lang w:val="sv-SE"/>
              </w:rPr>
            </w:pPr>
            <w:r w:rsidRPr="000E7AE9">
              <w:rPr>
                <w:b/>
                <w:bCs/>
                <w:color w:val="000000"/>
                <w:szCs w:val="22"/>
                <w:lang w:val="sv-SE"/>
              </w:rPr>
              <w:t xml:space="preserve">Hematologiska svarskriterier (alla svar skall bekräftas efter </w:t>
            </w:r>
            <w:r w:rsidR="00E80015" w:rsidRPr="000E7AE9">
              <w:rPr>
                <w:b/>
                <w:color w:val="000000"/>
                <w:szCs w:val="22"/>
              </w:rPr>
              <w:sym w:font="Symbol" w:char="F0B3"/>
            </w:r>
            <w:r w:rsidRPr="000E7AE9">
              <w:rPr>
                <w:b/>
                <w:bCs/>
                <w:color w:val="000000"/>
                <w:szCs w:val="22"/>
                <w:lang w:val="sv-SE"/>
              </w:rPr>
              <w:t> 4 veckor):</w:t>
            </w:r>
          </w:p>
          <w:p w14:paraId="15026B98" w14:textId="77777777" w:rsidR="0044075B" w:rsidRPr="000E7AE9" w:rsidRDefault="0044075B" w:rsidP="00463647">
            <w:pPr>
              <w:keepNext/>
              <w:keepLines/>
              <w:widowControl w:val="0"/>
              <w:tabs>
                <w:tab w:val="left" w:pos="284"/>
              </w:tabs>
              <w:autoSpaceDE w:val="0"/>
              <w:autoSpaceDN w:val="0"/>
              <w:adjustRightInd w:val="0"/>
              <w:spacing w:line="240" w:lineRule="auto"/>
              <w:rPr>
                <w:color w:val="000000"/>
                <w:szCs w:val="22"/>
                <w:lang w:val="sv-SE"/>
              </w:rPr>
            </w:pPr>
            <w:r w:rsidRPr="000E7AE9">
              <w:rPr>
                <w:color w:val="000000"/>
                <w:szCs w:val="22"/>
                <w:lang w:val="sv-SE"/>
              </w:rPr>
              <w:t>WBC &lt; 10 x 10</w:t>
            </w:r>
            <w:r w:rsidRPr="000E7AE9">
              <w:rPr>
                <w:color w:val="000000"/>
                <w:szCs w:val="22"/>
                <w:vertAlign w:val="superscript"/>
                <w:lang w:val="sv-SE"/>
              </w:rPr>
              <w:t>9</w:t>
            </w:r>
            <w:r w:rsidRPr="000E7AE9">
              <w:rPr>
                <w:color w:val="000000"/>
                <w:szCs w:val="22"/>
                <w:lang w:val="sv-SE"/>
              </w:rPr>
              <w:t>/l, trombocyter &lt; 450 x 10</w:t>
            </w:r>
            <w:r w:rsidRPr="000E7AE9">
              <w:rPr>
                <w:color w:val="000000"/>
                <w:szCs w:val="22"/>
                <w:vertAlign w:val="superscript"/>
                <w:lang w:val="sv-SE"/>
              </w:rPr>
              <w:t>9</w:t>
            </w:r>
            <w:r w:rsidRPr="000E7AE9">
              <w:rPr>
                <w:color w:val="000000"/>
                <w:szCs w:val="22"/>
                <w:lang w:val="sv-SE"/>
              </w:rPr>
              <w:t>/l, myelocyter+metamyelocyter &lt; 5</w:t>
            </w:r>
            <w:r w:rsidR="00370A4C">
              <w:rPr>
                <w:color w:val="000000"/>
                <w:szCs w:val="22"/>
                <w:lang w:val="sv-SE"/>
              </w:rPr>
              <w:t> </w:t>
            </w:r>
            <w:r w:rsidRPr="000E7AE9">
              <w:rPr>
                <w:color w:val="000000"/>
                <w:szCs w:val="22"/>
                <w:lang w:val="sv-SE"/>
              </w:rPr>
              <w:t>% i blod, inga blaster eller promyelocyter i blod, basofiler &lt; 20</w:t>
            </w:r>
            <w:r w:rsidR="00A60D3A">
              <w:rPr>
                <w:color w:val="000000"/>
                <w:szCs w:val="22"/>
                <w:lang w:val="sv-SE"/>
              </w:rPr>
              <w:t> </w:t>
            </w:r>
            <w:r w:rsidRPr="000E7AE9">
              <w:rPr>
                <w:color w:val="000000"/>
                <w:szCs w:val="22"/>
                <w:lang w:val="sv-SE"/>
              </w:rPr>
              <w:t>%, inget extramedullärt engagemang.</w:t>
            </w:r>
          </w:p>
          <w:p w14:paraId="18E66264" w14:textId="77777777" w:rsidR="0044075B" w:rsidRPr="000E7AE9" w:rsidRDefault="0044075B" w:rsidP="00463647">
            <w:pPr>
              <w:keepNext/>
              <w:keepLines/>
              <w:widowControl w:val="0"/>
              <w:tabs>
                <w:tab w:val="left" w:pos="284"/>
              </w:tabs>
              <w:autoSpaceDE w:val="0"/>
              <w:autoSpaceDN w:val="0"/>
              <w:adjustRightInd w:val="0"/>
              <w:spacing w:line="240" w:lineRule="auto"/>
              <w:rPr>
                <w:color w:val="000000"/>
                <w:szCs w:val="22"/>
                <w:lang w:val="sv-SE"/>
              </w:rPr>
            </w:pPr>
            <w:r w:rsidRPr="000E7AE9">
              <w:rPr>
                <w:b/>
                <w:bCs/>
                <w:color w:val="000000"/>
                <w:szCs w:val="22"/>
                <w:lang w:val="sv-SE"/>
              </w:rPr>
              <w:t xml:space="preserve">Kriterier för cytogenetiskt svar: </w:t>
            </w:r>
            <w:r w:rsidRPr="000E7AE9">
              <w:rPr>
                <w:color w:val="000000"/>
                <w:szCs w:val="22"/>
                <w:lang w:val="sv-SE"/>
              </w:rPr>
              <w:t>Fullständigt (0</w:t>
            </w:r>
            <w:r w:rsidR="00A60D3A">
              <w:rPr>
                <w:color w:val="000000"/>
                <w:szCs w:val="22"/>
                <w:lang w:val="sv-SE"/>
              </w:rPr>
              <w:t> </w:t>
            </w:r>
            <w:r w:rsidRPr="000E7AE9">
              <w:rPr>
                <w:color w:val="000000"/>
                <w:szCs w:val="22"/>
                <w:lang w:val="sv-SE"/>
              </w:rPr>
              <w:t>% Ph+ metafaser), partiellt (1–35</w:t>
            </w:r>
            <w:r w:rsidR="00370A4C">
              <w:rPr>
                <w:color w:val="000000"/>
                <w:szCs w:val="22"/>
                <w:lang w:val="sv-SE"/>
              </w:rPr>
              <w:t> </w:t>
            </w:r>
            <w:r w:rsidRPr="000E7AE9">
              <w:rPr>
                <w:color w:val="000000"/>
                <w:szCs w:val="22"/>
                <w:lang w:val="sv-SE"/>
              </w:rPr>
              <w:t>%), litet (36–65</w:t>
            </w:r>
            <w:r w:rsidR="00370A4C">
              <w:rPr>
                <w:color w:val="000000"/>
                <w:szCs w:val="22"/>
                <w:lang w:val="sv-SE"/>
              </w:rPr>
              <w:t> </w:t>
            </w:r>
            <w:r w:rsidRPr="000E7AE9">
              <w:rPr>
                <w:color w:val="000000"/>
                <w:szCs w:val="22"/>
                <w:lang w:val="sv-SE"/>
              </w:rPr>
              <w:t>%) eller minimalt (66–95</w:t>
            </w:r>
            <w:r w:rsidR="00370A4C">
              <w:rPr>
                <w:color w:val="000000"/>
                <w:szCs w:val="22"/>
                <w:lang w:val="sv-SE"/>
              </w:rPr>
              <w:t> </w:t>
            </w:r>
            <w:r w:rsidRPr="000E7AE9">
              <w:rPr>
                <w:color w:val="000000"/>
                <w:szCs w:val="22"/>
                <w:lang w:val="sv-SE"/>
              </w:rPr>
              <w:t>%). Betydande svar (0–35</w:t>
            </w:r>
            <w:r w:rsidR="00370A4C">
              <w:rPr>
                <w:color w:val="000000"/>
                <w:szCs w:val="22"/>
                <w:lang w:val="sv-SE"/>
              </w:rPr>
              <w:t> </w:t>
            </w:r>
            <w:r w:rsidRPr="000E7AE9">
              <w:rPr>
                <w:color w:val="000000"/>
                <w:szCs w:val="22"/>
                <w:lang w:val="sv-SE"/>
              </w:rPr>
              <w:t>%) innefattar både fullständiga och partiella svar.</w:t>
            </w:r>
          </w:p>
          <w:p w14:paraId="59594455" w14:textId="77777777" w:rsidR="00620ABA" w:rsidRPr="000E7AE9" w:rsidRDefault="0044075B" w:rsidP="00463647">
            <w:pPr>
              <w:keepNext/>
              <w:keepLines/>
              <w:widowControl w:val="0"/>
              <w:spacing w:line="240" w:lineRule="auto"/>
              <w:rPr>
                <w:color w:val="000000"/>
                <w:szCs w:val="22"/>
                <w:lang w:val="sv-SE"/>
              </w:rPr>
            </w:pPr>
            <w:r w:rsidRPr="000E7AE9">
              <w:rPr>
                <w:b/>
                <w:bCs/>
                <w:color w:val="000000"/>
                <w:szCs w:val="22"/>
                <w:lang w:val="sv-SE"/>
              </w:rPr>
              <w:t>Kriterier för betydande molekylärt svar</w:t>
            </w:r>
            <w:r w:rsidRPr="000E7AE9">
              <w:rPr>
                <w:color w:val="000000"/>
                <w:szCs w:val="22"/>
                <w:lang w:val="sv-SE"/>
              </w:rPr>
              <w:t>: minskning med ≥ 3 logaritmer av mängden Bcr-Abl-transkript (mätt med PCR-analys i realtid av kvantitativ omvänd transkriptas) i perifert blod över en standardiserad baseline.</w:t>
            </w:r>
          </w:p>
        </w:tc>
      </w:tr>
    </w:tbl>
    <w:p w14:paraId="0D0A639A" w14:textId="77777777" w:rsidR="00620ABA" w:rsidRPr="000E7AE9" w:rsidRDefault="00620ABA" w:rsidP="00463647">
      <w:pPr>
        <w:widowControl w:val="0"/>
        <w:autoSpaceDE w:val="0"/>
        <w:autoSpaceDN w:val="0"/>
        <w:adjustRightInd w:val="0"/>
        <w:spacing w:line="240" w:lineRule="auto"/>
        <w:rPr>
          <w:color w:val="000000"/>
          <w:szCs w:val="22"/>
          <w:lang w:val="sv-SE"/>
        </w:rPr>
      </w:pPr>
    </w:p>
    <w:p w14:paraId="629BBDD2" w14:textId="77777777" w:rsidR="00DD6358" w:rsidRPr="000E7AE9" w:rsidRDefault="00620ABA" w:rsidP="00463647">
      <w:pPr>
        <w:widowControl w:val="0"/>
        <w:autoSpaceDE w:val="0"/>
        <w:autoSpaceDN w:val="0"/>
        <w:adjustRightInd w:val="0"/>
        <w:spacing w:line="240" w:lineRule="auto"/>
        <w:rPr>
          <w:color w:val="000000"/>
          <w:szCs w:val="22"/>
          <w:lang w:val="sv-SE"/>
        </w:rPr>
      </w:pPr>
      <w:r w:rsidRPr="000E7AE9">
        <w:rPr>
          <w:color w:val="000000"/>
          <w:szCs w:val="22"/>
          <w:lang w:val="sv-SE"/>
        </w:rPr>
        <w:t>Frekvenser för fullständigt hematologiskt svar, betydande cytogenetiskt svar och fullständigt cytogenetiskt svar vid förstahandsbehandling uppskattades med Kaplan-Meier-analys där patienter som inte svarade på behandling uteslöts vid datum för sista undersökningen. Uppskattade kumulativa frekvenser enligt Kaplan-Meier för förstahandsbehandling med Glivec</w:t>
      </w:r>
      <w:r w:rsidR="00DD6358" w:rsidRPr="000E7AE9">
        <w:rPr>
          <w:color w:val="000000"/>
          <w:szCs w:val="22"/>
          <w:lang w:val="sv-SE"/>
        </w:rPr>
        <w:t xml:space="preserve"> förbättrades från 12</w:t>
      </w:r>
      <w:r w:rsidR="00C9040C" w:rsidRPr="000E7AE9">
        <w:rPr>
          <w:color w:val="000000"/>
          <w:szCs w:val="22"/>
          <w:lang w:val="sv-SE"/>
        </w:rPr>
        <w:t> </w:t>
      </w:r>
      <w:r w:rsidR="00DD6358" w:rsidRPr="000E7AE9">
        <w:rPr>
          <w:color w:val="000000"/>
          <w:szCs w:val="22"/>
          <w:lang w:val="sv-SE"/>
        </w:rPr>
        <w:t xml:space="preserve">månaders behandling till </w:t>
      </w:r>
      <w:r w:rsidR="00D7631D">
        <w:rPr>
          <w:color w:val="000000"/>
          <w:szCs w:val="22"/>
          <w:lang w:val="sv-SE"/>
        </w:rPr>
        <w:t>84</w:t>
      </w:r>
      <w:r w:rsidR="00D7631D" w:rsidRPr="000E7AE9">
        <w:rPr>
          <w:color w:val="000000"/>
          <w:szCs w:val="22"/>
          <w:lang w:val="sv-SE"/>
        </w:rPr>
        <w:t> </w:t>
      </w:r>
      <w:r w:rsidR="00DD6358" w:rsidRPr="000E7AE9">
        <w:rPr>
          <w:color w:val="000000"/>
          <w:szCs w:val="22"/>
          <w:lang w:val="sv-SE"/>
        </w:rPr>
        <w:t>månaders behandling enligt följande: FHS från 96,4</w:t>
      </w:r>
      <w:r w:rsidR="00370A4C">
        <w:rPr>
          <w:color w:val="000000"/>
          <w:szCs w:val="22"/>
          <w:lang w:val="sv-SE"/>
        </w:rPr>
        <w:t> </w:t>
      </w:r>
      <w:r w:rsidR="00DD6358" w:rsidRPr="000E7AE9">
        <w:rPr>
          <w:color w:val="000000"/>
          <w:szCs w:val="22"/>
          <w:lang w:val="sv-SE"/>
        </w:rPr>
        <w:t>% till 98,4</w:t>
      </w:r>
      <w:r w:rsidR="00370A4C">
        <w:rPr>
          <w:color w:val="000000"/>
          <w:szCs w:val="22"/>
          <w:lang w:val="sv-SE"/>
        </w:rPr>
        <w:t> </w:t>
      </w:r>
      <w:r w:rsidR="00DD6358" w:rsidRPr="000E7AE9">
        <w:rPr>
          <w:color w:val="000000"/>
          <w:szCs w:val="22"/>
          <w:lang w:val="sv-SE"/>
        </w:rPr>
        <w:t xml:space="preserve">% respektive </w:t>
      </w:r>
      <w:r w:rsidR="00F23DFF" w:rsidRPr="000E7AE9">
        <w:rPr>
          <w:color w:val="000000"/>
          <w:szCs w:val="22"/>
          <w:lang w:val="sv-SE"/>
        </w:rPr>
        <w:t>F</w:t>
      </w:r>
      <w:r w:rsidR="00DD6358" w:rsidRPr="000E7AE9">
        <w:rPr>
          <w:color w:val="000000"/>
          <w:szCs w:val="22"/>
          <w:lang w:val="sv-SE"/>
        </w:rPr>
        <w:t>CyS från 69,5</w:t>
      </w:r>
      <w:r w:rsidR="00370A4C">
        <w:rPr>
          <w:color w:val="000000"/>
          <w:szCs w:val="22"/>
          <w:lang w:val="sv-SE"/>
        </w:rPr>
        <w:t> </w:t>
      </w:r>
      <w:r w:rsidR="00DD6358" w:rsidRPr="000E7AE9">
        <w:rPr>
          <w:color w:val="000000"/>
          <w:szCs w:val="22"/>
          <w:lang w:val="sv-SE"/>
        </w:rPr>
        <w:t xml:space="preserve">% till </w:t>
      </w:r>
      <w:r w:rsidR="00D7631D">
        <w:rPr>
          <w:color w:val="000000"/>
          <w:szCs w:val="22"/>
          <w:lang w:val="sv-SE"/>
        </w:rPr>
        <w:t>87,2</w:t>
      </w:r>
      <w:r w:rsidR="00370A4C">
        <w:rPr>
          <w:color w:val="000000"/>
          <w:szCs w:val="22"/>
          <w:lang w:val="sv-SE"/>
        </w:rPr>
        <w:t> </w:t>
      </w:r>
      <w:r w:rsidR="00DD6358" w:rsidRPr="000E7AE9">
        <w:rPr>
          <w:color w:val="000000"/>
          <w:szCs w:val="22"/>
          <w:lang w:val="sv-SE"/>
        </w:rPr>
        <w:t>%.</w:t>
      </w:r>
    </w:p>
    <w:p w14:paraId="0BCE07F2" w14:textId="77777777" w:rsidR="00620ABA" w:rsidRPr="000E7AE9" w:rsidRDefault="00620ABA" w:rsidP="00463647">
      <w:pPr>
        <w:widowControl w:val="0"/>
        <w:autoSpaceDE w:val="0"/>
        <w:autoSpaceDN w:val="0"/>
        <w:adjustRightInd w:val="0"/>
        <w:spacing w:line="240" w:lineRule="auto"/>
        <w:rPr>
          <w:color w:val="000000"/>
          <w:szCs w:val="22"/>
          <w:lang w:val="sv-SE"/>
        </w:rPr>
      </w:pPr>
    </w:p>
    <w:p w14:paraId="7A137C8B" w14:textId="77777777" w:rsidR="00620ABA" w:rsidRPr="000E7AE9" w:rsidRDefault="00620ABA" w:rsidP="00463647">
      <w:pPr>
        <w:pStyle w:val="EndnoteText"/>
        <w:widowControl w:val="0"/>
        <w:rPr>
          <w:color w:val="000000"/>
          <w:szCs w:val="22"/>
          <w:lang w:val="sv-SE"/>
        </w:rPr>
      </w:pPr>
      <w:r w:rsidRPr="000E7AE9">
        <w:rPr>
          <w:color w:val="000000"/>
          <w:szCs w:val="22"/>
          <w:lang w:val="sv-SE"/>
        </w:rPr>
        <w:t xml:space="preserve">Efter </w:t>
      </w:r>
      <w:r w:rsidR="00D7631D">
        <w:rPr>
          <w:color w:val="000000"/>
          <w:szCs w:val="22"/>
          <w:lang w:val="sv-SE"/>
        </w:rPr>
        <w:t>7</w:t>
      </w:r>
      <w:r w:rsidR="00EE18BC" w:rsidRPr="000E7AE9">
        <w:rPr>
          <w:color w:val="000000"/>
          <w:szCs w:val="22"/>
          <w:lang w:val="sv-SE"/>
        </w:rPr>
        <w:t> </w:t>
      </w:r>
      <w:r w:rsidRPr="000E7AE9">
        <w:rPr>
          <w:color w:val="000000"/>
          <w:szCs w:val="22"/>
          <w:lang w:val="sv-SE"/>
        </w:rPr>
        <w:t xml:space="preserve">års uppföljning sågs </w:t>
      </w:r>
      <w:r w:rsidR="00EE18BC">
        <w:rPr>
          <w:color w:val="000000"/>
          <w:szCs w:val="22"/>
          <w:lang w:val="sv-SE"/>
        </w:rPr>
        <w:t>93</w:t>
      </w:r>
      <w:r w:rsidR="00EE18BC" w:rsidRPr="000E7AE9">
        <w:rPr>
          <w:color w:val="000000"/>
          <w:szCs w:val="22"/>
          <w:lang w:val="sv-SE"/>
        </w:rPr>
        <w:t xml:space="preserve"> </w:t>
      </w:r>
      <w:r w:rsidRPr="000E7AE9">
        <w:rPr>
          <w:color w:val="000000"/>
          <w:szCs w:val="22"/>
          <w:lang w:val="sv-SE"/>
        </w:rPr>
        <w:t>(</w:t>
      </w:r>
      <w:r w:rsidR="00EE18BC">
        <w:rPr>
          <w:color w:val="000000"/>
          <w:szCs w:val="22"/>
          <w:lang w:val="sv-SE"/>
        </w:rPr>
        <w:t>16,8</w:t>
      </w:r>
      <w:r w:rsidR="00370A4C">
        <w:rPr>
          <w:color w:val="000000"/>
          <w:szCs w:val="22"/>
          <w:lang w:val="sv-SE"/>
        </w:rPr>
        <w:t> </w:t>
      </w:r>
      <w:r w:rsidRPr="000E7AE9">
        <w:rPr>
          <w:color w:val="000000"/>
          <w:szCs w:val="22"/>
          <w:lang w:val="sv-SE"/>
        </w:rPr>
        <w:t xml:space="preserve">%) progressionshändelser i Glivec-armen, av vilka progression till accelererad fas/blastkris sågs i </w:t>
      </w:r>
      <w:r w:rsidR="007B62A1">
        <w:rPr>
          <w:color w:val="000000"/>
          <w:szCs w:val="22"/>
          <w:lang w:val="sv-SE"/>
        </w:rPr>
        <w:t>37</w:t>
      </w:r>
      <w:r w:rsidR="007B62A1" w:rsidRPr="000E7AE9">
        <w:rPr>
          <w:color w:val="000000"/>
          <w:szCs w:val="22"/>
          <w:lang w:val="sv-SE"/>
        </w:rPr>
        <w:t xml:space="preserve"> </w:t>
      </w:r>
      <w:r w:rsidRPr="000E7AE9">
        <w:rPr>
          <w:color w:val="000000"/>
          <w:szCs w:val="22"/>
          <w:lang w:val="sv-SE"/>
        </w:rPr>
        <w:t>fall (</w:t>
      </w:r>
      <w:r w:rsidR="007B62A1">
        <w:rPr>
          <w:color w:val="000000"/>
          <w:szCs w:val="22"/>
          <w:lang w:val="sv-SE"/>
        </w:rPr>
        <w:t>6,7</w:t>
      </w:r>
      <w:r w:rsidR="00370A4C">
        <w:rPr>
          <w:color w:val="000000"/>
          <w:szCs w:val="22"/>
          <w:lang w:val="sv-SE"/>
        </w:rPr>
        <w:t> </w:t>
      </w:r>
      <w:r w:rsidRPr="000E7AE9">
        <w:rPr>
          <w:color w:val="000000"/>
          <w:szCs w:val="22"/>
          <w:lang w:val="sv-SE"/>
        </w:rPr>
        <w:t xml:space="preserve">%), uteblivet betydande CyS i </w:t>
      </w:r>
      <w:r w:rsidR="007B62A1">
        <w:rPr>
          <w:color w:val="000000"/>
          <w:szCs w:val="22"/>
          <w:lang w:val="sv-SE"/>
        </w:rPr>
        <w:t>31</w:t>
      </w:r>
      <w:r w:rsidR="007B62A1" w:rsidRPr="000E7AE9">
        <w:rPr>
          <w:color w:val="000000"/>
          <w:szCs w:val="22"/>
          <w:lang w:val="sv-SE"/>
        </w:rPr>
        <w:t xml:space="preserve"> </w:t>
      </w:r>
      <w:r w:rsidRPr="000E7AE9">
        <w:rPr>
          <w:color w:val="000000"/>
          <w:szCs w:val="22"/>
          <w:lang w:val="sv-SE"/>
        </w:rPr>
        <w:t>fall (</w:t>
      </w:r>
      <w:r w:rsidR="007B62A1">
        <w:rPr>
          <w:color w:val="000000"/>
          <w:szCs w:val="22"/>
          <w:lang w:val="sv-SE"/>
        </w:rPr>
        <w:t>5,6</w:t>
      </w:r>
      <w:r w:rsidR="00370A4C">
        <w:rPr>
          <w:color w:val="000000"/>
          <w:szCs w:val="22"/>
          <w:lang w:val="sv-SE"/>
        </w:rPr>
        <w:t> </w:t>
      </w:r>
      <w:r w:rsidRPr="000E7AE9">
        <w:rPr>
          <w:color w:val="000000"/>
          <w:szCs w:val="22"/>
          <w:lang w:val="sv-SE"/>
        </w:rPr>
        <w:t xml:space="preserve">%), uteblivet FHS eller ökning av antalet vita blodkroppar i </w:t>
      </w:r>
      <w:r w:rsidR="007B62A1">
        <w:rPr>
          <w:color w:val="000000"/>
          <w:szCs w:val="22"/>
          <w:lang w:val="sv-SE"/>
        </w:rPr>
        <w:t>15</w:t>
      </w:r>
      <w:r w:rsidR="007B62A1" w:rsidRPr="000E7AE9">
        <w:rPr>
          <w:color w:val="000000"/>
          <w:szCs w:val="22"/>
          <w:lang w:val="sv-SE"/>
        </w:rPr>
        <w:t xml:space="preserve"> </w:t>
      </w:r>
      <w:r w:rsidRPr="000E7AE9">
        <w:rPr>
          <w:color w:val="000000"/>
          <w:szCs w:val="22"/>
          <w:lang w:val="sv-SE"/>
        </w:rPr>
        <w:t>fall (</w:t>
      </w:r>
      <w:r w:rsidR="007B62A1">
        <w:rPr>
          <w:color w:val="000000"/>
          <w:szCs w:val="22"/>
          <w:lang w:val="sv-SE"/>
        </w:rPr>
        <w:t>2,7</w:t>
      </w:r>
      <w:r w:rsidR="00370A4C">
        <w:rPr>
          <w:color w:val="000000"/>
          <w:szCs w:val="22"/>
          <w:lang w:val="sv-SE"/>
        </w:rPr>
        <w:t> </w:t>
      </w:r>
      <w:r w:rsidRPr="000E7AE9">
        <w:rPr>
          <w:color w:val="000000"/>
          <w:szCs w:val="22"/>
          <w:lang w:val="sv-SE"/>
        </w:rPr>
        <w:t xml:space="preserve">%) och död som inte var KML-relaterad i </w:t>
      </w:r>
      <w:r w:rsidR="007B62A1">
        <w:rPr>
          <w:color w:val="000000"/>
          <w:szCs w:val="22"/>
          <w:lang w:val="sv-SE"/>
        </w:rPr>
        <w:t>10</w:t>
      </w:r>
      <w:r w:rsidR="007B62A1" w:rsidRPr="000E7AE9">
        <w:rPr>
          <w:color w:val="000000"/>
          <w:szCs w:val="22"/>
          <w:lang w:val="sv-SE"/>
        </w:rPr>
        <w:t xml:space="preserve"> </w:t>
      </w:r>
      <w:r w:rsidRPr="000E7AE9">
        <w:rPr>
          <w:color w:val="000000"/>
          <w:szCs w:val="22"/>
          <w:lang w:val="sv-SE"/>
        </w:rPr>
        <w:t>fall (</w:t>
      </w:r>
      <w:r w:rsidR="007B62A1">
        <w:rPr>
          <w:color w:val="000000"/>
          <w:szCs w:val="22"/>
          <w:lang w:val="sv-SE"/>
        </w:rPr>
        <w:t>1,8</w:t>
      </w:r>
      <w:r w:rsidR="00370A4C">
        <w:rPr>
          <w:color w:val="000000"/>
          <w:szCs w:val="22"/>
          <w:lang w:val="sv-SE"/>
        </w:rPr>
        <w:t> </w:t>
      </w:r>
      <w:r w:rsidRPr="000E7AE9">
        <w:rPr>
          <w:color w:val="000000"/>
          <w:szCs w:val="22"/>
          <w:lang w:val="sv-SE"/>
        </w:rPr>
        <w:t xml:space="preserve">%). I IFN-AraC-armen sågs </w:t>
      </w:r>
      <w:r w:rsidR="007B62A1">
        <w:rPr>
          <w:color w:val="000000"/>
          <w:szCs w:val="22"/>
          <w:lang w:val="sv-SE"/>
        </w:rPr>
        <w:t>165</w:t>
      </w:r>
      <w:r w:rsidR="007B62A1" w:rsidRPr="000E7AE9">
        <w:rPr>
          <w:color w:val="000000"/>
          <w:szCs w:val="22"/>
          <w:lang w:val="sv-SE"/>
        </w:rPr>
        <w:t xml:space="preserve"> </w:t>
      </w:r>
      <w:r w:rsidRPr="000E7AE9">
        <w:rPr>
          <w:color w:val="000000"/>
          <w:szCs w:val="22"/>
          <w:lang w:val="sv-SE"/>
        </w:rPr>
        <w:t>(</w:t>
      </w:r>
      <w:r w:rsidR="007B62A1">
        <w:rPr>
          <w:color w:val="000000"/>
          <w:szCs w:val="22"/>
          <w:lang w:val="sv-SE"/>
        </w:rPr>
        <w:t>29,8</w:t>
      </w:r>
      <w:r w:rsidR="00370A4C">
        <w:rPr>
          <w:color w:val="000000"/>
          <w:szCs w:val="22"/>
          <w:lang w:val="sv-SE"/>
        </w:rPr>
        <w:t> </w:t>
      </w:r>
      <w:r w:rsidRPr="000E7AE9">
        <w:rPr>
          <w:color w:val="000000"/>
          <w:szCs w:val="22"/>
          <w:lang w:val="sv-SE"/>
        </w:rPr>
        <w:t xml:space="preserve">%) händelser, av vilka </w:t>
      </w:r>
      <w:r w:rsidR="007B62A1">
        <w:rPr>
          <w:color w:val="000000"/>
          <w:szCs w:val="22"/>
          <w:lang w:val="sv-SE"/>
        </w:rPr>
        <w:t>130</w:t>
      </w:r>
      <w:r w:rsidR="007B62A1" w:rsidRPr="000E7AE9">
        <w:rPr>
          <w:color w:val="000000"/>
          <w:szCs w:val="22"/>
          <w:lang w:val="sv-SE"/>
        </w:rPr>
        <w:t> </w:t>
      </w:r>
      <w:r w:rsidRPr="000E7AE9">
        <w:rPr>
          <w:color w:val="000000"/>
          <w:szCs w:val="22"/>
          <w:lang w:val="sv-SE"/>
        </w:rPr>
        <w:t>uppträdde under förstahandsbehandling med IFN+Ara-C.</w:t>
      </w:r>
    </w:p>
    <w:p w14:paraId="589DD216" w14:textId="77777777" w:rsidR="00620ABA" w:rsidRPr="000E7AE9" w:rsidRDefault="00620ABA" w:rsidP="00463647">
      <w:pPr>
        <w:pStyle w:val="EndnoteText"/>
        <w:widowControl w:val="0"/>
        <w:rPr>
          <w:color w:val="000000"/>
          <w:szCs w:val="22"/>
          <w:lang w:val="sv-SE"/>
        </w:rPr>
      </w:pPr>
    </w:p>
    <w:p w14:paraId="39917DEB" w14:textId="77777777" w:rsidR="00E80015" w:rsidRPr="000E7AE9" w:rsidRDefault="00620ABA" w:rsidP="00463647">
      <w:pPr>
        <w:pStyle w:val="EndnoteText"/>
        <w:widowControl w:val="0"/>
        <w:rPr>
          <w:color w:val="000000"/>
          <w:szCs w:val="22"/>
          <w:lang w:val="sv-SE"/>
        </w:rPr>
      </w:pPr>
      <w:r w:rsidRPr="000E7AE9">
        <w:rPr>
          <w:color w:val="000000"/>
          <w:szCs w:val="22"/>
          <w:lang w:val="sv-SE"/>
        </w:rPr>
        <w:t xml:space="preserve">Den uppskattade andelen patienter som är fria från progression till accelererad fas eller blastkris efter </w:t>
      </w:r>
      <w:r w:rsidR="00147F50">
        <w:rPr>
          <w:color w:val="000000"/>
          <w:szCs w:val="22"/>
          <w:lang w:val="sv-SE"/>
        </w:rPr>
        <w:t>84</w:t>
      </w:r>
      <w:r w:rsidR="00147F50" w:rsidRPr="000E7AE9">
        <w:rPr>
          <w:color w:val="000000"/>
          <w:szCs w:val="22"/>
          <w:lang w:val="sv-SE"/>
        </w:rPr>
        <w:t> </w:t>
      </w:r>
      <w:r w:rsidRPr="000E7AE9">
        <w:rPr>
          <w:color w:val="000000"/>
          <w:szCs w:val="22"/>
          <w:lang w:val="sv-SE"/>
        </w:rPr>
        <w:t>månader var signifikant högre i Glivec-armen jämfört med i IFN-armen (</w:t>
      </w:r>
      <w:r w:rsidR="00147F50">
        <w:rPr>
          <w:color w:val="000000"/>
          <w:szCs w:val="22"/>
          <w:lang w:val="sv-SE"/>
        </w:rPr>
        <w:t>92,5</w:t>
      </w:r>
      <w:r w:rsidR="00370A4C">
        <w:rPr>
          <w:color w:val="000000"/>
          <w:szCs w:val="22"/>
          <w:lang w:val="sv-SE"/>
        </w:rPr>
        <w:t> </w:t>
      </w:r>
      <w:r w:rsidRPr="000E7AE9">
        <w:rPr>
          <w:color w:val="000000"/>
          <w:szCs w:val="22"/>
          <w:lang w:val="sv-SE"/>
        </w:rPr>
        <w:t xml:space="preserve">% mot </w:t>
      </w:r>
      <w:r w:rsidR="00147F50">
        <w:rPr>
          <w:color w:val="000000"/>
          <w:szCs w:val="22"/>
          <w:lang w:val="sv-SE"/>
        </w:rPr>
        <w:t>85,1</w:t>
      </w:r>
      <w:r w:rsidR="00370A4C">
        <w:rPr>
          <w:color w:val="000000"/>
          <w:szCs w:val="22"/>
          <w:lang w:val="sv-SE"/>
        </w:rPr>
        <w:t> </w:t>
      </w:r>
      <w:r w:rsidRPr="000E7AE9">
        <w:rPr>
          <w:color w:val="000000"/>
          <w:szCs w:val="22"/>
          <w:lang w:val="sv-SE"/>
        </w:rPr>
        <w:t>%), (p&lt;0,001). Progressionsfrekvensen/år</w:t>
      </w:r>
      <w:r w:rsidR="00DD6358" w:rsidRPr="000E7AE9">
        <w:rPr>
          <w:color w:val="000000"/>
          <w:szCs w:val="22"/>
          <w:lang w:val="sv-SE"/>
        </w:rPr>
        <w:t xml:space="preserve"> till accelererad fas eller blastkris</w:t>
      </w:r>
      <w:r w:rsidRPr="000E7AE9">
        <w:rPr>
          <w:color w:val="000000"/>
          <w:szCs w:val="22"/>
          <w:lang w:val="sv-SE"/>
        </w:rPr>
        <w:t xml:space="preserve"> minskade med behandlingstidens längd</w:t>
      </w:r>
      <w:r w:rsidR="00DD6358" w:rsidRPr="000E7AE9">
        <w:rPr>
          <w:color w:val="000000"/>
          <w:szCs w:val="22"/>
          <w:lang w:val="sv-SE"/>
        </w:rPr>
        <w:t xml:space="preserve"> och var mindre än 1</w:t>
      </w:r>
      <w:r w:rsidR="00370A4C">
        <w:rPr>
          <w:color w:val="000000"/>
          <w:szCs w:val="22"/>
          <w:lang w:val="sv-SE"/>
        </w:rPr>
        <w:t> </w:t>
      </w:r>
      <w:r w:rsidR="00DD6358" w:rsidRPr="000E7AE9">
        <w:rPr>
          <w:color w:val="000000"/>
          <w:szCs w:val="22"/>
          <w:lang w:val="sv-SE"/>
        </w:rPr>
        <w:t>% årligen under det fjärde och femte året.</w:t>
      </w:r>
      <w:r w:rsidRPr="000E7AE9">
        <w:rPr>
          <w:color w:val="000000"/>
          <w:szCs w:val="22"/>
          <w:lang w:val="sv-SE"/>
        </w:rPr>
        <w:t xml:space="preserve"> Den uppskattade andelen progressionsfri överlevnad vid </w:t>
      </w:r>
      <w:r w:rsidR="00147F50">
        <w:rPr>
          <w:color w:val="000000"/>
          <w:szCs w:val="22"/>
          <w:lang w:val="sv-SE"/>
        </w:rPr>
        <w:t>84</w:t>
      </w:r>
      <w:r w:rsidR="00147F50" w:rsidRPr="000E7AE9">
        <w:rPr>
          <w:color w:val="000000"/>
          <w:szCs w:val="22"/>
          <w:lang w:val="sv-SE"/>
        </w:rPr>
        <w:t> </w:t>
      </w:r>
      <w:r w:rsidRPr="000E7AE9">
        <w:rPr>
          <w:color w:val="000000"/>
          <w:szCs w:val="22"/>
          <w:lang w:val="sv-SE"/>
        </w:rPr>
        <w:t xml:space="preserve">månader var </w:t>
      </w:r>
      <w:r w:rsidR="00147F50">
        <w:rPr>
          <w:color w:val="000000"/>
          <w:szCs w:val="22"/>
          <w:lang w:val="sv-SE"/>
        </w:rPr>
        <w:t>81,2</w:t>
      </w:r>
      <w:r w:rsidR="00370A4C">
        <w:rPr>
          <w:color w:val="000000"/>
          <w:szCs w:val="22"/>
          <w:lang w:val="sv-SE"/>
        </w:rPr>
        <w:t> </w:t>
      </w:r>
      <w:r w:rsidRPr="000E7AE9">
        <w:rPr>
          <w:color w:val="000000"/>
          <w:szCs w:val="22"/>
          <w:lang w:val="sv-SE"/>
        </w:rPr>
        <w:t xml:space="preserve">% i Glivec-armen och </w:t>
      </w:r>
      <w:r w:rsidR="00147F50">
        <w:rPr>
          <w:color w:val="000000"/>
          <w:szCs w:val="22"/>
          <w:lang w:val="sv-SE"/>
        </w:rPr>
        <w:t>60,6</w:t>
      </w:r>
      <w:r w:rsidR="00370A4C">
        <w:rPr>
          <w:color w:val="000000"/>
          <w:szCs w:val="22"/>
          <w:lang w:val="sv-SE"/>
        </w:rPr>
        <w:t> </w:t>
      </w:r>
      <w:r w:rsidRPr="000E7AE9">
        <w:rPr>
          <w:color w:val="000000"/>
          <w:szCs w:val="22"/>
          <w:lang w:val="sv-SE"/>
        </w:rPr>
        <w:t xml:space="preserve">% i kontrollarmen (p&lt;0,001). Progressionsfrekvensen per år </w:t>
      </w:r>
      <w:r w:rsidR="00F23DFF" w:rsidRPr="000E7AE9">
        <w:rPr>
          <w:color w:val="000000"/>
          <w:szCs w:val="22"/>
          <w:lang w:val="sv-SE"/>
        </w:rPr>
        <w:t>för någon typ med Glivec minskade också över tiden.</w:t>
      </w:r>
    </w:p>
    <w:p w14:paraId="1D9877BD" w14:textId="77777777" w:rsidR="00620ABA" w:rsidRPr="000E7AE9" w:rsidRDefault="00620ABA" w:rsidP="00463647">
      <w:pPr>
        <w:pStyle w:val="EndnoteText"/>
        <w:widowControl w:val="0"/>
        <w:rPr>
          <w:color w:val="000000"/>
          <w:szCs w:val="22"/>
          <w:lang w:val="sv-SE"/>
        </w:rPr>
      </w:pPr>
    </w:p>
    <w:p w14:paraId="7D365F8E" w14:textId="77777777" w:rsidR="00620ABA" w:rsidRPr="000E7AE9" w:rsidRDefault="00620ABA" w:rsidP="00463647">
      <w:pPr>
        <w:pStyle w:val="EndnoteText"/>
        <w:widowControl w:val="0"/>
        <w:rPr>
          <w:color w:val="000000"/>
          <w:szCs w:val="22"/>
          <w:lang w:val="sv-SE"/>
        </w:rPr>
      </w:pPr>
      <w:r w:rsidRPr="000E7AE9">
        <w:rPr>
          <w:color w:val="000000"/>
          <w:szCs w:val="22"/>
          <w:lang w:val="sv-SE"/>
        </w:rPr>
        <w:t xml:space="preserve">Totalt avled </w:t>
      </w:r>
      <w:r w:rsidR="00147F50">
        <w:rPr>
          <w:color w:val="000000"/>
          <w:szCs w:val="22"/>
          <w:lang w:val="sv-SE"/>
        </w:rPr>
        <w:t>71</w:t>
      </w:r>
      <w:r w:rsidR="00147F50" w:rsidRPr="000E7AE9">
        <w:rPr>
          <w:color w:val="000000"/>
          <w:szCs w:val="22"/>
          <w:lang w:val="sv-SE"/>
        </w:rPr>
        <w:t xml:space="preserve"> </w:t>
      </w:r>
      <w:r w:rsidRPr="000E7AE9">
        <w:rPr>
          <w:color w:val="000000"/>
          <w:szCs w:val="22"/>
          <w:lang w:val="sv-SE"/>
        </w:rPr>
        <w:t>(</w:t>
      </w:r>
      <w:r w:rsidR="00147F50">
        <w:rPr>
          <w:color w:val="000000"/>
          <w:szCs w:val="22"/>
          <w:lang w:val="sv-SE"/>
        </w:rPr>
        <w:t>12,8</w:t>
      </w:r>
      <w:r w:rsidR="00370A4C">
        <w:rPr>
          <w:color w:val="000000"/>
          <w:szCs w:val="22"/>
          <w:lang w:val="sv-SE"/>
        </w:rPr>
        <w:t> </w:t>
      </w:r>
      <w:r w:rsidRPr="000E7AE9">
        <w:rPr>
          <w:color w:val="000000"/>
          <w:szCs w:val="22"/>
          <w:lang w:val="sv-SE"/>
        </w:rPr>
        <w:t xml:space="preserve">%) respektive </w:t>
      </w:r>
      <w:r w:rsidR="00147F50">
        <w:rPr>
          <w:color w:val="000000"/>
          <w:szCs w:val="22"/>
          <w:lang w:val="sv-SE"/>
        </w:rPr>
        <w:t>85</w:t>
      </w:r>
      <w:r w:rsidR="00147F50" w:rsidRPr="000E7AE9">
        <w:rPr>
          <w:color w:val="000000"/>
          <w:szCs w:val="22"/>
          <w:lang w:val="sv-SE"/>
        </w:rPr>
        <w:t xml:space="preserve"> </w:t>
      </w:r>
      <w:r w:rsidRPr="000E7AE9">
        <w:rPr>
          <w:color w:val="000000"/>
          <w:szCs w:val="22"/>
          <w:lang w:val="sv-SE"/>
        </w:rPr>
        <w:t>(</w:t>
      </w:r>
      <w:r w:rsidR="00147F50">
        <w:rPr>
          <w:color w:val="000000"/>
          <w:szCs w:val="22"/>
          <w:lang w:val="sv-SE"/>
        </w:rPr>
        <w:t>15,4</w:t>
      </w:r>
      <w:r w:rsidR="00370A4C">
        <w:rPr>
          <w:color w:val="000000"/>
          <w:szCs w:val="22"/>
          <w:lang w:val="sv-SE"/>
        </w:rPr>
        <w:t> </w:t>
      </w:r>
      <w:r w:rsidRPr="000E7AE9">
        <w:rPr>
          <w:color w:val="000000"/>
          <w:szCs w:val="22"/>
          <w:lang w:val="sv-SE"/>
        </w:rPr>
        <w:t xml:space="preserve">%) patienter i Glivec- respektive IFN+Ara-C-grupperna. Vid </w:t>
      </w:r>
      <w:r w:rsidR="008B2D43">
        <w:rPr>
          <w:color w:val="000000"/>
          <w:szCs w:val="22"/>
          <w:lang w:val="sv-SE"/>
        </w:rPr>
        <w:t>84</w:t>
      </w:r>
      <w:r w:rsidR="008B2D43" w:rsidRPr="000E7AE9">
        <w:rPr>
          <w:color w:val="000000"/>
          <w:szCs w:val="22"/>
          <w:lang w:val="sv-SE"/>
        </w:rPr>
        <w:t> </w:t>
      </w:r>
      <w:r w:rsidRPr="000E7AE9">
        <w:rPr>
          <w:color w:val="000000"/>
          <w:szCs w:val="22"/>
          <w:lang w:val="sv-SE"/>
        </w:rPr>
        <w:t xml:space="preserve">månader var total uppskattad överlevnad </w:t>
      </w:r>
      <w:r w:rsidR="008B2D43">
        <w:rPr>
          <w:color w:val="000000"/>
          <w:szCs w:val="22"/>
          <w:lang w:val="sv-SE"/>
        </w:rPr>
        <w:t>86,4</w:t>
      </w:r>
      <w:r w:rsidR="00370A4C">
        <w:rPr>
          <w:color w:val="000000"/>
          <w:szCs w:val="22"/>
          <w:lang w:val="sv-SE"/>
        </w:rPr>
        <w:t> </w:t>
      </w:r>
      <w:r w:rsidRPr="000E7AE9">
        <w:rPr>
          <w:color w:val="000000"/>
          <w:szCs w:val="22"/>
          <w:lang w:val="sv-SE"/>
        </w:rPr>
        <w:t>% (</w:t>
      </w:r>
      <w:r w:rsidR="008B2D43">
        <w:rPr>
          <w:color w:val="000000"/>
          <w:szCs w:val="22"/>
          <w:lang w:val="sv-SE"/>
        </w:rPr>
        <w:t>83</w:t>
      </w:r>
      <w:r w:rsidRPr="000E7AE9">
        <w:rPr>
          <w:color w:val="000000"/>
          <w:szCs w:val="22"/>
          <w:lang w:val="sv-SE"/>
        </w:rPr>
        <w:t xml:space="preserve">, </w:t>
      </w:r>
      <w:r w:rsidR="008B2D43">
        <w:rPr>
          <w:color w:val="000000"/>
          <w:szCs w:val="22"/>
          <w:lang w:val="sv-SE"/>
        </w:rPr>
        <w:t>90</w:t>
      </w:r>
      <w:r w:rsidRPr="000E7AE9">
        <w:rPr>
          <w:color w:val="000000"/>
          <w:szCs w:val="22"/>
          <w:lang w:val="sv-SE"/>
        </w:rPr>
        <w:t xml:space="preserve">) respektive </w:t>
      </w:r>
      <w:r w:rsidR="008B2D43">
        <w:rPr>
          <w:color w:val="000000"/>
          <w:szCs w:val="22"/>
          <w:lang w:val="sv-SE"/>
        </w:rPr>
        <w:t>83,3</w:t>
      </w:r>
      <w:r w:rsidR="00370A4C">
        <w:rPr>
          <w:color w:val="000000"/>
          <w:szCs w:val="22"/>
          <w:lang w:val="sv-SE"/>
        </w:rPr>
        <w:t> </w:t>
      </w:r>
      <w:r w:rsidRPr="000E7AE9">
        <w:rPr>
          <w:color w:val="000000"/>
          <w:szCs w:val="22"/>
          <w:lang w:val="sv-SE"/>
        </w:rPr>
        <w:t>% (</w:t>
      </w:r>
      <w:r w:rsidR="008B2D43">
        <w:rPr>
          <w:color w:val="000000"/>
          <w:szCs w:val="22"/>
          <w:lang w:val="sv-SE"/>
        </w:rPr>
        <w:t>80</w:t>
      </w:r>
      <w:r w:rsidRPr="000E7AE9">
        <w:rPr>
          <w:color w:val="000000"/>
          <w:szCs w:val="22"/>
          <w:lang w:val="sv-SE"/>
        </w:rPr>
        <w:t xml:space="preserve">, </w:t>
      </w:r>
      <w:r w:rsidR="008B2D43">
        <w:rPr>
          <w:color w:val="000000"/>
          <w:szCs w:val="22"/>
          <w:lang w:val="sv-SE"/>
        </w:rPr>
        <w:t>87</w:t>
      </w:r>
      <w:r w:rsidRPr="000E7AE9">
        <w:rPr>
          <w:color w:val="000000"/>
          <w:szCs w:val="22"/>
          <w:lang w:val="sv-SE"/>
        </w:rPr>
        <w:t>) i de randomiserade Glivec- och IFN+Ara-C-grupperna (p=0,</w:t>
      </w:r>
      <w:r w:rsidR="008B2D43" w:rsidRPr="000E7AE9">
        <w:rPr>
          <w:color w:val="000000"/>
          <w:szCs w:val="22"/>
          <w:lang w:val="sv-SE"/>
        </w:rPr>
        <w:t>0</w:t>
      </w:r>
      <w:r w:rsidR="008B2D43">
        <w:rPr>
          <w:color w:val="000000"/>
          <w:szCs w:val="22"/>
          <w:lang w:val="sv-SE"/>
        </w:rPr>
        <w:t>73</w:t>
      </w:r>
      <w:r w:rsidRPr="000E7AE9">
        <w:rPr>
          <w:color w:val="000000"/>
          <w:szCs w:val="22"/>
          <w:lang w:val="sv-SE"/>
        </w:rPr>
        <w:t xml:space="preserve">, log-rank-test). Detta effektmått, tid till </w:t>
      </w:r>
      <w:r w:rsidRPr="000E7AE9">
        <w:rPr>
          <w:color w:val="000000"/>
          <w:szCs w:val="22"/>
          <w:lang w:val="sv-SE"/>
        </w:rPr>
        <w:lastRenderedPageBreak/>
        <w:t>händelse, är i hög grad påverkat av den höga andelen patienter som korsades över från IFN+Ara-C till Glivec. Effekten av Glivec-behandling på överlevnad vid nyligen diagnostiserad KML i kronisk fas har undersökts ytterligare i en retrospektiv analys av ovan rapporterade Glivec-data med primärdata från en annan fas III-studie med IFN+Ara-C (n=325) i en identisk behandlingsregim. I denna retrospektiva analys visades Glivecs överlägsenhet över IFN+Ara-C med avseende på total överlevnad (p&lt;0</w:t>
      </w:r>
      <w:r w:rsidR="001A53D3" w:rsidRPr="000E7AE9">
        <w:rPr>
          <w:color w:val="000000"/>
          <w:szCs w:val="22"/>
          <w:lang w:val="sv-SE"/>
        </w:rPr>
        <w:t>,</w:t>
      </w:r>
      <w:r w:rsidRPr="000E7AE9">
        <w:rPr>
          <w:color w:val="000000"/>
          <w:szCs w:val="22"/>
          <w:lang w:val="sv-SE"/>
        </w:rPr>
        <w:t>001). Inom 42 månader hade 47 (8,5</w:t>
      </w:r>
      <w:r w:rsidR="00370A4C">
        <w:rPr>
          <w:color w:val="000000"/>
          <w:szCs w:val="22"/>
          <w:lang w:val="sv-SE"/>
        </w:rPr>
        <w:t> </w:t>
      </w:r>
      <w:r w:rsidRPr="000E7AE9">
        <w:rPr>
          <w:color w:val="000000"/>
          <w:szCs w:val="22"/>
          <w:lang w:val="sv-SE"/>
        </w:rPr>
        <w:t>%) av Glivec-patienterna och 63 (19,4</w:t>
      </w:r>
      <w:r w:rsidR="00370A4C">
        <w:rPr>
          <w:color w:val="000000"/>
          <w:szCs w:val="22"/>
          <w:lang w:val="sv-SE"/>
        </w:rPr>
        <w:t> </w:t>
      </w:r>
      <w:r w:rsidRPr="000E7AE9">
        <w:rPr>
          <w:color w:val="000000"/>
          <w:szCs w:val="22"/>
          <w:lang w:val="sv-SE"/>
        </w:rPr>
        <w:t>%) av IFN+Ara-C-patienterna avlidit.</w:t>
      </w:r>
    </w:p>
    <w:p w14:paraId="29FCB8E2" w14:textId="77777777" w:rsidR="00620ABA" w:rsidRPr="000E7AE9" w:rsidRDefault="00620ABA" w:rsidP="00463647">
      <w:pPr>
        <w:pStyle w:val="EndnoteText"/>
        <w:widowControl w:val="0"/>
        <w:rPr>
          <w:color w:val="000000"/>
          <w:szCs w:val="22"/>
          <w:lang w:val="sv-SE"/>
        </w:rPr>
      </w:pPr>
    </w:p>
    <w:p w14:paraId="5F4D77F6" w14:textId="77777777" w:rsidR="00620ABA" w:rsidRPr="000E7AE9" w:rsidRDefault="00620ABA" w:rsidP="00463647">
      <w:pPr>
        <w:pStyle w:val="EndnoteText"/>
        <w:widowControl w:val="0"/>
        <w:rPr>
          <w:color w:val="000000"/>
          <w:lang w:val="sv-SE"/>
        </w:rPr>
      </w:pPr>
      <w:r w:rsidRPr="000E7AE9">
        <w:rPr>
          <w:color w:val="000000"/>
          <w:szCs w:val="22"/>
          <w:lang w:val="sv-SE"/>
        </w:rPr>
        <w:t xml:space="preserve">Graden av cytogenetiskt svar </w:t>
      </w:r>
      <w:r w:rsidR="00F23DFF" w:rsidRPr="000E7AE9">
        <w:rPr>
          <w:color w:val="000000"/>
          <w:szCs w:val="22"/>
          <w:lang w:val="sv-SE"/>
        </w:rPr>
        <w:t xml:space="preserve">och molekylärt svar </w:t>
      </w:r>
      <w:r w:rsidRPr="000E7AE9">
        <w:rPr>
          <w:color w:val="000000"/>
          <w:szCs w:val="22"/>
          <w:lang w:val="sv-SE"/>
        </w:rPr>
        <w:t xml:space="preserve">hade en tydlig effekt på långtidsresultatet för patienter på Glivec. Medan uppskattningsvis </w:t>
      </w:r>
      <w:r w:rsidR="008B2D43">
        <w:rPr>
          <w:color w:val="000000"/>
          <w:szCs w:val="22"/>
          <w:lang w:val="sv-SE"/>
        </w:rPr>
        <w:t>96</w:t>
      </w:r>
      <w:r w:rsidR="00370A4C">
        <w:rPr>
          <w:color w:val="000000"/>
          <w:szCs w:val="22"/>
          <w:lang w:val="sv-SE"/>
        </w:rPr>
        <w:t> </w:t>
      </w:r>
      <w:r w:rsidRPr="000E7AE9">
        <w:rPr>
          <w:color w:val="000000"/>
          <w:szCs w:val="22"/>
          <w:lang w:val="sv-SE"/>
        </w:rPr>
        <w:t>% (93</w:t>
      </w:r>
      <w:r w:rsidR="00370A4C">
        <w:rPr>
          <w:color w:val="000000"/>
          <w:szCs w:val="22"/>
          <w:lang w:val="sv-SE"/>
        </w:rPr>
        <w:t> </w:t>
      </w:r>
      <w:r w:rsidRPr="000E7AE9">
        <w:rPr>
          <w:color w:val="000000"/>
          <w:szCs w:val="22"/>
          <w:lang w:val="sv-SE"/>
        </w:rPr>
        <w:t>%) av patienterna med fullständigt CyS (partiellt Cys) vid 12</w:t>
      </w:r>
      <w:r w:rsidR="001A53D3" w:rsidRPr="000E7AE9">
        <w:rPr>
          <w:color w:val="000000"/>
          <w:szCs w:val="22"/>
          <w:lang w:val="sv-SE"/>
        </w:rPr>
        <w:t> </w:t>
      </w:r>
      <w:r w:rsidRPr="000E7AE9">
        <w:rPr>
          <w:color w:val="000000"/>
          <w:szCs w:val="22"/>
          <w:lang w:val="sv-SE"/>
        </w:rPr>
        <w:t xml:space="preserve">månader inte hade genomgått progression till accelererad fas/blastkris vid </w:t>
      </w:r>
      <w:r w:rsidR="008B2D43">
        <w:rPr>
          <w:color w:val="000000"/>
          <w:szCs w:val="22"/>
          <w:lang w:val="sv-SE"/>
        </w:rPr>
        <w:t>84</w:t>
      </w:r>
      <w:r w:rsidR="00EA7441">
        <w:rPr>
          <w:color w:val="000000"/>
          <w:szCs w:val="22"/>
          <w:lang w:val="sv-SE"/>
        </w:rPr>
        <w:t> </w:t>
      </w:r>
      <w:r w:rsidRPr="000E7AE9">
        <w:rPr>
          <w:color w:val="000000"/>
          <w:szCs w:val="22"/>
          <w:lang w:val="sv-SE"/>
        </w:rPr>
        <w:t>månader var bara 81</w:t>
      </w:r>
      <w:r w:rsidR="00370A4C">
        <w:rPr>
          <w:color w:val="000000"/>
          <w:szCs w:val="22"/>
          <w:lang w:val="sv-SE"/>
        </w:rPr>
        <w:t> </w:t>
      </w:r>
      <w:r w:rsidRPr="000E7AE9">
        <w:rPr>
          <w:color w:val="000000"/>
          <w:szCs w:val="22"/>
          <w:lang w:val="sv-SE"/>
        </w:rPr>
        <w:t>% av patienterna utan betydande CyS vid 12</w:t>
      </w:r>
      <w:r w:rsidR="001A53D3" w:rsidRPr="000E7AE9">
        <w:rPr>
          <w:color w:val="000000"/>
          <w:szCs w:val="22"/>
          <w:lang w:val="sv-SE"/>
        </w:rPr>
        <w:t> </w:t>
      </w:r>
      <w:r w:rsidRPr="000E7AE9">
        <w:rPr>
          <w:color w:val="000000"/>
          <w:szCs w:val="22"/>
          <w:lang w:val="sv-SE"/>
        </w:rPr>
        <w:t xml:space="preserve">månader fria från progression till avancerad KML vid </w:t>
      </w:r>
      <w:r w:rsidR="008B2D43">
        <w:rPr>
          <w:color w:val="000000"/>
          <w:szCs w:val="22"/>
          <w:lang w:val="sv-SE"/>
        </w:rPr>
        <w:t>84</w:t>
      </w:r>
      <w:r w:rsidR="008B2D43" w:rsidRPr="000E7AE9">
        <w:rPr>
          <w:color w:val="000000"/>
          <w:szCs w:val="22"/>
          <w:lang w:val="sv-SE"/>
        </w:rPr>
        <w:t> </w:t>
      </w:r>
      <w:r w:rsidRPr="000E7AE9">
        <w:rPr>
          <w:color w:val="000000"/>
          <w:szCs w:val="22"/>
          <w:lang w:val="sv-SE"/>
        </w:rPr>
        <w:t>månader (p&lt;0,001 totalt, p=0,2</w:t>
      </w:r>
      <w:r w:rsidR="004E7B8F">
        <w:rPr>
          <w:color w:val="000000"/>
          <w:szCs w:val="22"/>
          <w:lang w:val="sv-SE"/>
        </w:rPr>
        <w:t>5</w:t>
      </w:r>
      <w:r w:rsidRPr="000E7AE9">
        <w:rPr>
          <w:color w:val="000000"/>
          <w:szCs w:val="22"/>
          <w:lang w:val="sv-SE"/>
        </w:rPr>
        <w:t xml:space="preserve"> mellan FCyS och PCyS). </w:t>
      </w:r>
      <w:r w:rsidR="00F23DFF" w:rsidRPr="000E7AE9">
        <w:rPr>
          <w:color w:val="000000"/>
          <w:szCs w:val="22"/>
          <w:lang w:val="sv-SE"/>
        </w:rPr>
        <w:t xml:space="preserve">För patienter med </w:t>
      </w:r>
      <w:r w:rsidR="00B62BC8" w:rsidRPr="000E7AE9">
        <w:rPr>
          <w:color w:val="000000"/>
          <w:szCs w:val="22"/>
          <w:lang w:val="sv-SE"/>
        </w:rPr>
        <w:t>minskning</w:t>
      </w:r>
      <w:r w:rsidR="00F23DFF" w:rsidRPr="000E7AE9">
        <w:rPr>
          <w:color w:val="000000"/>
          <w:szCs w:val="22"/>
          <w:lang w:val="sv-SE"/>
        </w:rPr>
        <w:t xml:space="preserve"> i Bcr-Abl-transkript med minst 3</w:t>
      </w:r>
      <w:r w:rsidR="00C9040C" w:rsidRPr="000E7AE9">
        <w:rPr>
          <w:color w:val="000000"/>
          <w:szCs w:val="22"/>
          <w:lang w:val="sv-SE"/>
        </w:rPr>
        <w:t> </w:t>
      </w:r>
      <w:r w:rsidR="00F23DFF" w:rsidRPr="000E7AE9">
        <w:rPr>
          <w:color w:val="000000"/>
          <w:szCs w:val="22"/>
          <w:lang w:val="sv-SE"/>
        </w:rPr>
        <w:t xml:space="preserve">logaritmer vid 12 månader, </w:t>
      </w:r>
      <w:r w:rsidR="00B62BC8" w:rsidRPr="000E7AE9">
        <w:rPr>
          <w:color w:val="000000"/>
          <w:szCs w:val="22"/>
          <w:lang w:val="sv-SE"/>
        </w:rPr>
        <w:t>uppskattades</w:t>
      </w:r>
      <w:r w:rsidR="00F23DFF" w:rsidRPr="000E7AE9">
        <w:rPr>
          <w:color w:val="000000"/>
          <w:szCs w:val="22"/>
          <w:lang w:val="sv-SE"/>
        </w:rPr>
        <w:t xml:space="preserve"> sannolikheten </w:t>
      </w:r>
      <w:r w:rsidR="00B62BC8" w:rsidRPr="000E7AE9">
        <w:rPr>
          <w:color w:val="000000"/>
          <w:szCs w:val="22"/>
          <w:lang w:val="sv-SE"/>
        </w:rPr>
        <w:t>för fortsatt</w:t>
      </w:r>
      <w:r w:rsidR="00F23DFF" w:rsidRPr="000E7AE9">
        <w:rPr>
          <w:color w:val="000000"/>
          <w:szCs w:val="22"/>
          <w:lang w:val="sv-SE"/>
        </w:rPr>
        <w:t xml:space="preserve"> progressionsfr</w:t>
      </w:r>
      <w:r w:rsidR="00B62BC8" w:rsidRPr="000E7AE9">
        <w:rPr>
          <w:color w:val="000000"/>
          <w:szCs w:val="22"/>
          <w:lang w:val="sv-SE"/>
        </w:rPr>
        <w:t>ihet</w:t>
      </w:r>
      <w:r w:rsidR="00F23DFF" w:rsidRPr="000E7AE9">
        <w:rPr>
          <w:color w:val="000000"/>
          <w:szCs w:val="22"/>
          <w:lang w:val="sv-SE"/>
        </w:rPr>
        <w:t xml:space="preserve"> till accelererad fas</w:t>
      </w:r>
      <w:r w:rsidR="00B62BC8" w:rsidRPr="000E7AE9">
        <w:rPr>
          <w:color w:val="000000"/>
          <w:szCs w:val="22"/>
          <w:lang w:val="sv-SE"/>
        </w:rPr>
        <w:t>/</w:t>
      </w:r>
      <w:r w:rsidR="00F23DFF" w:rsidRPr="000E7AE9">
        <w:rPr>
          <w:color w:val="000000"/>
          <w:szCs w:val="22"/>
          <w:lang w:val="sv-SE"/>
        </w:rPr>
        <w:t>blastkris</w:t>
      </w:r>
      <w:r w:rsidR="00B62BC8" w:rsidRPr="000E7AE9">
        <w:rPr>
          <w:color w:val="000000"/>
          <w:szCs w:val="22"/>
          <w:lang w:val="sv-SE"/>
        </w:rPr>
        <w:t xml:space="preserve"> till </w:t>
      </w:r>
      <w:r w:rsidR="008B2D43">
        <w:rPr>
          <w:color w:val="000000"/>
          <w:szCs w:val="22"/>
          <w:lang w:val="sv-SE"/>
        </w:rPr>
        <w:t>99</w:t>
      </w:r>
      <w:r w:rsidR="00370A4C">
        <w:rPr>
          <w:color w:val="000000"/>
          <w:szCs w:val="22"/>
          <w:lang w:val="sv-SE"/>
        </w:rPr>
        <w:t> </w:t>
      </w:r>
      <w:r w:rsidR="00F23DFF" w:rsidRPr="000E7AE9">
        <w:rPr>
          <w:color w:val="000000"/>
          <w:szCs w:val="22"/>
          <w:lang w:val="sv-SE"/>
        </w:rPr>
        <w:t xml:space="preserve">% vid </w:t>
      </w:r>
      <w:r w:rsidR="008B2D43">
        <w:rPr>
          <w:color w:val="000000"/>
          <w:szCs w:val="22"/>
          <w:lang w:val="sv-SE"/>
        </w:rPr>
        <w:t>84</w:t>
      </w:r>
      <w:r w:rsidR="008B2D43" w:rsidRPr="000E7AE9">
        <w:rPr>
          <w:color w:val="000000"/>
          <w:lang w:val="sv-SE"/>
        </w:rPr>
        <w:t> </w:t>
      </w:r>
      <w:r w:rsidR="00F23DFF" w:rsidRPr="000E7AE9">
        <w:rPr>
          <w:color w:val="000000"/>
          <w:lang w:val="sv-SE"/>
        </w:rPr>
        <w:t>månader. Liknande</w:t>
      </w:r>
      <w:r w:rsidR="0081787A" w:rsidRPr="000E7AE9">
        <w:rPr>
          <w:color w:val="000000"/>
          <w:lang w:val="sv-SE"/>
        </w:rPr>
        <w:t xml:space="preserve"> resultat sågs vid en riktmärkesanalys efter 18 månader.</w:t>
      </w:r>
    </w:p>
    <w:p w14:paraId="3A000B9C" w14:textId="77777777" w:rsidR="00620ABA" w:rsidRPr="000E7AE9" w:rsidRDefault="00620ABA" w:rsidP="00463647">
      <w:pPr>
        <w:pStyle w:val="EndnoteText"/>
        <w:widowControl w:val="0"/>
        <w:rPr>
          <w:color w:val="000000"/>
          <w:szCs w:val="22"/>
          <w:lang w:val="sv-SE"/>
        </w:rPr>
      </w:pPr>
    </w:p>
    <w:p w14:paraId="2ECA2116" w14:textId="77777777" w:rsidR="00620ABA" w:rsidRPr="000E7AE9" w:rsidRDefault="00620ABA" w:rsidP="00463647">
      <w:pPr>
        <w:pStyle w:val="EndnoteText"/>
        <w:widowControl w:val="0"/>
        <w:rPr>
          <w:color w:val="000000"/>
          <w:szCs w:val="22"/>
          <w:lang w:val="sv-SE"/>
        </w:rPr>
      </w:pPr>
      <w:r w:rsidRPr="000E7AE9">
        <w:rPr>
          <w:color w:val="000000"/>
          <w:szCs w:val="22"/>
          <w:lang w:val="sv-SE"/>
        </w:rPr>
        <w:t>I denna studie tilläts dosökningar från 400 mg dagligen till 600 mg dagligen och sedan från 600 mg dagligen till 800 mg dagligen. Efter 42 månaders uppföljning, hade 11 patienter en bekräftad (inom 4 veckor) förlust av sitt cytogenetiska svar. Av dessa 11 patienter upptitrerades 4 patienter till 800 mg dagligen och 2 av dessa återfick sitt cytogenetiska svar (1 partiellt och 1 komplett, den senare uppnådde även ett molekylärt svar), medan av de 7 patienterna som inte upptitrerades återfick endast en komplett cytogenetisk svar. Procenttalet för vissa biverkningar var högre hos de 40 patienterna som upptitrerades till 800 mg dagligen jämfört med patientpopulationen före dosökningen (n=551). De mer frekventa biverkningarna inkluderade gastrointestinala blödningar, konjuktivit och förhöjning av transaminaser eller bilirubin. Andra biverkningar rapporterades med lägre eller lika frekvens.</w:t>
      </w:r>
    </w:p>
    <w:p w14:paraId="1B64126D" w14:textId="77777777" w:rsidR="00620ABA" w:rsidRPr="000E7AE9" w:rsidRDefault="00620ABA" w:rsidP="00463647">
      <w:pPr>
        <w:pStyle w:val="EndnoteText"/>
        <w:widowControl w:val="0"/>
        <w:tabs>
          <w:tab w:val="clear" w:pos="567"/>
        </w:tabs>
        <w:rPr>
          <w:color w:val="000000"/>
          <w:szCs w:val="22"/>
          <w:lang w:val="sv-SE"/>
        </w:rPr>
      </w:pPr>
    </w:p>
    <w:p w14:paraId="6923935F" w14:textId="77777777" w:rsidR="00620ABA" w:rsidRPr="000E7AE9" w:rsidRDefault="00620ABA" w:rsidP="00463647">
      <w:pPr>
        <w:pStyle w:val="EndnoteText"/>
        <w:widowControl w:val="0"/>
        <w:tabs>
          <w:tab w:val="clear" w:pos="567"/>
        </w:tabs>
        <w:rPr>
          <w:color w:val="000000"/>
          <w:szCs w:val="22"/>
          <w:lang w:val="sv-SE"/>
        </w:rPr>
      </w:pPr>
      <w:r w:rsidRPr="000E7AE9">
        <w:rPr>
          <w:i/>
          <w:color w:val="000000"/>
          <w:szCs w:val="22"/>
          <w:lang w:val="sv-SE"/>
        </w:rPr>
        <w:t xml:space="preserve">Kronisk fas, behandlingssvikt med interferonbehandling: </w:t>
      </w:r>
      <w:r w:rsidRPr="000E7AE9">
        <w:rPr>
          <w:color w:val="000000"/>
          <w:szCs w:val="22"/>
          <w:lang w:val="sv-SE"/>
        </w:rPr>
        <w:t>532 vuxna patienter behandlades med en startdos på 400 mg. Patienterna fördelades på tre huvudkategorier: behandlingssvikt hematologiskt (29</w:t>
      </w:r>
      <w:r w:rsidR="00370A4C">
        <w:rPr>
          <w:color w:val="000000"/>
          <w:szCs w:val="22"/>
          <w:lang w:val="sv-SE"/>
        </w:rPr>
        <w:t> </w:t>
      </w:r>
      <w:r w:rsidRPr="000E7AE9">
        <w:rPr>
          <w:color w:val="000000"/>
          <w:szCs w:val="22"/>
          <w:lang w:val="sv-SE"/>
        </w:rPr>
        <w:t>%), cytogenetiskt (35</w:t>
      </w:r>
      <w:r w:rsidR="00370A4C">
        <w:rPr>
          <w:color w:val="000000"/>
          <w:szCs w:val="22"/>
          <w:lang w:val="sv-SE"/>
        </w:rPr>
        <w:t> </w:t>
      </w:r>
      <w:r w:rsidRPr="000E7AE9">
        <w:rPr>
          <w:color w:val="000000"/>
          <w:szCs w:val="22"/>
          <w:lang w:val="sv-SE"/>
        </w:rPr>
        <w:t>%) och intolerans mot interferon (36</w:t>
      </w:r>
      <w:r w:rsidR="00370A4C">
        <w:rPr>
          <w:color w:val="000000"/>
          <w:szCs w:val="22"/>
          <w:lang w:val="sv-SE"/>
        </w:rPr>
        <w:t> </w:t>
      </w:r>
      <w:r w:rsidRPr="000E7AE9">
        <w:rPr>
          <w:color w:val="000000"/>
          <w:szCs w:val="22"/>
          <w:lang w:val="sv-SE"/>
        </w:rPr>
        <w:t xml:space="preserve">%). Patienterna hade tidigare fått IFN-behandling (medianlängd på behandlingen 14 månader) i doser </w:t>
      </w:r>
      <w:r w:rsidRPr="000E7AE9">
        <w:rPr>
          <w:color w:val="000000"/>
          <w:szCs w:val="22"/>
          <w:lang w:val="sv-SE"/>
        </w:rPr>
        <w:sym w:font="Symbol" w:char="F0B3"/>
      </w:r>
      <w:r w:rsidRPr="000E7AE9">
        <w:rPr>
          <w:color w:val="000000"/>
          <w:szCs w:val="22"/>
          <w:lang w:val="sv-SE"/>
        </w:rPr>
        <w:t> 25 x 10</w:t>
      </w:r>
      <w:r w:rsidRPr="000E7AE9">
        <w:rPr>
          <w:color w:val="000000"/>
          <w:szCs w:val="22"/>
          <w:vertAlign w:val="superscript"/>
          <w:lang w:val="sv-SE"/>
        </w:rPr>
        <w:t>6</w:t>
      </w:r>
      <w:r w:rsidRPr="000E7AE9">
        <w:rPr>
          <w:color w:val="000000"/>
          <w:szCs w:val="22"/>
          <w:lang w:val="sv-SE"/>
        </w:rPr>
        <w:t xml:space="preserve"> IE/vecka och var alla i sen kronisk fas med en mediantid från diagnos på 32 månader. Den primära effektvariabeln i studien var andelen patienter med betydande cytogenetiskt svar (fullständigt plus partiellt svar, 0 till 35</w:t>
      </w:r>
      <w:r w:rsidR="00370A4C">
        <w:rPr>
          <w:color w:val="000000"/>
          <w:szCs w:val="22"/>
          <w:lang w:val="sv-SE"/>
        </w:rPr>
        <w:t> </w:t>
      </w:r>
      <w:r w:rsidRPr="000E7AE9">
        <w:rPr>
          <w:color w:val="000000"/>
          <w:szCs w:val="22"/>
          <w:lang w:val="sv-SE"/>
        </w:rPr>
        <w:t>% (Ph+)-metafas i benmärgen).</w:t>
      </w:r>
    </w:p>
    <w:p w14:paraId="14D9910F" w14:textId="77777777" w:rsidR="00620ABA" w:rsidRPr="000E7AE9" w:rsidRDefault="00620ABA" w:rsidP="00463647">
      <w:pPr>
        <w:pStyle w:val="EndnoteText"/>
        <w:widowControl w:val="0"/>
        <w:tabs>
          <w:tab w:val="clear" w:pos="567"/>
        </w:tabs>
        <w:rPr>
          <w:color w:val="000000"/>
          <w:szCs w:val="22"/>
          <w:lang w:val="sv-SE"/>
        </w:rPr>
      </w:pPr>
    </w:p>
    <w:p w14:paraId="799EB55A"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I denna studie uppvisade 65</w:t>
      </w:r>
      <w:r w:rsidR="00370A4C">
        <w:rPr>
          <w:color w:val="000000"/>
          <w:szCs w:val="22"/>
          <w:lang w:val="sv-SE"/>
        </w:rPr>
        <w:t> </w:t>
      </w:r>
      <w:r w:rsidRPr="000E7AE9">
        <w:rPr>
          <w:color w:val="000000"/>
          <w:szCs w:val="22"/>
          <w:lang w:val="sv-SE"/>
        </w:rPr>
        <w:t>% av patienterna ett betydande cytogenetiskt svar som var fullständigt hos 53</w:t>
      </w:r>
      <w:r w:rsidR="00370A4C">
        <w:rPr>
          <w:color w:val="000000"/>
          <w:szCs w:val="22"/>
          <w:lang w:val="sv-SE"/>
        </w:rPr>
        <w:t> </w:t>
      </w:r>
      <w:r w:rsidRPr="000E7AE9">
        <w:rPr>
          <w:color w:val="000000"/>
          <w:szCs w:val="22"/>
          <w:lang w:val="sv-SE"/>
        </w:rPr>
        <w:t>% (43</w:t>
      </w:r>
      <w:r w:rsidR="00370A4C">
        <w:rPr>
          <w:color w:val="000000"/>
          <w:szCs w:val="22"/>
          <w:lang w:val="sv-SE"/>
        </w:rPr>
        <w:t> </w:t>
      </w:r>
      <w:r w:rsidRPr="000E7AE9">
        <w:rPr>
          <w:color w:val="000000"/>
          <w:szCs w:val="22"/>
          <w:lang w:val="sv-SE"/>
        </w:rPr>
        <w:t>% bekräftade) av patienterna (Tabell </w:t>
      </w:r>
      <w:r w:rsidR="007F2DDD">
        <w:rPr>
          <w:color w:val="000000"/>
          <w:szCs w:val="22"/>
          <w:lang w:val="sv-SE"/>
        </w:rPr>
        <w:t>3</w:t>
      </w:r>
      <w:r w:rsidRPr="000E7AE9">
        <w:rPr>
          <w:color w:val="000000"/>
          <w:szCs w:val="22"/>
          <w:lang w:val="sv-SE"/>
        </w:rPr>
        <w:t>). Fullständigt hematologiskt svar erhölls hos 95</w:t>
      </w:r>
      <w:r w:rsidR="00370A4C">
        <w:rPr>
          <w:color w:val="000000"/>
          <w:szCs w:val="22"/>
          <w:lang w:val="sv-SE"/>
        </w:rPr>
        <w:t> </w:t>
      </w:r>
      <w:r w:rsidRPr="000E7AE9">
        <w:rPr>
          <w:color w:val="000000"/>
          <w:szCs w:val="22"/>
          <w:lang w:val="sv-SE"/>
        </w:rPr>
        <w:t>% av patienterna.</w:t>
      </w:r>
    </w:p>
    <w:p w14:paraId="58A033C8" w14:textId="77777777" w:rsidR="00620ABA" w:rsidRPr="000E7AE9" w:rsidRDefault="00620ABA" w:rsidP="00463647">
      <w:pPr>
        <w:pStyle w:val="EndnoteText"/>
        <w:widowControl w:val="0"/>
        <w:tabs>
          <w:tab w:val="clear" w:pos="567"/>
        </w:tabs>
        <w:rPr>
          <w:color w:val="000000"/>
          <w:szCs w:val="22"/>
          <w:lang w:val="sv-SE"/>
        </w:rPr>
      </w:pPr>
    </w:p>
    <w:p w14:paraId="14EF63B0" w14:textId="77777777" w:rsidR="00620ABA" w:rsidRPr="000E7AE9" w:rsidRDefault="00620ABA" w:rsidP="00463647">
      <w:pPr>
        <w:pStyle w:val="EndnoteText"/>
        <w:widowControl w:val="0"/>
        <w:tabs>
          <w:tab w:val="clear" w:pos="567"/>
        </w:tabs>
        <w:rPr>
          <w:color w:val="000000"/>
          <w:szCs w:val="22"/>
          <w:lang w:val="sv-SE"/>
        </w:rPr>
      </w:pPr>
      <w:r w:rsidRPr="000E7AE9">
        <w:rPr>
          <w:i/>
          <w:color w:val="000000"/>
          <w:szCs w:val="22"/>
          <w:lang w:val="sv-SE"/>
        </w:rPr>
        <w:t xml:space="preserve">Accelererad fas: </w:t>
      </w:r>
      <w:r w:rsidRPr="000E7AE9">
        <w:rPr>
          <w:color w:val="000000"/>
          <w:szCs w:val="22"/>
          <w:lang w:val="sv-SE"/>
        </w:rPr>
        <w:t>235 vuxna patienter med sjukdom i accelererad fas inkluderades. De första 77 patienterna inledde behandlingen med 400 mg varefter protokollet ändrades för att medge högre dosering och de återstående 158 patienterna började med 600 mg.</w:t>
      </w:r>
    </w:p>
    <w:p w14:paraId="3ED01D38" w14:textId="77777777" w:rsidR="00620ABA" w:rsidRPr="000E7AE9" w:rsidRDefault="00620ABA" w:rsidP="00463647">
      <w:pPr>
        <w:pStyle w:val="EndnoteText"/>
        <w:widowControl w:val="0"/>
        <w:tabs>
          <w:tab w:val="clear" w:pos="567"/>
        </w:tabs>
        <w:rPr>
          <w:color w:val="000000"/>
          <w:szCs w:val="22"/>
          <w:lang w:val="sv-SE"/>
        </w:rPr>
      </w:pPr>
    </w:p>
    <w:p w14:paraId="50FDD5B8"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Den primära effektvariabeln var andelen patienter med hematologiskt svar, rapporterat antingen som fullständigt hematologiskt svar, inga tecken på leukemi (dvs. frånvaro av blaster i märg och perifert blod men utan fullständig remission i perifert blod som vid fullständigt svar) eller återgång till kronisk fas av KML. Bekräftat hematologiskt svar erhölls hos 71,5</w:t>
      </w:r>
      <w:r w:rsidR="00370A4C">
        <w:rPr>
          <w:color w:val="000000"/>
          <w:szCs w:val="22"/>
          <w:lang w:val="sv-SE"/>
        </w:rPr>
        <w:t> </w:t>
      </w:r>
      <w:r w:rsidRPr="000E7AE9">
        <w:rPr>
          <w:color w:val="000000"/>
          <w:szCs w:val="22"/>
          <w:lang w:val="sv-SE"/>
        </w:rPr>
        <w:t>% av patienterna (Tabell </w:t>
      </w:r>
      <w:r w:rsidR="007F2DDD">
        <w:rPr>
          <w:color w:val="000000"/>
          <w:szCs w:val="22"/>
          <w:lang w:val="sv-SE"/>
        </w:rPr>
        <w:t>3</w:t>
      </w:r>
      <w:r w:rsidRPr="000E7AE9">
        <w:rPr>
          <w:color w:val="000000"/>
          <w:szCs w:val="22"/>
          <w:lang w:val="sv-SE"/>
        </w:rPr>
        <w:t>). Det är också viktigt att påpeka att 27,7</w:t>
      </w:r>
      <w:r w:rsidR="00370A4C">
        <w:rPr>
          <w:color w:val="000000"/>
          <w:szCs w:val="22"/>
          <w:lang w:val="sv-SE"/>
        </w:rPr>
        <w:t> </w:t>
      </w:r>
      <w:r w:rsidRPr="000E7AE9">
        <w:rPr>
          <w:color w:val="000000"/>
          <w:szCs w:val="22"/>
          <w:lang w:val="sv-SE"/>
        </w:rPr>
        <w:t>% av patienterna dessutom uppvisade ett betydande cytogenetiskt svar som var fullständigt hos 20,4</w:t>
      </w:r>
      <w:r w:rsidR="00370A4C">
        <w:rPr>
          <w:color w:val="000000"/>
          <w:szCs w:val="22"/>
          <w:lang w:val="sv-SE"/>
        </w:rPr>
        <w:t> </w:t>
      </w:r>
      <w:r w:rsidRPr="000E7AE9">
        <w:rPr>
          <w:color w:val="000000"/>
          <w:szCs w:val="22"/>
          <w:lang w:val="sv-SE"/>
        </w:rPr>
        <w:t>% (16</w:t>
      </w:r>
      <w:r w:rsidR="00370A4C">
        <w:rPr>
          <w:color w:val="000000"/>
          <w:szCs w:val="22"/>
          <w:lang w:val="sv-SE"/>
        </w:rPr>
        <w:t> </w:t>
      </w:r>
      <w:r w:rsidRPr="000E7AE9">
        <w:rPr>
          <w:color w:val="000000"/>
          <w:szCs w:val="22"/>
          <w:lang w:val="sv-SE"/>
        </w:rPr>
        <w:t>% bekräftade) av patienterna. För de patienter som behandlades med 600 mg var den nuvarande uppskattade graden av medianöverlevnad utan sjukdomsprogression och överlevnad totalt 22,9 respektive 42,5 månader.</w:t>
      </w:r>
    </w:p>
    <w:p w14:paraId="34FCCEA8" w14:textId="77777777" w:rsidR="00620ABA" w:rsidRPr="000E7AE9" w:rsidRDefault="00620ABA" w:rsidP="00463647">
      <w:pPr>
        <w:pStyle w:val="EndnoteText"/>
        <w:widowControl w:val="0"/>
        <w:tabs>
          <w:tab w:val="clear" w:pos="567"/>
        </w:tabs>
        <w:rPr>
          <w:color w:val="000000"/>
          <w:szCs w:val="22"/>
          <w:lang w:val="sv-SE"/>
        </w:rPr>
      </w:pPr>
    </w:p>
    <w:p w14:paraId="6190E290" w14:textId="77777777" w:rsidR="00620ABA" w:rsidRPr="000E7AE9" w:rsidRDefault="00620ABA" w:rsidP="00463647">
      <w:pPr>
        <w:pStyle w:val="EndnoteText"/>
        <w:widowControl w:val="0"/>
        <w:tabs>
          <w:tab w:val="clear" w:pos="567"/>
        </w:tabs>
        <w:rPr>
          <w:color w:val="000000"/>
          <w:szCs w:val="22"/>
          <w:lang w:val="sv-SE"/>
        </w:rPr>
      </w:pPr>
      <w:r w:rsidRPr="000E7AE9">
        <w:rPr>
          <w:i/>
          <w:color w:val="000000"/>
          <w:szCs w:val="22"/>
          <w:lang w:val="sv-SE"/>
        </w:rPr>
        <w:t xml:space="preserve">Myeloisk blastkris: </w:t>
      </w:r>
      <w:r w:rsidRPr="000E7AE9">
        <w:rPr>
          <w:color w:val="000000"/>
          <w:szCs w:val="22"/>
          <w:lang w:val="sv-SE"/>
        </w:rPr>
        <w:t>260 patienter med myeloisk blastkris inkluderades. 95 (37</w:t>
      </w:r>
      <w:r w:rsidR="00370A4C">
        <w:rPr>
          <w:color w:val="000000"/>
          <w:szCs w:val="22"/>
          <w:lang w:val="sv-SE"/>
        </w:rPr>
        <w:t> </w:t>
      </w:r>
      <w:r w:rsidRPr="000E7AE9">
        <w:rPr>
          <w:color w:val="000000"/>
          <w:szCs w:val="22"/>
          <w:lang w:val="sv-SE"/>
        </w:rPr>
        <w:t>%) hade tidigare fått kemoterapi för behandling av antingen accelererad fas eller blastkris (”förbehandlade patienter”), medan 165 (63</w:t>
      </w:r>
      <w:r w:rsidR="00370A4C">
        <w:rPr>
          <w:color w:val="000000"/>
          <w:szCs w:val="22"/>
          <w:lang w:val="sv-SE"/>
        </w:rPr>
        <w:t> </w:t>
      </w:r>
      <w:r w:rsidRPr="000E7AE9">
        <w:rPr>
          <w:color w:val="000000"/>
          <w:szCs w:val="22"/>
          <w:lang w:val="sv-SE"/>
        </w:rPr>
        <w:t>%) inte hade fått detta (”obehandlade patienter”). De första 37 patienterna inledde behandlingen med en dos om 400 mg varefter protokollet ändrades för att medge högre dosering och de återstående 223 patienterna började med 600 mg.</w:t>
      </w:r>
    </w:p>
    <w:p w14:paraId="0E509EDC" w14:textId="77777777" w:rsidR="00620ABA" w:rsidRPr="000E7AE9" w:rsidRDefault="00620ABA" w:rsidP="00463647">
      <w:pPr>
        <w:pStyle w:val="EndnoteText"/>
        <w:widowControl w:val="0"/>
        <w:tabs>
          <w:tab w:val="clear" w:pos="567"/>
        </w:tabs>
        <w:rPr>
          <w:color w:val="000000"/>
          <w:szCs w:val="22"/>
          <w:lang w:val="sv-SE"/>
        </w:rPr>
      </w:pPr>
    </w:p>
    <w:p w14:paraId="45EB0AA7"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Den primära effektvariabeln var graden av hematologiskt svar, rapporterat antingen som fullständigt hematologisk remission, inga tecken till leukemi, eller återgång till KML i kronisk fas enligt samma kriterier som studien avseende accelererad fas. I denna studie uppvisade 31</w:t>
      </w:r>
      <w:r w:rsidR="00370A4C">
        <w:rPr>
          <w:color w:val="000000"/>
          <w:szCs w:val="22"/>
          <w:lang w:val="sv-SE"/>
        </w:rPr>
        <w:t> </w:t>
      </w:r>
      <w:r w:rsidRPr="000E7AE9">
        <w:rPr>
          <w:color w:val="000000"/>
          <w:szCs w:val="22"/>
          <w:lang w:val="sv-SE"/>
        </w:rPr>
        <w:t>% av patienterna ett hematologiskt svar (36</w:t>
      </w:r>
      <w:r w:rsidR="00370A4C">
        <w:rPr>
          <w:color w:val="000000"/>
          <w:szCs w:val="22"/>
          <w:lang w:val="sv-SE"/>
        </w:rPr>
        <w:t> </w:t>
      </w:r>
      <w:r w:rsidRPr="000E7AE9">
        <w:rPr>
          <w:color w:val="000000"/>
          <w:szCs w:val="22"/>
          <w:lang w:val="sv-SE"/>
        </w:rPr>
        <w:t>% hos tidigare obehandlade patienter och 22</w:t>
      </w:r>
      <w:r w:rsidR="00370A4C">
        <w:rPr>
          <w:color w:val="000000"/>
          <w:szCs w:val="22"/>
          <w:lang w:val="sv-SE"/>
        </w:rPr>
        <w:t> </w:t>
      </w:r>
      <w:r w:rsidRPr="000E7AE9">
        <w:rPr>
          <w:color w:val="000000"/>
          <w:szCs w:val="22"/>
          <w:lang w:val="sv-SE"/>
        </w:rPr>
        <w:t>% hos tidigare behandlade patienter). Svarsfrekvensen var också högre hos patienter som behandlades med 600 mg (33</w:t>
      </w:r>
      <w:r w:rsidR="00370A4C">
        <w:rPr>
          <w:color w:val="000000"/>
          <w:szCs w:val="22"/>
          <w:lang w:val="sv-SE"/>
        </w:rPr>
        <w:t> </w:t>
      </w:r>
      <w:r w:rsidRPr="000E7AE9">
        <w:rPr>
          <w:color w:val="000000"/>
          <w:szCs w:val="22"/>
          <w:lang w:val="sv-SE"/>
        </w:rPr>
        <w:t>%) än hos patienter som fick 400 mg (16</w:t>
      </w:r>
      <w:r w:rsidR="00370A4C">
        <w:rPr>
          <w:color w:val="000000"/>
          <w:szCs w:val="22"/>
          <w:lang w:val="sv-SE"/>
        </w:rPr>
        <w:t> </w:t>
      </w:r>
      <w:r w:rsidRPr="000E7AE9">
        <w:rPr>
          <w:color w:val="000000"/>
          <w:szCs w:val="22"/>
          <w:lang w:val="sv-SE"/>
        </w:rPr>
        <w:t>%, p=0,0220). Den aktuella uppskattningen av medianöverlevnad för tidigare obehandlade och behandlade patienter är 7,7 respektive 4,7 månader.</w:t>
      </w:r>
    </w:p>
    <w:p w14:paraId="6504935D" w14:textId="77777777" w:rsidR="00620ABA" w:rsidRPr="000E7AE9" w:rsidRDefault="00620ABA" w:rsidP="00463647">
      <w:pPr>
        <w:pStyle w:val="EndnoteText"/>
        <w:widowControl w:val="0"/>
        <w:tabs>
          <w:tab w:val="clear" w:pos="567"/>
        </w:tabs>
        <w:rPr>
          <w:color w:val="000000"/>
          <w:szCs w:val="22"/>
          <w:lang w:val="sv-SE"/>
        </w:rPr>
      </w:pPr>
    </w:p>
    <w:p w14:paraId="7B9649CC" w14:textId="77777777" w:rsidR="00620ABA" w:rsidRPr="000E7AE9" w:rsidRDefault="00620ABA" w:rsidP="00463647">
      <w:pPr>
        <w:pStyle w:val="BodyText"/>
        <w:widowControl w:val="0"/>
        <w:spacing w:line="240" w:lineRule="auto"/>
        <w:rPr>
          <w:b w:val="0"/>
          <w:i w:val="0"/>
          <w:color w:val="000000"/>
          <w:szCs w:val="22"/>
          <w:lang w:val="sv-SE"/>
        </w:rPr>
      </w:pPr>
      <w:r w:rsidRPr="000E7AE9">
        <w:rPr>
          <w:b w:val="0"/>
          <w:color w:val="000000"/>
          <w:szCs w:val="22"/>
          <w:lang w:val="sv-SE"/>
        </w:rPr>
        <w:t>Lymfoid blastkris</w:t>
      </w:r>
      <w:r w:rsidRPr="000E7AE9">
        <w:rPr>
          <w:b w:val="0"/>
          <w:i w:val="0"/>
          <w:color w:val="000000"/>
          <w:szCs w:val="22"/>
          <w:lang w:val="sv-SE"/>
        </w:rPr>
        <w:t>: ett begränsat antal patienter rekryterades i fas I-studier (n=10). Det hematologiska svaret var 70</w:t>
      </w:r>
      <w:r w:rsidR="00370A4C">
        <w:rPr>
          <w:b w:val="0"/>
          <w:i w:val="0"/>
          <w:color w:val="000000"/>
          <w:szCs w:val="22"/>
          <w:lang w:val="sv-SE"/>
        </w:rPr>
        <w:t> </w:t>
      </w:r>
      <w:r w:rsidRPr="000E7AE9">
        <w:rPr>
          <w:b w:val="0"/>
          <w:i w:val="0"/>
          <w:color w:val="000000"/>
          <w:szCs w:val="22"/>
          <w:lang w:val="sv-SE"/>
        </w:rPr>
        <w:t>% med en duration på 2</w:t>
      </w:r>
      <w:r w:rsidRPr="000E7AE9">
        <w:rPr>
          <w:color w:val="000000"/>
          <w:szCs w:val="22"/>
          <w:lang w:val="sv-SE"/>
        </w:rPr>
        <w:t>–</w:t>
      </w:r>
      <w:r w:rsidRPr="000E7AE9">
        <w:rPr>
          <w:b w:val="0"/>
          <w:i w:val="0"/>
          <w:color w:val="000000"/>
          <w:szCs w:val="22"/>
          <w:lang w:val="sv-SE"/>
        </w:rPr>
        <w:t>3 månader.</w:t>
      </w:r>
    </w:p>
    <w:p w14:paraId="4F9A1058" w14:textId="77777777" w:rsidR="00620ABA" w:rsidRPr="000E7AE9" w:rsidRDefault="00620ABA" w:rsidP="00463647">
      <w:pPr>
        <w:pStyle w:val="EndnoteText"/>
        <w:widowControl w:val="0"/>
        <w:tabs>
          <w:tab w:val="clear" w:pos="567"/>
        </w:tabs>
        <w:rPr>
          <w:color w:val="000000"/>
          <w:szCs w:val="22"/>
          <w:lang w:val="sv-SE"/>
        </w:rPr>
      </w:pPr>
    </w:p>
    <w:p w14:paraId="6471D5E9" w14:textId="77777777" w:rsidR="00620ABA" w:rsidRPr="000E7AE9" w:rsidRDefault="00620ABA" w:rsidP="00463647">
      <w:pPr>
        <w:pStyle w:val="EndnoteText"/>
        <w:keepNext/>
        <w:keepLines/>
        <w:widowControl w:val="0"/>
        <w:tabs>
          <w:tab w:val="clear" w:pos="567"/>
          <w:tab w:val="left" w:pos="1134"/>
        </w:tabs>
        <w:rPr>
          <w:color w:val="000000"/>
          <w:szCs w:val="22"/>
          <w:lang w:val="sv-SE"/>
        </w:rPr>
      </w:pPr>
      <w:r w:rsidRPr="000E7AE9">
        <w:rPr>
          <w:b/>
          <w:color w:val="000000"/>
          <w:szCs w:val="22"/>
          <w:lang w:val="sv-SE"/>
        </w:rPr>
        <w:t>Tabell </w:t>
      </w:r>
      <w:r w:rsidR="007F2DDD">
        <w:rPr>
          <w:b/>
          <w:color w:val="000000"/>
          <w:szCs w:val="22"/>
          <w:lang w:val="sv-SE"/>
        </w:rPr>
        <w:t>3</w:t>
      </w:r>
      <w:r w:rsidRPr="000E7AE9">
        <w:rPr>
          <w:b/>
          <w:color w:val="000000"/>
          <w:szCs w:val="22"/>
          <w:lang w:val="sv-SE"/>
        </w:rPr>
        <w:tab/>
        <w:t>Behandlingssvar i KML- studier på vuxna</w:t>
      </w:r>
    </w:p>
    <w:p w14:paraId="7E283298" w14:textId="77777777" w:rsidR="00620ABA" w:rsidRPr="000E7AE9" w:rsidRDefault="00620ABA" w:rsidP="00463647">
      <w:pPr>
        <w:pStyle w:val="EndnoteText"/>
        <w:keepNext/>
        <w:keepLines/>
        <w:widowControl w:val="0"/>
        <w:tabs>
          <w:tab w:val="clear" w:pos="567"/>
        </w:tabs>
        <w:rPr>
          <w:color w:val="000000"/>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620ABA" w:rsidRPr="00F60A89" w14:paraId="64F8B28E" w14:textId="77777777">
        <w:tc>
          <w:tcPr>
            <w:tcW w:w="3227" w:type="dxa"/>
            <w:tcBorders>
              <w:bottom w:val="nil"/>
            </w:tcBorders>
          </w:tcPr>
          <w:p w14:paraId="6729E116" w14:textId="77777777" w:rsidR="00620ABA" w:rsidRPr="000E7AE9" w:rsidRDefault="00620ABA" w:rsidP="00463647">
            <w:pPr>
              <w:pStyle w:val="EndnoteText"/>
              <w:keepNext/>
              <w:keepLines/>
              <w:widowControl w:val="0"/>
              <w:tabs>
                <w:tab w:val="clear" w:pos="567"/>
              </w:tabs>
              <w:rPr>
                <w:color w:val="000000"/>
                <w:szCs w:val="22"/>
                <w:lang w:val="sv-SE"/>
              </w:rPr>
            </w:pPr>
          </w:p>
        </w:tc>
        <w:tc>
          <w:tcPr>
            <w:tcW w:w="1898" w:type="dxa"/>
            <w:tcBorders>
              <w:bottom w:val="nil"/>
            </w:tcBorders>
          </w:tcPr>
          <w:p w14:paraId="4CACEA2C"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Studie 0110</w:t>
            </w:r>
          </w:p>
          <w:p w14:paraId="20A08A61"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37-månaders data</w:t>
            </w:r>
          </w:p>
          <w:p w14:paraId="49E97066"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Kronisk fas, Misslyckad IFN-behandling</w:t>
            </w:r>
          </w:p>
          <w:p w14:paraId="1B89C5A2"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(n=532)</w:t>
            </w:r>
          </w:p>
        </w:tc>
        <w:tc>
          <w:tcPr>
            <w:tcW w:w="1985" w:type="dxa"/>
            <w:tcBorders>
              <w:bottom w:val="nil"/>
            </w:tcBorders>
          </w:tcPr>
          <w:p w14:paraId="0F6FA3C2"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Studie 0109</w:t>
            </w:r>
          </w:p>
          <w:p w14:paraId="48E9FD07"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40,5-månaders data</w:t>
            </w:r>
          </w:p>
          <w:p w14:paraId="539CCE2F"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Accelererad fas</w:t>
            </w:r>
          </w:p>
          <w:p w14:paraId="419EB658"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(n=235)</w:t>
            </w:r>
          </w:p>
        </w:tc>
        <w:tc>
          <w:tcPr>
            <w:tcW w:w="1929" w:type="dxa"/>
            <w:tcBorders>
              <w:bottom w:val="nil"/>
            </w:tcBorders>
          </w:tcPr>
          <w:p w14:paraId="00C61C93"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Studie 0102</w:t>
            </w:r>
          </w:p>
          <w:p w14:paraId="4B42D545"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38-månaders data</w:t>
            </w:r>
          </w:p>
          <w:p w14:paraId="5DFC95CD"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Myeloisk blastkris</w:t>
            </w:r>
          </w:p>
          <w:p w14:paraId="3E0BC7B1"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(n=260)</w:t>
            </w:r>
          </w:p>
        </w:tc>
      </w:tr>
      <w:tr w:rsidR="00620ABA" w:rsidRPr="000E7AE9" w14:paraId="3C837351" w14:textId="77777777">
        <w:tc>
          <w:tcPr>
            <w:tcW w:w="9039" w:type="dxa"/>
            <w:gridSpan w:val="4"/>
            <w:tcBorders>
              <w:bottom w:val="single" w:sz="4" w:space="0" w:color="auto"/>
            </w:tcBorders>
          </w:tcPr>
          <w:p w14:paraId="33E6E8F3"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 av patienterna (</w:t>
            </w:r>
            <w:r w:rsidR="007A04BC">
              <w:rPr>
                <w:color w:val="000000"/>
                <w:szCs w:val="22"/>
                <w:lang w:val="sv-SE"/>
              </w:rPr>
              <w:t>K</w:t>
            </w:r>
            <w:r w:rsidR="007A04BC" w:rsidRPr="000E7AE9">
              <w:rPr>
                <w:color w:val="000000"/>
                <w:szCs w:val="22"/>
                <w:lang w:val="sv-SE"/>
              </w:rPr>
              <w:t>I</w:t>
            </w:r>
            <w:r w:rsidR="007A04BC" w:rsidRPr="000E7AE9">
              <w:rPr>
                <w:color w:val="000000"/>
                <w:szCs w:val="22"/>
                <w:vertAlign w:val="subscript"/>
                <w:lang w:val="sv-SE"/>
              </w:rPr>
              <w:t>95</w:t>
            </w:r>
            <w:r w:rsidR="007A04BC">
              <w:rPr>
                <w:color w:val="000000"/>
                <w:szCs w:val="22"/>
                <w:vertAlign w:val="subscript"/>
                <w:lang w:val="sv-SE"/>
              </w:rPr>
              <w:t> </w:t>
            </w:r>
            <w:r w:rsidRPr="000E7AE9">
              <w:rPr>
                <w:color w:val="000000"/>
                <w:szCs w:val="22"/>
                <w:vertAlign w:val="subscript"/>
                <w:lang w:val="sv-SE"/>
              </w:rPr>
              <w:t>%</w:t>
            </w:r>
            <w:r w:rsidRPr="000E7AE9">
              <w:rPr>
                <w:color w:val="000000"/>
                <w:szCs w:val="22"/>
                <w:lang w:val="sv-SE"/>
              </w:rPr>
              <w:t>)</w:t>
            </w:r>
          </w:p>
        </w:tc>
      </w:tr>
      <w:tr w:rsidR="00620ABA" w:rsidRPr="000E7AE9" w14:paraId="3C3649D3" w14:textId="77777777">
        <w:tc>
          <w:tcPr>
            <w:tcW w:w="3227" w:type="dxa"/>
            <w:tcBorders>
              <w:top w:val="single" w:sz="4" w:space="0" w:color="auto"/>
              <w:left w:val="single" w:sz="4" w:space="0" w:color="auto"/>
              <w:bottom w:val="nil"/>
              <w:right w:val="single" w:sz="4" w:space="0" w:color="auto"/>
            </w:tcBorders>
          </w:tcPr>
          <w:p w14:paraId="19EBB761"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Hematologiskt svar</w:t>
            </w:r>
            <w:r w:rsidRPr="000E7AE9">
              <w:rPr>
                <w:color w:val="000000"/>
                <w:szCs w:val="22"/>
                <w:vertAlign w:val="superscript"/>
                <w:lang w:val="sv-SE"/>
              </w:rPr>
              <w:t>1</w:t>
            </w:r>
          </w:p>
        </w:tc>
        <w:tc>
          <w:tcPr>
            <w:tcW w:w="1898" w:type="dxa"/>
            <w:tcBorders>
              <w:top w:val="single" w:sz="4" w:space="0" w:color="auto"/>
              <w:left w:val="single" w:sz="4" w:space="0" w:color="auto"/>
              <w:bottom w:val="nil"/>
              <w:right w:val="single" w:sz="4" w:space="0" w:color="auto"/>
            </w:tcBorders>
          </w:tcPr>
          <w:p w14:paraId="02E6CCA0"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95</w:t>
            </w:r>
            <w:r w:rsidR="00370A4C">
              <w:rPr>
                <w:color w:val="000000"/>
                <w:szCs w:val="22"/>
                <w:lang w:val="sv-SE"/>
              </w:rPr>
              <w:t> </w:t>
            </w:r>
            <w:r w:rsidRPr="000E7AE9">
              <w:rPr>
                <w:color w:val="000000"/>
                <w:szCs w:val="22"/>
                <w:lang w:val="sv-SE"/>
              </w:rPr>
              <w:t>% (92,3–96,3)</w:t>
            </w:r>
          </w:p>
        </w:tc>
        <w:tc>
          <w:tcPr>
            <w:tcW w:w="1985" w:type="dxa"/>
            <w:tcBorders>
              <w:top w:val="single" w:sz="4" w:space="0" w:color="auto"/>
              <w:left w:val="single" w:sz="4" w:space="0" w:color="auto"/>
              <w:bottom w:val="nil"/>
              <w:right w:val="single" w:sz="4" w:space="0" w:color="auto"/>
            </w:tcBorders>
          </w:tcPr>
          <w:p w14:paraId="6B44B511"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71</w:t>
            </w:r>
            <w:r w:rsidR="00370A4C">
              <w:rPr>
                <w:color w:val="000000"/>
                <w:szCs w:val="22"/>
                <w:lang w:val="sv-SE"/>
              </w:rPr>
              <w:t> </w:t>
            </w:r>
            <w:r w:rsidRPr="000E7AE9">
              <w:rPr>
                <w:color w:val="000000"/>
                <w:szCs w:val="22"/>
                <w:lang w:val="sv-SE"/>
              </w:rPr>
              <w:t>% (65,3–77,2)</w:t>
            </w:r>
          </w:p>
        </w:tc>
        <w:tc>
          <w:tcPr>
            <w:tcW w:w="1929" w:type="dxa"/>
            <w:tcBorders>
              <w:top w:val="single" w:sz="4" w:space="0" w:color="auto"/>
              <w:left w:val="single" w:sz="4" w:space="0" w:color="auto"/>
              <w:bottom w:val="nil"/>
              <w:right w:val="single" w:sz="4" w:space="0" w:color="auto"/>
            </w:tcBorders>
          </w:tcPr>
          <w:p w14:paraId="45E34E0E"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31</w:t>
            </w:r>
            <w:r w:rsidR="00370A4C">
              <w:rPr>
                <w:color w:val="000000"/>
                <w:szCs w:val="22"/>
                <w:lang w:val="sv-SE"/>
              </w:rPr>
              <w:t> </w:t>
            </w:r>
            <w:r w:rsidRPr="000E7AE9">
              <w:rPr>
                <w:color w:val="000000"/>
                <w:szCs w:val="22"/>
                <w:lang w:val="sv-SE"/>
              </w:rPr>
              <w:t>% (25,2–36,8)</w:t>
            </w:r>
          </w:p>
        </w:tc>
      </w:tr>
      <w:tr w:rsidR="00620ABA" w:rsidRPr="000E7AE9" w14:paraId="1C0CA74B" w14:textId="77777777">
        <w:tc>
          <w:tcPr>
            <w:tcW w:w="3227" w:type="dxa"/>
            <w:tcBorders>
              <w:top w:val="nil"/>
              <w:left w:val="single" w:sz="4" w:space="0" w:color="auto"/>
              <w:bottom w:val="nil"/>
              <w:right w:val="single" w:sz="4" w:space="0" w:color="auto"/>
            </w:tcBorders>
          </w:tcPr>
          <w:p w14:paraId="09BAFC39" w14:textId="77777777" w:rsidR="00620ABA" w:rsidRPr="000E7AE9" w:rsidRDefault="00620ABA" w:rsidP="00463647">
            <w:pPr>
              <w:pStyle w:val="EndnoteText"/>
              <w:keepNext/>
              <w:keepLines/>
              <w:widowControl w:val="0"/>
              <w:tabs>
                <w:tab w:val="clear" w:pos="567"/>
              </w:tabs>
              <w:ind w:left="284"/>
              <w:rPr>
                <w:color w:val="000000"/>
                <w:szCs w:val="22"/>
                <w:lang w:val="sv-SE"/>
              </w:rPr>
            </w:pPr>
            <w:r w:rsidRPr="000E7AE9">
              <w:rPr>
                <w:color w:val="000000"/>
                <w:szCs w:val="22"/>
                <w:lang w:val="sv-SE"/>
              </w:rPr>
              <w:t xml:space="preserve">Fullständigt hematologiskt svar (FHS) </w:t>
            </w:r>
          </w:p>
        </w:tc>
        <w:tc>
          <w:tcPr>
            <w:tcW w:w="1898" w:type="dxa"/>
            <w:tcBorders>
              <w:top w:val="nil"/>
              <w:left w:val="single" w:sz="4" w:space="0" w:color="auto"/>
              <w:bottom w:val="nil"/>
              <w:right w:val="single" w:sz="4" w:space="0" w:color="auto"/>
            </w:tcBorders>
          </w:tcPr>
          <w:p w14:paraId="656ABEA4"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95</w:t>
            </w:r>
            <w:r w:rsidR="00370A4C">
              <w:rPr>
                <w:color w:val="000000"/>
                <w:szCs w:val="22"/>
                <w:lang w:val="sv-SE"/>
              </w:rPr>
              <w:t> </w:t>
            </w:r>
            <w:r w:rsidRPr="000E7AE9">
              <w:rPr>
                <w:color w:val="000000"/>
                <w:szCs w:val="22"/>
                <w:lang w:val="sv-SE"/>
              </w:rPr>
              <w:t>%</w:t>
            </w:r>
          </w:p>
        </w:tc>
        <w:tc>
          <w:tcPr>
            <w:tcW w:w="1985" w:type="dxa"/>
            <w:tcBorders>
              <w:top w:val="nil"/>
              <w:left w:val="single" w:sz="4" w:space="0" w:color="auto"/>
              <w:bottom w:val="nil"/>
              <w:right w:val="single" w:sz="4" w:space="0" w:color="auto"/>
            </w:tcBorders>
          </w:tcPr>
          <w:p w14:paraId="4B2092A9"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42</w:t>
            </w:r>
            <w:r w:rsidR="00370A4C">
              <w:rPr>
                <w:color w:val="000000"/>
                <w:szCs w:val="22"/>
                <w:lang w:val="sv-SE"/>
              </w:rPr>
              <w:t> </w:t>
            </w:r>
            <w:r w:rsidRPr="000E7AE9">
              <w:rPr>
                <w:color w:val="000000"/>
                <w:szCs w:val="22"/>
                <w:lang w:val="sv-SE"/>
              </w:rPr>
              <w:t>%</w:t>
            </w:r>
          </w:p>
        </w:tc>
        <w:tc>
          <w:tcPr>
            <w:tcW w:w="1929" w:type="dxa"/>
            <w:tcBorders>
              <w:top w:val="nil"/>
              <w:left w:val="single" w:sz="4" w:space="0" w:color="auto"/>
              <w:bottom w:val="nil"/>
              <w:right w:val="single" w:sz="4" w:space="0" w:color="auto"/>
            </w:tcBorders>
          </w:tcPr>
          <w:p w14:paraId="3BA74B9D"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8</w:t>
            </w:r>
            <w:r w:rsidR="00370A4C">
              <w:rPr>
                <w:color w:val="000000"/>
                <w:szCs w:val="22"/>
                <w:lang w:val="sv-SE"/>
              </w:rPr>
              <w:t> </w:t>
            </w:r>
            <w:r w:rsidRPr="000E7AE9">
              <w:rPr>
                <w:color w:val="000000"/>
                <w:szCs w:val="22"/>
                <w:lang w:val="sv-SE"/>
              </w:rPr>
              <w:t>%</w:t>
            </w:r>
          </w:p>
        </w:tc>
      </w:tr>
      <w:tr w:rsidR="00620ABA" w:rsidRPr="000E7AE9" w14:paraId="244336FD" w14:textId="77777777">
        <w:tc>
          <w:tcPr>
            <w:tcW w:w="3227" w:type="dxa"/>
            <w:tcBorders>
              <w:top w:val="nil"/>
              <w:left w:val="single" w:sz="4" w:space="0" w:color="auto"/>
              <w:bottom w:val="nil"/>
              <w:right w:val="single" w:sz="4" w:space="0" w:color="auto"/>
            </w:tcBorders>
          </w:tcPr>
          <w:p w14:paraId="2C7AB93F" w14:textId="77777777" w:rsidR="00620ABA" w:rsidRPr="000E7AE9" w:rsidRDefault="00620ABA" w:rsidP="00463647">
            <w:pPr>
              <w:pStyle w:val="EndnoteText"/>
              <w:keepNext/>
              <w:keepLines/>
              <w:widowControl w:val="0"/>
              <w:tabs>
                <w:tab w:val="clear" w:pos="567"/>
              </w:tabs>
              <w:ind w:left="284"/>
              <w:rPr>
                <w:color w:val="000000"/>
                <w:szCs w:val="22"/>
                <w:lang w:val="sv-SE"/>
              </w:rPr>
            </w:pPr>
            <w:r w:rsidRPr="000E7AE9">
              <w:rPr>
                <w:color w:val="000000"/>
                <w:szCs w:val="22"/>
                <w:lang w:val="sv-SE"/>
              </w:rPr>
              <w:t>Inga tecken till leukemi (ITL)</w:t>
            </w:r>
          </w:p>
        </w:tc>
        <w:tc>
          <w:tcPr>
            <w:tcW w:w="1898" w:type="dxa"/>
            <w:tcBorders>
              <w:top w:val="nil"/>
              <w:left w:val="single" w:sz="4" w:space="0" w:color="auto"/>
              <w:bottom w:val="nil"/>
              <w:right w:val="single" w:sz="4" w:space="0" w:color="auto"/>
            </w:tcBorders>
          </w:tcPr>
          <w:p w14:paraId="7B2166EC"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Inte tillämpligt</w:t>
            </w:r>
          </w:p>
        </w:tc>
        <w:tc>
          <w:tcPr>
            <w:tcW w:w="1985" w:type="dxa"/>
            <w:tcBorders>
              <w:top w:val="nil"/>
              <w:left w:val="single" w:sz="4" w:space="0" w:color="auto"/>
              <w:bottom w:val="nil"/>
              <w:right w:val="single" w:sz="4" w:space="0" w:color="auto"/>
            </w:tcBorders>
          </w:tcPr>
          <w:p w14:paraId="4B765F0C"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12</w:t>
            </w:r>
            <w:r w:rsidR="00370A4C">
              <w:rPr>
                <w:color w:val="000000"/>
                <w:szCs w:val="22"/>
                <w:lang w:val="sv-SE"/>
              </w:rPr>
              <w:t> </w:t>
            </w:r>
            <w:r w:rsidRPr="000E7AE9">
              <w:rPr>
                <w:color w:val="000000"/>
                <w:szCs w:val="22"/>
                <w:lang w:val="sv-SE"/>
              </w:rPr>
              <w:t>%</w:t>
            </w:r>
          </w:p>
        </w:tc>
        <w:tc>
          <w:tcPr>
            <w:tcW w:w="1929" w:type="dxa"/>
            <w:tcBorders>
              <w:top w:val="nil"/>
              <w:left w:val="single" w:sz="4" w:space="0" w:color="auto"/>
              <w:bottom w:val="nil"/>
              <w:right w:val="single" w:sz="4" w:space="0" w:color="auto"/>
            </w:tcBorders>
          </w:tcPr>
          <w:p w14:paraId="17293E2E"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5</w:t>
            </w:r>
            <w:r w:rsidR="00370A4C">
              <w:rPr>
                <w:color w:val="000000"/>
                <w:szCs w:val="22"/>
                <w:lang w:val="sv-SE"/>
              </w:rPr>
              <w:t> </w:t>
            </w:r>
            <w:r w:rsidRPr="000E7AE9">
              <w:rPr>
                <w:color w:val="000000"/>
                <w:szCs w:val="22"/>
                <w:lang w:val="sv-SE"/>
              </w:rPr>
              <w:t>%</w:t>
            </w:r>
          </w:p>
        </w:tc>
      </w:tr>
      <w:tr w:rsidR="00620ABA" w:rsidRPr="000E7AE9" w14:paraId="0A82A97A" w14:textId="77777777">
        <w:tc>
          <w:tcPr>
            <w:tcW w:w="3227" w:type="dxa"/>
            <w:tcBorders>
              <w:top w:val="nil"/>
              <w:left w:val="single" w:sz="4" w:space="0" w:color="auto"/>
              <w:bottom w:val="nil"/>
              <w:right w:val="single" w:sz="4" w:space="0" w:color="auto"/>
            </w:tcBorders>
          </w:tcPr>
          <w:p w14:paraId="41A15E4D" w14:textId="77777777" w:rsidR="00620ABA" w:rsidRPr="000E7AE9" w:rsidRDefault="00620ABA" w:rsidP="00463647">
            <w:pPr>
              <w:pStyle w:val="EndnoteText"/>
              <w:keepNext/>
              <w:keepLines/>
              <w:widowControl w:val="0"/>
              <w:tabs>
                <w:tab w:val="clear" w:pos="567"/>
              </w:tabs>
              <w:ind w:left="284"/>
              <w:rPr>
                <w:color w:val="000000"/>
                <w:szCs w:val="22"/>
                <w:lang w:val="sv-SE"/>
              </w:rPr>
            </w:pPr>
            <w:r w:rsidRPr="000E7AE9">
              <w:rPr>
                <w:color w:val="000000"/>
                <w:szCs w:val="22"/>
                <w:lang w:val="sv-SE"/>
              </w:rPr>
              <w:t>Återgång till kronisk fas (ÅTK)</w:t>
            </w:r>
          </w:p>
        </w:tc>
        <w:tc>
          <w:tcPr>
            <w:tcW w:w="1898" w:type="dxa"/>
            <w:tcBorders>
              <w:top w:val="nil"/>
              <w:left w:val="single" w:sz="4" w:space="0" w:color="auto"/>
              <w:bottom w:val="nil"/>
              <w:right w:val="single" w:sz="4" w:space="0" w:color="auto"/>
            </w:tcBorders>
          </w:tcPr>
          <w:p w14:paraId="66AB9A5E"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Inte tillämpligt</w:t>
            </w:r>
          </w:p>
        </w:tc>
        <w:tc>
          <w:tcPr>
            <w:tcW w:w="1985" w:type="dxa"/>
            <w:tcBorders>
              <w:top w:val="nil"/>
              <w:left w:val="single" w:sz="4" w:space="0" w:color="auto"/>
              <w:bottom w:val="nil"/>
              <w:right w:val="single" w:sz="4" w:space="0" w:color="auto"/>
            </w:tcBorders>
          </w:tcPr>
          <w:p w14:paraId="604E05A7"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17</w:t>
            </w:r>
            <w:r w:rsidR="00370A4C">
              <w:rPr>
                <w:color w:val="000000"/>
                <w:szCs w:val="22"/>
                <w:lang w:val="sv-SE"/>
              </w:rPr>
              <w:t> </w:t>
            </w:r>
            <w:r w:rsidRPr="000E7AE9">
              <w:rPr>
                <w:color w:val="000000"/>
                <w:szCs w:val="22"/>
                <w:lang w:val="sv-SE"/>
              </w:rPr>
              <w:t>%</w:t>
            </w:r>
          </w:p>
        </w:tc>
        <w:tc>
          <w:tcPr>
            <w:tcW w:w="1929" w:type="dxa"/>
            <w:tcBorders>
              <w:top w:val="nil"/>
              <w:left w:val="single" w:sz="4" w:space="0" w:color="auto"/>
              <w:bottom w:val="nil"/>
              <w:right w:val="single" w:sz="4" w:space="0" w:color="auto"/>
            </w:tcBorders>
          </w:tcPr>
          <w:p w14:paraId="2C3BBB06"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18</w:t>
            </w:r>
            <w:r w:rsidR="00370A4C">
              <w:rPr>
                <w:color w:val="000000"/>
                <w:szCs w:val="22"/>
                <w:lang w:val="sv-SE"/>
              </w:rPr>
              <w:t> </w:t>
            </w:r>
            <w:r w:rsidRPr="000E7AE9">
              <w:rPr>
                <w:color w:val="000000"/>
                <w:szCs w:val="22"/>
                <w:lang w:val="sv-SE"/>
              </w:rPr>
              <w:t>%</w:t>
            </w:r>
          </w:p>
        </w:tc>
      </w:tr>
      <w:tr w:rsidR="00620ABA" w:rsidRPr="000E7AE9" w14:paraId="5DB6518E" w14:textId="77777777">
        <w:tc>
          <w:tcPr>
            <w:tcW w:w="3227" w:type="dxa"/>
            <w:tcBorders>
              <w:top w:val="nil"/>
              <w:left w:val="single" w:sz="4" w:space="0" w:color="auto"/>
              <w:bottom w:val="nil"/>
              <w:right w:val="single" w:sz="4" w:space="0" w:color="auto"/>
            </w:tcBorders>
          </w:tcPr>
          <w:p w14:paraId="51AC6E0F"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Betydande cytogenetiskt svar</w:t>
            </w:r>
            <w:r w:rsidRPr="000E7AE9">
              <w:rPr>
                <w:color w:val="000000"/>
                <w:szCs w:val="22"/>
                <w:vertAlign w:val="superscript"/>
                <w:lang w:val="sv-SE"/>
              </w:rPr>
              <w:t>2</w:t>
            </w:r>
          </w:p>
        </w:tc>
        <w:tc>
          <w:tcPr>
            <w:tcW w:w="1898" w:type="dxa"/>
            <w:tcBorders>
              <w:top w:val="nil"/>
              <w:left w:val="single" w:sz="4" w:space="0" w:color="auto"/>
              <w:bottom w:val="nil"/>
              <w:right w:val="single" w:sz="4" w:space="0" w:color="auto"/>
            </w:tcBorders>
          </w:tcPr>
          <w:p w14:paraId="5F070CE4"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65</w:t>
            </w:r>
            <w:r w:rsidR="00370A4C">
              <w:rPr>
                <w:color w:val="000000"/>
                <w:szCs w:val="22"/>
                <w:lang w:val="sv-SE"/>
              </w:rPr>
              <w:t> </w:t>
            </w:r>
            <w:r w:rsidRPr="000E7AE9">
              <w:rPr>
                <w:color w:val="000000"/>
                <w:szCs w:val="22"/>
                <w:lang w:val="sv-SE"/>
              </w:rPr>
              <w:t>% (61,2–69,5)</w:t>
            </w:r>
          </w:p>
        </w:tc>
        <w:tc>
          <w:tcPr>
            <w:tcW w:w="1985" w:type="dxa"/>
            <w:tcBorders>
              <w:top w:val="nil"/>
              <w:left w:val="single" w:sz="4" w:space="0" w:color="auto"/>
              <w:bottom w:val="nil"/>
              <w:right w:val="single" w:sz="4" w:space="0" w:color="auto"/>
            </w:tcBorders>
          </w:tcPr>
          <w:p w14:paraId="2C865FB2"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28</w:t>
            </w:r>
            <w:r w:rsidR="00370A4C">
              <w:rPr>
                <w:color w:val="000000"/>
                <w:szCs w:val="22"/>
                <w:lang w:val="sv-SE"/>
              </w:rPr>
              <w:t> </w:t>
            </w:r>
            <w:r w:rsidRPr="000E7AE9">
              <w:rPr>
                <w:color w:val="000000"/>
                <w:szCs w:val="22"/>
                <w:lang w:val="sv-SE"/>
              </w:rPr>
              <w:t>% (22,0–33,9)</w:t>
            </w:r>
          </w:p>
        </w:tc>
        <w:tc>
          <w:tcPr>
            <w:tcW w:w="1929" w:type="dxa"/>
            <w:tcBorders>
              <w:top w:val="nil"/>
              <w:left w:val="single" w:sz="4" w:space="0" w:color="auto"/>
              <w:bottom w:val="nil"/>
              <w:right w:val="single" w:sz="4" w:space="0" w:color="auto"/>
            </w:tcBorders>
          </w:tcPr>
          <w:p w14:paraId="3A11F37A"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15</w:t>
            </w:r>
            <w:r w:rsidR="00370A4C">
              <w:rPr>
                <w:color w:val="000000"/>
                <w:szCs w:val="22"/>
                <w:lang w:val="sv-SE"/>
              </w:rPr>
              <w:t> </w:t>
            </w:r>
            <w:r w:rsidRPr="000E7AE9">
              <w:rPr>
                <w:color w:val="000000"/>
                <w:szCs w:val="22"/>
                <w:lang w:val="sv-SE"/>
              </w:rPr>
              <w:t>% (11,2–20,4)</w:t>
            </w:r>
          </w:p>
        </w:tc>
      </w:tr>
      <w:tr w:rsidR="00620ABA" w:rsidRPr="000E7AE9" w14:paraId="617F186E" w14:textId="77777777">
        <w:tc>
          <w:tcPr>
            <w:tcW w:w="3227" w:type="dxa"/>
            <w:tcBorders>
              <w:top w:val="nil"/>
              <w:left w:val="single" w:sz="4" w:space="0" w:color="auto"/>
              <w:bottom w:val="nil"/>
              <w:right w:val="single" w:sz="4" w:space="0" w:color="auto"/>
            </w:tcBorders>
          </w:tcPr>
          <w:p w14:paraId="3663A44E" w14:textId="77777777" w:rsidR="00620ABA" w:rsidRPr="000E7AE9" w:rsidRDefault="00620ABA" w:rsidP="00463647">
            <w:pPr>
              <w:pStyle w:val="EndnoteText"/>
              <w:keepNext/>
              <w:keepLines/>
              <w:widowControl w:val="0"/>
              <w:tabs>
                <w:tab w:val="clear" w:pos="567"/>
              </w:tabs>
              <w:ind w:left="284"/>
              <w:rPr>
                <w:color w:val="000000"/>
                <w:szCs w:val="22"/>
                <w:lang w:val="sv-SE"/>
              </w:rPr>
            </w:pPr>
            <w:r w:rsidRPr="000E7AE9">
              <w:rPr>
                <w:color w:val="000000"/>
                <w:szCs w:val="22"/>
                <w:lang w:val="sv-SE"/>
              </w:rPr>
              <w:t>Fullständigt</w:t>
            </w:r>
          </w:p>
        </w:tc>
        <w:tc>
          <w:tcPr>
            <w:tcW w:w="1898" w:type="dxa"/>
            <w:tcBorders>
              <w:top w:val="nil"/>
              <w:left w:val="single" w:sz="4" w:space="0" w:color="auto"/>
              <w:bottom w:val="nil"/>
              <w:right w:val="single" w:sz="4" w:space="0" w:color="auto"/>
            </w:tcBorders>
          </w:tcPr>
          <w:p w14:paraId="27A31782"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53</w:t>
            </w:r>
            <w:r w:rsidR="00370A4C">
              <w:rPr>
                <w:color w:val="000000"/>
                <w:szCs w:val="22"/>
                <w:lang w:val="sv-SE"/>
              </w:rPr>
              <w:t> </w:t>
            </w:r>
            <w:r w:rsidRPr="000E7AE9">
              <w:rPr>
                <w:color w:val="000000"/>
                <w:szCs w:val="22"/>
                <w:lang w:val="sv-SE"/>
              </w:rPr>
              <w:t>%</w:t>
            </w:r>
          </w:p>
        </w:tc>
        <w:tc>
          <w:tcPr>
            <w:tcW w:w="1985" w:type="dxa"/>
            <w:tcBorders>
              <w:top w:val="nil"/>
              <w:left w:val="single" w:sz="4" w:space="0" w:color="auto"/>
              <w:bottom w:val="nil"/>
              <w:right w:val="single" w:sz="4" w:space="0" w:color="auto"/>
            </w:tcBorders>
          </w:tcPr>
          <w:p w14:paraId="36C9A188"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20</w:t>
            </w:r>
            <w:r w:rsidR="00370A4C">
              <w:rPr>
                <w:color w:val="000000"/>
                <w:szCs w:val="22"/>
                <w:lang w:val="sv-SE"/>
              </w:rPr>
              <w:t> </w:t>
            </w:r>
            <w:r w:rsidRPr="000E7AE9">
              <w:rPr>
                <w:color w:val="000000"/>
                <w:szCs w:val="22"/>
                <w:lang w:val="sv-SE"/>
              </w:rPr>
              <w:t>%</w:t>
            </w:r>
          </w:p>
        </w:tc>
        <w:tc>
          <w:tcPr>
            <w:tcW w:w="1929" w:type="dxa"/>
            <w:tcBorders>
              <w:top w:val="nil"/>
              <w:left w:val="single" w:sz="4" w:space="0" w:color="auto"/>
              <w:bottom w:val="nil"/>
              <w:right w:val="single" w:sz="4" w:space="0" w:color="auto"/>
            </w:tcBorders>
          </w:tcPr>
          <w:p w14:paraId="7046A6EF"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7</w:t>
            </w:r>
            <w:r w:rsidR="00370A4C">
              <w:rPr>
                <w:color w:val="000000"/>
                <w:szCs w:val="22"/>
                <w:lang w:val="sv-SE"/>
              </w:rPr>
              <w:t> </w:t>
            </w:r>
            <w:r w:rsidRPr="000E7AE9">
              <w:rPr>
                <w:color w:val="000000"/>
                <w:szCs w:val="22"/>
                <w:lang w:val="sv-SE"/>
              </w:rPr>
              <w:t>%</w:t>
            </w:r>
          </w:p>
        </w:tc>
      </w:tr>
      <w:tr w:rsidR="00620ABA" w:rsidRPr="000E7AE9" w14:paraId="7C10AA15" w14:textId="77777777">
        <w:tc>
          <w:tcPr>
            <w:tcW w:w="3227" w:type="dxa"/>
            <w:tcBorders>
              <w:top w:val="nil"/>
              <w:left w:val="single" w:sz="4" w:space="0" w:color="auto"/>
              <w:bottom w:val="nil"/>
              <w:right w:val="single" w:sz="4" w:space="0" w:color="auto"/>
            </w:tcBorders>
          </w:tcPr>
          <w:p w14:paraId="63D92CAB" w14:textId="77777777" w:rsidR="00620ABA" w:rsidRPr="000E7AE9" w:rsidRDefault="00620ABA" w:rsidP="00463647">
            <w:pPr>
              <w:pStyle w:val="BodyTextIndent2"/>
              <w:keepNext/>
              <w:keepLines/>
              <w:widowControl w:val="0"/>
              <w:tabs>
                <w:tab w:val="clear" w:pos="567"/>
              </w:tabs>
              <w:spacing w:line="240" w:lineRule="auto"/>
              <w:ind w:left="284" w:firstLine="0"/>
              <w:rPr>
                <w:b w:val="0"/>
                <w:color w:val="000000"/>
                <w:szCs w:val="22"/>
                <w:lang w:val="sv-SE"/>
              </w:rPr>
            </w:pPr>
            <w:r w:rsidRPr="000E7AE9">
              <w:rPr>
                <w:b w:val="0"/>
                <w:color w:val="000000"/>
                <w:szCs w:val="22"/>
                <w:lang w:val="sv-SE"/>
              </w:rPr>
              <w:t>(Bekräftat</w:t>
            </w:r>
            <w:r w:rsidRPr="000E7AE9">
              <w:rPr>
                <w:b w:val="0"/>
                <w:color w:val="000000"/>
                <w:szCs w:val="22"/>
                <w:vertAlign w:val="superscript"/>
                <w:lang w:val="sv-SE"/>
              </w:rPr>
              <w:t>3</w:t>
            </w:r>
            <w:r w:rsidRPr="000E7AE9">
              <w:rPr>
                <w:b w:val="0"/>
                <w:color w:val="000000"/>
                <w:szCs w:val="22"/>
                <w:lang w:val="sv-SE"/>
              </w:rPr>
              <w:t>) [95</w:t>
            </w:r>
            <w:r w:rsidR="00370A4C">
              <w:rPr>
                <w:b w:val="0"/>
                <w:color w:val="000000"/>
                <w:szCs w:val="22"/>
                <w:lang w:val="sv-SE"/>
              </w:rPr>
              <w:t> </w:t>
            </w:r>
            <w:r w:rsidRPr="000E7AE9">
              <w:rPr>
                <w:b w:val="0"/>
                <w:color w:val="000000"/>
                <w:szCs w:val="22"/>
                <w:lang w:val="sv-SE"/>
              </w:rPr>
              <w:t xml:space="preserve">% </w:t>
            </w:r>
            <w:r w:rsidR="007A04BC">
              <w:rPr>
                <w:b w:val="0"/>
                <w:color w:val="000000"/>
                <w:szCs w:val="22"/>
                <w:lang w:val="sv-SE"/>
              </w:rPr>
              <w:t>K</w:t>
            </w:r>
            <w:r w:rsidR="007A04BC" w:rsidRPr="000E7AE9">
              <w:rPr>
                <w:b w:val="0"/>
                <w:color w:val="000000"/>
                <w:szCs w:val="22"/>
                <w:lang w:val="sv-SE"/>
              </w:rPr>
              <w:t>I</w:t>
            </w:r>
            <w:r w:rsidRPr="000E7AE9">
              <w:rPr>
                <w:b w:val="0"/>
                <w:color w:val="000000"/>
                <w:szCs w:val="22"/>
                <w:lang w:val="sv-SE"/>
              </w:rPr>
              <w:t>]</w:t>
            </w:r>
          </w:p>
        </w:tc>
        <w:tc>
          <w:tcPr>
            <w:tcW w:w="1898" w:type="dxa"/>
            <w:tcBorders>
              <w:top w:val="nil"/>
              <w:left w:val="single" w:sz="4" w:space="0" w:color="auto"/>
              <w:bottom w:val="nil"/>
              <w:right w:val="single" w:sz="4" w:space="0" w:color="auto"/>
            </w:tcBorders>
          </w:tcPr>
          <w:p w14:paraId="1D938DDD" w14:textId="77777777" w:rsidR="00620ABA" w:rsidRPr="000E7AE9" w:rsidRDefault="00620ABA" w:rsidP="00463647">
            <w:pPr>
              <w:pStyle w:val="BodyTextIndent2"/>
              <w:keepNext/>
              <w:keepLines/>
              <w:widowControl w:val="0"/>
              <w:tabs>
                <w:tab w:val="clear" w:pos="567"/>
              </w:tabs>
              <w:spacing w:line="240" w:lineRule="auto"/>
              <w:jc w:val="center"/>
              <w:rPr>
                <w:b w:val="0"/>
                <w:color w:val="000000"/>
                <w:szCs w:val="22"/>
                <w:lang w:val="sv-SE"/>
              </w:rPr>
            </w:pPr>
            <w:r w:rsidRPr="000E7AE9">
              <w:rPr>
                <w:b w:val="0"/>
                <w:color w:val="000000"/>
                <w:szCs w:val="22"/>
                <w:lang w:val="sv-SE"/>
              </w:rPr>
              <w:t>(43</w:t>
            </w:r>
            <w:r w:rsidR="00370A4C">
              <w:rPr>
                <w:b w:val="0"/>
                <w:color w:val="000000"/>
                <w:szCs w:val="22"/>
                <w:lang w:val="sv-SE"/>
              </w:rPr>
              <w:t> </w:t>
            </w:r>
            <w:r w:rsidRPr="000E7AE9">
              <w:rPr>
                <w:b w:val="0"/>
                <w:color w:val="000000"/>
                <w:szCs w:val="22"/>
                <w:lang w:val="sv-SE"/>
              </w:rPr>
              <w:t>%) [38,6</w:t>
            </w:r>
            <w:r w:rsidRPr="000E7AE9">
              <w:rPr>
                <w:color w:val="000000"/>
                <w:szCs w:val="22"/>
                <w:lang w:val="sv-SE"/>
              </w:rPr>
              <w:t>–</w:t>
            </w:r>
            <w:r w:rsidRPr="000E7AE9">
              <w:rPr>
                <w:b w:val="0"/>
                <w:color w:val="000000"/>
                <w:szCs w:val="22"/>
                <w:lang w:val="sv-SE"/>
              </w:rPr>
              <w:t>47,2]</w:t>
            </w:r>
          </w:p>
        </w:tc>
        <w:tc>
          <w:tcPr>
            <w:tcW w:w="1985" w:type="dxa"/>
            <w:tcBorders>
              <w:top w:val="nil"/>
              <w:left w:val="single" w:sz="4" w:space="0" w:color="auto"/>
              <w:bottom w:val="nil"/>
              <w:right w:val="single" w:sz="4" w:space="0" w:color="auto"/>
            </w:tcBorders>
          </w:tcPr>
          <w:p w14:paraId="40B626C9" w14:textId="77777777" w:rsidR="00620ABA" w:rsidRPr="000E7AE9" w:rsidRDefault="00620ABA" w:rsidP="00463647">
            <w:pPr>
              <w:pStyle w:val="BodyTextIndent2"/>
              <w:keepNext/>
              <w:keepLines/>
              <w:widowControl w:val="0"/>
              <w:tabs>
                <w:tab w:val="clear" w:pos="567"/>
              </w:tabs>
              <w:spacing w:line="240" w:lineRule="auto"/>
              <w:jc w:val="center"/>
              <w:rPr>
                <w:b w:val="0"/>
                <w:color w:val="000000"/>
                <w:szCs w:val="22"/>
                <w:lang w:val="sv-SE"/>
              </w:rPr>
            </w:pPr>
            <w:r w:rsidRPr="000E7AE9">
              <w:rPr>
                <w:b w:val="0"/>
                <w:color w:val="000000"/>
                <w:szCs w:val="22"/>
                <w:lang w:val="sv-SE"/>
              </w:rPr>
              <w:t>(16</w:t>
            </w:r>
            <w:r w:rsidR="00370A4C">
              <w:rPr>
                <w:b w:val="0"/>
                <w:color w:val="000000"/>
                <w:szCs w:val="22"/>
                <w:lang w:val="sv-SE"/>
              </w:rPr>
              <w:t> </w:t>
            </w:r>
            <w:r w:rsidRPr="000E7AE9">
              <w:rPr>
                <w:b w:val="0"/>
                <w:color w:val="000000"/>
                <w:szCs w:val="22"/>
                <w:lang w:val="sv-SE"/>
              </w:rPr>
              <w:t>%) [11,3</w:t>
            </w:r>
            <w:r w:rsidRPr="000E7AE9">
              <w:rPr>
                <w:color w:val="000000"/>
                <w:szCs w:val="22"/>
                <w:lang w:val="sv-SE"/>
              </w:rPr>
              <w:t>–</w:t>
            </w:r>
            <w:r w:rsidRPr="000E7AE9">
              <w:rPr>
                <w:b w:val="0"/>
                <w:color w:val="000000"/>
                <w:szCs w:val="22"/>
                <w:lang w:val="sv-SE"/>
              </w:rPr>
              <w:t>21,0]</w:t>
            </w:r>
          </w:p>
        </w:tc>
        <w:tc>
          <w:tcPr>
            <w:tcW w:w="1929" w:type="dxa"/>
            <w:tcBorders>
              <w:top w:val="nil"/>
              <w:left w:val="single" w:sz="4" w:space="0" w:color="auto"/>
              <w:bottom w:val="nil"/>
              <w:right w:val="single" w:sz="4" w:space="0" w:color="auto"/>
            </w:tcBorders>
          </w:tcPr>
          <w:p w14:paraId="26FABC25" w14:textId="77777777" w:rsidR="00620ABA" w:rsidRPr="000E7AE9" w:rsidRDefault="00620ABA" w:rsidP="00463647">
            <w:pPr>
              <w:pStyle w:val="BodyTextIndent2"/>
              <w:keepNext/>
              <w:keepLines/>
              <w:widowControl w:val="0"/>
              <w:tabs>
                <w:tab w:val="clear" w:pos="567"/>
              </w:tabs>
              <w:spacing w:line="240" w:lineRule="auto"/>
              <w:jc w:val="center"/>
              <w:rPr>
                <w:b w:val="0"/>
                <w:color w:val="000000"/>
                <w:szCs w:val="22"/>
                <w:lang w:val="sv-SE"/>
              </w:rPr>
            </w:pPr>
            <w:r w:rsidRPr="000E7AE9">
              <w:rPr>
                <w:b w:val="0"/>
                <w:color w:val="000000"/>
                <w:szCs w:val="22"/>
                <w:lang w:val="sv-SE"/>
              </w:rPr>
              <w:t>(2</w:t>
            </w:r>
            <w:r w:rsidR="00370A4C">
              <w:rPr>
                <w:b w:val="0"/>
                <w:color w:val="000000"/>
                <w:szCs w:val="22"/>
                <w:lang w:val="sv-SE"/>
              </w:rPr>
              <w:t> </w:t>
            </w:r>
            <w:r w:rsidRPr="000E7AE9">
              <w:rPr>
                <w:b w:val="0"/>
                <w:color w:val="000000"/>
                <w:szCs w:val="22"/>
                <w:lang w:val="sv-SE"/>
              </w:rPr>
              <w:t>%) [0,6</w:t>
            </w:r>
            <w:r w:rsidRPr="000E7AE9">
              <w:rPr>
                <w:color w:val="000000"/>
                <w:szCs w:val="22"/>
                <w:lang w:val="sv-SE"/>
              </w:rPr>
              <w:t>–</w:t>
            </w:r>
            <w:r w:rsidRPr="000E7AE9">
              <w:rPr>
                <w:b w:val="0"/>
                <w:color w:val="000000"/>
                <w:szCs w:val="22"/>
                <w:lang w:val="sv-SE"/>
              </w:rPr>
              <w:t>4,4]</w:t>
            </w:r>
          </w:p>
        </w:tc>
      </w:tr>
      <w:tr w:rsidR="00620ABA" w:rsidRPr="000E7AE9" w14:paraId="22307E0D" w14:textId="77777777">
        <w:tc>
          <w:tcPr>
            <w:tcW w:w="3227" w:type="dxa"/>
            <w:tcBorders>
              <w:top w:val="nil"/>
              <w:left w:val="single" w:sz="4" w:space="0" w:color="auto"/>
              <w:bottom w:val="single" w:sz="4" w:space="0" w:color="auto"/>
              <w:right w:val="single" w:sz="4" w:space="0" w:color="auto"/>
            </w:tcBorders>
          </w:tcPr>
          <w:p w14:paraId="2659F53F" w14:textId="77777777" w:rsidR="00620ABA" w:rsidRPr="000E7AE9" w:rsidRDefault="00620ABA" w:rsidP="00463647">
            <w:pPr>
              <w:pStyle w:val="EndnoteText"/>
              <w:keepNext/>
              <w:keepLines/>
              <w:widowControl w:val="0"/>
              <w:tabs>
                <w:tab w:val="clear" w:pos="567"/>
              </w:tabs>
              <w:ind w:left="284"/>
              <w:rPr>
                <w:color w:val="000000"/>
                <w:szCs w:val="22"/>
                <w:lang w:val="sv-SE"/>
              </w:rPr>
            </w:pPr>
            <w:r w:rsidRPr="000E7AE9">
              <w:rPr>
                <w:color w:val="000000"/>
                <w:szCs w:val="22"/>
                <w:lang w:val="sv-SE"/>
              </w:rPr>
              <w:t>Partiellt</w:t>
            </w:r>
          </w:p>
        </w:tc>
        <w:tc>
          <w:tcPr>
            <w:tcW w:w="1898" w:type="dxa"/>
            <w:tcBorders>
              <w:top w:val="nil"/>
              <w:left w:val="single" w:sz="4" w:space="0" w:color="auto"/>
              <w:bottom w:val="single" w:sz="4" w:space="0" w:color="auto"/>
              <w:right w:val="single" w:sz="4" w:space="0" w:color="auto"/>
            </w:tcBorders>
          </w:tcPr>
          <w:p w14:paraId="6422310D"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12</w:t>
            </w:r>
            <w:r w:rsidR="00370A4C">
              <w:rPr>
                <w:color w:val="000000"/>
                <w:szCs w:val="22"/>
                <w:lang w:val="sv-SE"/>
              </w:rPr>
              <w:t> </w:t>
            </w:r>
            <w:r w:rsidRPr="000E7AE9">
              <w:rPr>
                <w:color w:val="000000"/>
                <w:szCs w:val="22"/>
                <w:lang w:val="sv-SE"/>
              </w:rPr>
              <w:t>%</w:t>
            </w:r>
          </w:p>
        </w:tc>
        <w:tc>
          <w:tcPr>
            <w:tcW w:w="1985" w:type="dxa"/>
            <w:tcBorders>
              <w:top w:val="nil"/>
              <w:left w:val="single" w:sz="4" w:space="0" w:color="auto"/>
              <w:bottom w:val="single" w:sz="4" w:space="0" w:color="auto"/>
              <w:right w:val="single" w:sz="4" w:space="0" w:color="auto"/>
            </w:tcBorders>
          </w:tcPr>
          <w:p w14:paraId="0EC09E49"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7</w:t>
            </w:r>
            <w:r w:rsidR="00370A4C">
              <w:rPr>
                <w:color w:val="000000"/>
                <w:szCs w:val="22"/>
                <w:lang w:val="sv-SE"/>
              </w:rPr>
              <w:t> </w:t>
            </w:r>
            <w:r w:rsidRPr="000E7AE9">
              <w:rPr>
                <w:color w:val="000000"/>
                <w:szCs w:val="22"/>
                <w:lang w:val="sv-SE"/>
              </w:rPr>
              <w:t>%</w:t>
            </w:r>
          </w:p>
        </w:tc>
        <w:tc>
          <w:tcPr>
            <w:tcW w:w="1929" w:type="dxa"/>
            <w:tcBorders>
              <w:top w:val="nil"/>
              <w:left w:val="single" w:sz="4" w:space="0" w:color="auto"/>
              <w:bottom w:val="single" w:sz="4" w:space="0" w:color="auto"/>
              <w:right w:val="single" w:sz="4" w:space="0" w:color="auto"/>
            </w:tcBorders>
          </w:tcPr>
          <w:p w14:paraId="0E8512D7"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8</w:t>
            </w:r>
            <w:r w:rsidR="00370A4C">
              <w:rPr>
                <w:color w:val="000000"/>
                <w:szCs w:val="22"/>
                <w:lang w:val="sv-SE"/>
              </w:rPr>
              <w:t> </w:t>
            </w:r>
            <w:r w:rsidRPr="000E7AE9">
              <w:rPr>
                <w:color w:val="000000"/>
                <w:szCs w:val="22"/>
                <w:lang w:val="sv-SE"/>
              </w:rPr>
              <w:t>%</w:t>
            </w:r>
          </w:p>
        </w:tc>
      </w:tr>
      <w:tr w:rsidR="00620ABA" w:rsidRPr="00644A2E" w14:paraId="6CCF482D" w14:textId="77777777" w:rsidTr="00C81D6E">
        <w:trPr>
          <w:cantSplit/>
        </w:trPr>
        <w:tc>
          <w:tcPr>
            <w:tcW w:w="9039" w:type="dxa"/>
            <w:gridSpan w:val="4"/>
            <w:tcBorders>
              <w:top w:val="single" w:sz="4" w:space="0" w:color="auto"/>
              <w:left w:val="single" w:sz="4" w:space="0" w:color="auto"/>
              <w:bottom w:val="single" w:sz="4" w:space="0" w:color="auto"/>
              <w:right w:val="single" w:sz="4" w:space="0" w:color="auto"/>
            </w:tcBorders>
          </w:tcPr>
          <w:p w14:paraId="39607830" w14:textId="77777777" w:rsidR="00620ABA" w:rsidRPr="000E7AE9" w:rsidRDefault="00620ABA" w:rsidP="00463647">
            <w:pPr>
              <w:pStyle w:val="Table"/>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vertAlign w:val="superscript"/>
                <w:lang w:val="sv-SE"/>
              </w:rPr>
              <w:t>1</w:t>
            </w:r>
            <w:r w:rsidRPr="000E7AE9">
              <w:rPr>
                <w:rFonts w:ascii="Times New Roman" w:hAnsi="Times New Roman"/>
                <w:b/>
                <w:color w:val="000000"/>
                <w:sz w:val="22"/>
                <w:szCs w:val="22"/>
                <w:lang w:val="sv-SE"/>
              </w:rPr>
              <w:t xml:space="preserve">Hematologiska svarskriterier (alla svar skall bekräftas efter </w:t>
            </w:r>
            <w:r w:rsidRPr="000E7AE9">
              <w:rPr>
                <w:rFonts w:ascii="Times New Roman" w:hAnsi="Times New Roman"/>
                <w:b/>
                <w:color w:val="000000"/>
                <w:sz w:val="22"/>
                <w:szCs w:val="22"/>
                <w:lang w:val="sv-SE"/>
              </w:rPr>
              <w:sym w:font="Symbol" w:char="F0B3"/>
            </w:r>
            <w:r w:rsidRPr="000E7AE9">
              <w:rPr>
                <w:rFonts w:ascii="Times New Roman" w:hAnsi="Times New Roman"/>
                <w:b/>
                <w:color w:val="000000"/>
                <w:sz w:val="22"/>
                <w:szCs w:val="22"/>
                <w:lang w:val="sv-SE"/>
              </w:rPr>
              <w:t> 4 veckor):</w:t>
            </w:r>
          </w:p>
          <w:p w14:paraId="44EF9D82" w14:textId="77777777" w:rsidR="00620ABA" w:rsidRPr="000E7AE9" w:rsidRDefault="00620ABA" w:rsidP="00463647">
            <w:pPr>
              <w:pStyle w:val="Table"/>
              <w:widowControl w:val="0"/>
              <w:tabs>
                <w:tab w:val="clear" w:pos="284"/>
              </w:tabs>
              <w:spacing w:before="0" w:after="0"/>
              <w:ind w:left="567" w:hanging="567"/>
              <w:rPr>
                <w:rFonts w:ascii="Times New Roman" w:hAnsi="Times New Roman"/>
                <w:color w:val="000000"/>
                <w:sz w:val="22"/>
                <w:szCs w:val="22"/>
                <w:lang w:val="sv-SE"/>
              </w:rPr>
            </w:pPr>
            <w:r w:rsidRPr="000E7AE9">
              <w:rPr>
                <w:rFonts w:ascii="Times New Roman" w:hAnsi="Times New Roman"/>
                <w:color w:val="000000"/>
                <w:sz w:val="22"/>
                <w:szCs w:val="22"/>
                <w:lang w:val="sv-SE"/>
              </w:rPr>
              <w:t>FHS</w:t>
            </w:r>
            <w:r w:rsidRPr="000E7AE9">
              <w:rPr>
                <w:rFonts w:ascii="Times New Roman" w:hAnsi="Times New Roman"/>
                <w:color w:val="000000"/>
                <w:sz w:val="22"/>
                <w:szCs w:val="22"/>
                <w:lang w:val="sv-SE"/>
              </w:rPr>
              <w:tab/>
              <w:t>Studie 0110 [Vita blodkroppar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trombocyter &lt; 450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myelocyter + metamyelocyter &lt; 5</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i blod, inga blaster och promyelocyter i blod, basofiler &lt; 20</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xml:space="preserve">%, inget extramedullärt engagemang] och i studier 0102 och 0109 [ANC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 xml:space="preserve">/l, trombocyter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100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inga blaster i blod, benmärgsblaster &lt; 5</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och ingen extramedullär sjukdom]</w:t>
            </w:r>
          </w:p>
          <w:p w14:paraId="377A566C" w14:textId="77777777" w:rsidR="00620ABA" w:rsidRPr="000E7AE9" w:rsidRDefault="00620ABA" w:rsidP="00463647">
            <w:pPr>
              <w:pStyle w:val="Table"/>
              <w:widowControl w:val="0"/>
              <w:tabs>
                <w:tab w:val="clear" w:pos="284"/>
                <w:tab w:val="left" w:pos="567"/>
              </w:tabs>
              <w:spacing w:before="0" w:after="0"/>
              <w:ind w:left="567" w:hanging="567"/>
              <w:rPr>
                <w:rFonts w:ascii="Times New Roman" w:hAnsi="Times New Roman"/>
                <w:color w:val="000000"/>
                <w:sz w:val="22"/>
                <w:szCs w:val="22"/>
                <w:lang w:val="sv-SE"/>
              </w:rPr>
            </w:pPr>
            <w:r w:rsidRPr="000E7AE9">
              <w:rPr>
                <w:rFonts w:ascii="Times New Roman" w:hAnsi="Times New Roman"/>
                <w:color w:val="000000"/>
                <w:sz w:val="22"/>
                <w:szCs w:val="22"/>
                <w:lang w:val="sv-SE"/>
              </w:rPr>
              <w:t>ITL</w:t>
            </w:r>
            <w:r w:rsidRPr="000E7AE9">
              <w:rPr>
                <w:rFonts w:ascii="Times New Roman" w:hAnsi="Times New Roman"/>
                <w:color w:val="000000"/>
                <w:sz w:val="22"/>
                <w:szCs w:val="22"/>
                <w:lang w:val="sv-SE"/>
              </w:rPr>
              <w:tab/>
              <w:t xml:space="preserve">Samma kriterier som för FHS men ANC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 xml:space="preserve">/l och trombocyter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20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(enbart 0102 och 0109)</w:t>
            </w:r>
          </w:p>
          <w:p w14:paraId="6B525109" w14:textId="77777777" w:rsidR="00620ABA" w:rsidRPr="000E7AE9" w:rsidRDefault="00620ABA" w:rsidP="00463647">
            <w:pPr>
              <w:pStyle w:val="Table"/>
              <w:widowControl w:val="0"/>
              <w:tabs>
                <w:tab w:val="clear" w:pos="284"/>
              </w:tabs>
              <w:spacing w:before="0" w:after="0"/>
              <w:ind w:left="567" w:hanging="567"/>
              <w:rPr>
                <w:rFonts w:ascii="Times New Roman" w:hAnsi="Times New Roman"/>
                <w:color w:val="000000"/>
                <w:sz w:val="22"/>
                <w:szCs w:val="22"/>
                <w:lang w:val="sv-SE"/>
              </w:rPr>
            </w:pPr>
            <w:r w:rsidRPr="000E7AE9">
              <w:rPr>
                <w:rFonts w:ascii="Times New Roman" w:hAnsi="Times New Roman"/>
                <w:color w:val="000000"/>
                <w:sz w:val="22"/>
                <w:szCs w:val="22"/>
                <w:lang w:val="sv-SE"/>
              </w:rPr>
              <w:t>ÅTK</w:t>
            </w:r>
            <w:r w:rsidRPr="000E7AE9">
              <w:rPr>
                <w:rFonts w:ascii="Times New Roman" w:hAnsi="Times New Roman"/>
                <w:color w:val="000000"/>
                <w:sz w:val="22"/>
                <w:szCs w:val="22"/>
                <w:lang w:val="sv-SE"/>
              </w:rPr>
              <w:tab/>
              <w:t>&lt; 15</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blaster i benmärg och perifert blod, &lt; 30</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blaster + promyelocyter i benmärg och perifert blod, &lt; 20</w:t>
            </w:r>
            <w:r w:rsidR="00370A4C">
              <w:rPr>
                <w:rFonts w:ascii="Times New Roman" w:hAnsi="Times New Roman"/>
                <w:color w:val="000000"/>
                <w:sz w:val="22"/>
                <w:szCs w:val="22"/>
                <w:lang w:val="sv-SE"/>
              </w:rPr>
              <w:t> </w:t>
            </w:r>
            <w:r w:rsidRPr="000E7AE9">
              <w:rPr>
                <w:rFonts w:ascii="Times New Roman" w:hAnsi="Times New Roman"/>
                <w:color w:val="000000"/>
                <w:sz w:val="22"/>
                <w:szCs w:val="22"/>
                <w:lang w:val="sv-SE"/>
              </w:rPr>
              <w:t>% basofiler i perifert blod, ingen extramedullär sjukdom förutom mjälte och lever (enbart i 0102 och 0109).</w:t>
            </w:r>
          </w:p>
          <w:p w14:paraId="4FFBC460" w14:textId="77777777" w:rsidR="00620ABA" w:rsidRPr="000E7AE9" w:rsidRDefault="00620ABA"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b/>
                <w:color w:val="000000"/>
                <w:sz w:val="22"/>
                <w:szCs w:val="22"/>
                <w:vertAlign w:val="superscript"/>
                <w:lang w:val="sv-SE"/>
              </w:rPr>
              <w:t>2</w:t>
            </w:r>
            <w:r w:rsidRPr="000E7AE9">
              <w:rPr>
                <w:rFonts w:ascii="Times New Roman" w:hAnsi="Times New Roman"/>
                <w:b/>
                <w:color w:val="000000"/>
                <w:sz w:val="22"/>
                <w:szCs w:val="22"/>
                <w:lang w:val="sv-SE"/>
              </w:rPr>
              <w:t>Kriterier för cytogenetiskt svar:</w:t>
            </w:r>
          </w:p>
          <w:p w14:paraId="08A96554"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Ett betydande svar innefattar både fullständigt och partiellt svar: Fullständigt [0</w:t>
            </w:r>
            <w:r w:rsidR="00370A4C">
              <w:rPr>
                <w:color w:val="000000"/>
                <w:szCs w:val="22"/>
                <w:lang w:val="sv-SE"/>
              </w:rPr>
              <w:t> </w:t>
            </w:r>
            <w:r w:rsidRPr="000E7AE9">
              <w:rPr>
                <w:color w:val="000000"/>
                <w:szCs w:val="22"/>
                <w:lang w:val="sv-SE"/>
              </w:rPr>
              <w:t>% (Ph+)-metafaser], partiellt (1–35</w:t>
            </w:r>
            <w:r w:rsidR="00370A4C">
              <w:rPr>
                <w:color w:val="000000"/>
                <w:szCs w:val="22"/>
                <w:lang w:val="sv-SE"/>
              </w:rPr>
              <w:t> </w:t>
            </w:r>
            <w:r w:rsidRPr="000E7AE9">
              <w:rPr>
                <w:color w:val="000000"/>
                <w:szCs w:val="22"/>
                <w:lang w:val="sv-SE"/>
              </w:rPr>
              <w:t>%).</w:t>
            </w:r>
          </w:p>
          <w:p w14:paraId="65A101CF"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vertAlign w:val="superscript"/>
                <w:lang w:val="sv-SE"/>
              </w:rPr>
              <w:t>3</w:t>
            </w:r>
            <w:r w:rsidRPr="000E7AE9">
              <w:rPr>
                <w:color w:val="000000"/>
                <w:szCs w:val="22"/>
                <w:lang w:val="sv-SE"/>
              </w:rPr>
              <w:t xml:space="preserve"> Fullständigt cytogenetiskt svar bekräftat genom en andra cytogenetisk utvärdering av benmärgen utförd åtminstone en månad efter den ursprungliga benmärgsstudien.</w:t>
            </w:r>
          </w:p>
        </w:tc>
      </w:tr>
    </w:tbl>
    <w:p w14:paraId="6710C85A" w14:textId="77777777" w:rsidR="00620ABA" w:rsidRPr="000E7AE9" w:rsidRDefault="00620ABA" w:rsidP="00463647">
      <w:pPr>
        <w:pStyle w:val="EndnoteText"/>
        <w:widowControl w:val="0"/>
        <w:tabs>
          <w:tab w:val="clear" w:pos="567"/>
        </w:tabs>
        <w:rPr>
          <w:color w:val="000000"/>
          <w:szCs w:val="22"/>
          <w:lang w:val="sv-SE"/>
        </w:rPr>
      </w:pPr>
    </w:p>
    <w:p w14:paraId="09E31504" w14:textId="77777777" w:rsidR="00620ABA" w:rsidRPr="000E7AE9" w:rsidRDefault="00620ABA" w:rsidP="00463647">
      <w:pPr>
        <w:pStyle w:val="EndnoteText"/>
        <w:widowControl w:val="0"/>
        <w:rPr>
          <w:color w:val="000000"/>
          <w:szCs w:val="22"/>
          <w:lang w:val="sv-SE"/>
        </w:rPr>
      </w:pPr>
      <w:r w:rsidRPr="000E7AE9">
        <w:rPr>
          <w:i/>
          <w:color w:val="000000"/>
          <w:szCs w:val="22"/>
          <w:lang w:val="sv-SE"/>
        </w:rPr>
        <w:t>Pediatriska patienter</w:t>
      </w:r>
      <w:r w:rsidRPr="000E7AE9">
        <w:rPr>
          <w:color w:val="000000"/>
          <w:szCs w:val="22"/>
          <w:lang w:val="sv-SE"/>
        </w:rPr>
        <w:t>: Totalt 26 pediatriska patienter &lt; 18 års ålder, med endera KML i kronisk fas (n=11) eller KML i blastkris eller (Ph+)-akuta leukemier (n=15) rekryterades till en gradvis dosökande fas I-prövning. Detta var en population av tungt förbehandlade patienter, eftersom 46</w:t>
      </w:r>
      <w:r w:rsidR="00370A4C">
        <w:rPr>
          <w:color w:val="000000"/>
          <w:szCs w:val="22"/>
          <w:lang w:val="sv-SE"/>
        </w:rPr>
        <w:t> </w:t>
      </w:r>
      <w:r w:rsidRPr="000E7AE9">
        <w:rPr>
          <w:color w:val="000000"/>
          <w:szCs w:val="22"/>
          <w:lang w:val="sv-SE"/>
        </w:rPr>
        <w:t>% hade tidigare genomgått en be</w:t>
      </w:r>
      <w:r w:rsidR="000300E0">
        <w:rPr>
          <w:color w:val="000000"/>
          <w:szCs w:val="22"/>
          <w:lang w:val="sv-SE"/>
        </w:rPr>
        <w:t>n</w:t>
      </w:r>
      <w:r w:rsidRPr="000E7AE9">
        <w:rPr>
          <w:color w:val="000000"/>
          <w:szCs w:val="22"/>
          <w:lang w:val="sv-SE"/>
        </w:rPr>
        <w:t>märgstransplantation, BMT och 73</w:t>
      </w:r>
      <w:r w:rsidR="00370A4C">
        <w:rPr>
          <w:color w:val="000000"/>
          <w:szCs w:val="22"/>
          <w:lang w:val="sv-SE"/>
        </w:rPr>
        <w:t> </w:t>
      </w:r>
      <w:r w:rsidRPr="000E7AE9">
        <w:rPr>
          <w:color w:val="000000"/>
          <w:szCs w:val="22"/>
          <w:lang w:val="sv-SE"/>
        </w:rPr>
        <w:t>% kombinationskemoterapi. Patienterna behandlades med doser av Glivec om 260 mg/m</w:t>
      </w:r>
      <w:r w:rsidRPr="000E7AE9">
        <w:rPr>
          <w:color w:val="000000"/>
          <w:szCs w:val="22"/>
          <w:vertAlign w:val="superscript"/>
          <w:lang w:val="sv-SE"/>
        </w:rPr>
        <w:t>2</w:t>
      </w:r>
      <w:r w:rsidRPr="000E7AE9">
        <w:rPr>
          <w:color w:val="000000"/>
          <w:szCs w:val="22"/>
          <w:lang w:val="sv-SE"/>
        </w:rPr>
        <w:t>/dag (n=5), 340 mg/m</w:t>
      </w:r>
      <w:r w:rsidRPr="000E7AE9">
        <w:rPr>
          <w:color w:val="000000"/>
          <w:szCs w:val="22"/>
          <w:vertAlign w:val="superscript"/>
          <w:lang w:val="sv-SE"/>
        </w:rPr>
        <w:t>2</w:t>
      </w:r>
      <w:r w:rsidRPr="000E7AE9">
        <w:rPr>
          <w:color w:val="000000"/>
          <w:szCs w:val="22"/>
          <w:lang w:val="sv-SE"/>
        </w:rPr>
        <w:t>/dag (n=9), 440 mg/m</w:t>
      </w:r>
      <w:r w:rsidRPr="000E7AE9">
        <w:rPr>
          <w:color w:val="000000"/>
          <w:szCs w:val="22"/>
          <w:vertAlign w:val="superscript"/>
          <w:lang w:val="sv-SE"/>
        </w:rPr>
        <w:t>2</w:t>
      </w:r>
      <w:r w:rsidRPr="000E7AE9">
        <w:rPr>
          <w:color w:val="000000"/>
          <w:szCs w:val="22"/>
          <w:lang w:val="sv-SE"/>
        </w:rPr>
        <w:t>/dag (n=7) och 570 mg/m</w:t>
      </w:r>
      <w:r w:rsidRPr="000E7AE9">
        <w:rPr>
          <w:color w:val="000000"/>
          <w:szCs w:val="22"/>
          <w:vertAlign w:val="superscript"/>
          <w:lang w:val="sv-SE"/>
        </w:rPr>
        <w:t>2</w:t>
      </w:r>
      <w:r w:rsidRPr="000E7AE9">
        <w:rPr>
          <w:color w:val="000000"/>
          <w:szCs w:val="22"/>
          <w:lang w:val="sv-SE"/>
        </w:rPr>
        <w:t>/dag (n=5). Av 9 patienter med KML i kronisk fas och tillgängliga cytogenetiska data, uppnådde 4 (44</w:t>
      </w:r>
      <w:r w:rsidR="00370A4C">
        <w:rPr>
          <w:color w:val="000000"/>
          <w:szCs w:val="22"/>
          <w:lang w:val="sv-SE"/>
        </w:rPr>
        <w:t> </w:t>
      </w:r>
      <w:r w:rsidRPr="000E7AE9">
        <w:rPr>
          <w:color w:val="000000"/>
          <w:szCs w:val="22"/>
          <w:lang w:val="sv-SE"/>
        </w:rPr>
        <w:t>%) respektive 3 (33</w:t>
      </w:r>
      <w:r w:rsidR="00370A4C">
        <w:rPr>
          <w:color w:val="000000"/>
          <w:szCs w:val="22"/>
          <w:lang w:val="sv-SE"/>
        </w:rPr>
        <w:t> </w:t>
      </w:r>
      <w:r w:rsidRPr="000E7AE9">
        <w:rPr>
          <w:color w:val="000000"/>
          <w:szCs w:val="22"/>
          <w:lang w:val="sv-SE"/>
        </w:rPr>
        <w:t>%) ett fullständigt respektive partiellt cytogenetiskt svar, med ett behandlingssvar av BCyS på 77</w:t>
      </w:r>
      <w:r w:rsidR="00370A4C">
        <w:rPr>
          <w:color w:val="000000"/>
          <w:szCs w:val="22"/>
          <w:lang w:val="sv-SE"/>
        </w:rPr>
        <w:t> </w:t>
      </w:r>
      <w:r w:rsidRPr="000E7AE9">
        <w:rPr>
          <w:color w:val="000000"/>
          <w:szCs w:val="22"/>
          <w:lang w:val="sv-SE"/>
        </w:rPr>
        <w:t>%.</w:t>
      </w:r>
    </w:p>
    <w:p w14:paraId="67A9F8A4" w14:textId="77777777" w:rsidR="00620ABA" w:rsidRPr="000E7AE9" w:rsidRDefault="00620ABA" w:rsidP="00463647">
      <w:pPr>
        <w:pStyle w:val="EndnoteText"/>
        <w:widowControl w:val="0"/>
        <w:tabs>
          <w:tab w:val="clear" w:pos="567"/>
        </w:tabs>
        <w:rPr>
          <w:color w:val="000000"/>
          <w:szCs w:val="22"/>
          <w:lang w:val="sv-SE"/>
        </w:rPr>
      </w:pPr>
    </w:p>
    <w:p w14:paraId="7EB4A2A3" w14:textId="77777777" w:rsidR="00620ABA" w:rsidRPr="000E7AE9" w:rsidRDefault="00620ABA" w:rsidP="00463647">
      <w:pPr>
        <w:pStyle w:val="EndnoteText"/>
        <w:widowControl w:val="0"/>
        <w:rPr>
          <w:color w:val="000000"/>
          <w:szCs w:val="22"/>
          <w:lang w:val="sv-SE"/>
        </w:rPr>
      </w:pPr>
      <w:r w:rsidRPr="000E7AE9">
        <w:rPr>
          <w:color w:val="000000"/>
          <w:szCs w:val="22"/>
          <w:lang w:val="sv-SE"/>
        </w:rPr>
        <w:lastRenderedPageBreak/>
        <w:t>Totalt 51 barn med nyligen diagnosticerad och obehandlad KML i kronisk fas har enrollerats i en öppen, multicenter, enkelarmad fas II-studie. Patienter behandlades med Glivec om 340 mg/m</w:t>
      </w:r>
      <w:r w:rsidRPr="000E7AE9">
        <w:rPr>
          <w:color w:val="000000"/>
          <w:szCs w:val="22"/>
          <w:vertAlign w:val="superscript"/>
          <w:lang w:val="sv-SE"/>
        </w:rPr>
        <w:t>2</w:t>
      </w:r>
      <w:r w:rsidRPr="000E7AE9">
        <w:rPr>
          <w:color w:val="000000"/>
          <w:szCs w:val="22"/>
          <w:lang w:val="sv-SE"/>
        </w:rPr>
        <w:t>/dag, utan avbrott i frånvaro av dosbegränsande toxicitet. Glivec-behandling inducerar ett snabbt svar hos nyligen diagnosticerade barn med KML med ett FHS om 78</w:t>
      </w:r>
      <w:r w:rsidR="00370A4C">
        <w:rPr>
          <w:color w:val="000000"/>
          <w:szCs w:val="22"/>
          <w:lang w:val="sv-SE"/>
        </w:rPr>
        <w:t> </w:t>
      </w:r>
      <w:r w:rsidRPr="000E7AE9">
        <w:rPr>
          <w:color w:val="000000"/>
          <w:szCs w:val="22"/>
          <w:lang w:val="sv-SE"/>
        </w:rPr>
        <w:t>% efter 8 veckors behandling. Den höga graden av FHS åtföljs av utveckling av ett fullständigt cytogenetiskt svar (FCyS) om 65</w:t>
      </w:r>
      <w:r w:rsidR="00370A4C">
        <w:rPr>
          <w:color w:val="000000"/>
          <w:szCs w:val="22"/>
          <w:lang w:val="sv-SE"/>
        </w:rPr>
        <w:t> </w:t>
      </w:r>
      <w:r w:rsidRPr="000E7AE9">
        <w:rPr>
          <w:color w:val="000000"/>
          <w:szCs w:val="22"/>
          <w:lang w:val="sv-SE"/>
        </w:rPr>
        <w:t>% vilket är jämförbart med resultaten som observerats hos vuxna. Dessutom observerades ett partiellt cytogenetiskt svar (PCyS) hos 16</w:t>
      </w:r>
      <w:r w:rsidR="00370A4C">
        <w:rPr>
          <w:color w:val="000000"/>
          <w:szCs w:val="22"/>
          <w:lang w:val="sv-SE"/>
        </w:rPr>
        <w:t> </w:t>
      </w:r>
      <w:r w:rsidRPr="000E7AE9">
        <w:rPr>
          <w:color w:val="000000"/>
          <w:szCs w:val="22"/>
          <w:lang w:val="sv-SE"/>
        </w:rPr>
        <w:t>% för ett BCyS om 81</w:t>
      </w:r>
      <w:r w:rsidR="00370A4C">
        <w:rPr>
          <w:color w:val="000000"/>
          <w:szCs w:val="22"/>
          <w:lang w:val="sv-SE"/>
        </w:rPr>
        <w:t> </w:t>
      </w:r>
      <w:r w:rsidRPr="000E7AE9">
        <w:rPr>
          <w:color w:val="000000"/>
          <w:szCs w:val="22"/>
          <w:lang w:val="sv-SE"/>
        </w:rPr>
        <w:t>%. Majoriteten av patienterna som nådde ett FCyS utvecklade FCyS mellan månaderna 3 och 10 med en mediantid till svar baserat på Kaplan-Meier-estimat på 5,6 månader.</w:t>
      </w:r>
    </w:p>
    <w:p w14:paraId="72D0391A" w14:textId="77777777" w:rsidR="00620ABA" w:rsidRDefault="00620ABA" w:rsidP="00463647">
      <w:pPr>
        <w:pStyle w:val="EndnoteText"/>
        <w:widowControl w:val="0"/>
        <w:tabs>
          <w:tab w:val="clear" w:pos="567"/>
        </w:tabs>
        <w:rPr>
          <w:color w:val="000000"/>
          <w:szCs w:val="22"/>
          <w:lang w:val="sv-SE"/>
        </w:rPr>
      </w:pPr>
    </w:p>
    <w:p w14:paraId="392B9E3F" w14:textId="77777777" w:rsidR="00702337" w:rsidRDefault="00702337" w:rsidP="00463647">
      <w:pPr>
        <w:pStyle w:val="EndnoteText"/>
        <w:widowControl w:val="0"/>
        <w:tabs>
          <w:tab w:val="clear" w:pos="567"/>
        </w:tabs>
        <w:rPr>
          <w:color w:val="000000"/>
          <w:szCs w:val="22"/>
          <w:lang w:val="sv-SE"/>
        </w:rPr>
      </w:pPr>
      <w:r>
        <w:rPr>
          <w:color w:val="000000"/>
          <w:szCs w:val="22"/>
          <w:lang w:val="sv-SE"/>
        </w:rPr>
        <w:t xml:space="preserve">Europeiska </w:t>
      </w:r>
      <w:r w:rsidRPr="007B657E">
        <w:rPr>
          <w:color w:val="000000"/>
          <w:szCs w:val="22"/>
          <w:lang w:val="sv-SE"/>
        </w:rPr>
        <w:t xml:space="preserve">läkemedelsmyndigheten </w:t>
      </w:r>
      <w:r w:rsidR="002153A8" w:rsidRPr="007B657E">
        <w:rPr>
          <w:color w:val="000000"/>
          <w:szCs w:val="22"/>
          <w:lang w:val="sv-SE"/>
        </w:rPr>
        <w:t xml:space="preserve">har </w:t>
      </w:r>
      <w:r w:rsidR="00453D31">
        <w:rPr>
          <w:color w:val="000000"/>
          <w:szCs w:val="22"/>
          <w:lang w:val="sv-SE"/>
        </w:rPr>
        <w:t xml:space="preserve">beviljat undantag från </w:t>
      </w:r>
      <w:r w:rsidRPr="007B657E">
        <w:rPr>
          <w:color w:val="000000"/>
          <w:szCs w:val="22"/>
          <w:lang w:val="sv-SE"/>
        </w:rPr>
        <w:t>kravet att skicka</w:t>
      </w:r>
      <w:r>
        <w:rPr>
          <w:color w:val="000000"/>
          <w:szCs w:val="22"/>
          <w:lang w:val="sv-SE"/>
        </w:rPr>
        <w:t xml:space="preserve"> in studieresultat för Glivec</w:t>
      </w:r>
      <w:r w:rsidR="002153A8">
        <w:rPr>
          <w:color w:val="000000"/>
          <w:szCs w:val="22"/>
          <w:lang w:val="sv-SE"/>
        </w:rPr>
        <w:t xml:space="preserve"> för alla</w:t>
      </w:r>
      <w:r>
        <w:rPr>
          <w:color w:val="000000"/>
          <w:szCs w:val="22"/>
          <w:lang w:val="sv-SE"/>
        </w:rPr>
        <w:t xml:space="preserve"> grupper av d</w:t>
      </w:r>
      <w:r w:rsidR="002153A8">
        <w:rPr>
          <w:color w:val="000000"/>
          <w:szCs w:val="22"/>
          <w:lang w:val="sv-SE"/>
        </w:rPr>
        <w:t xml:space="preserve">en pediatriska populationen för </w:t>
      </w:r>
      <w:r w:rsidR="002153A8" w:rsidRPr="000E7AE9">
        <w:rPr>
          <w:color w:val="000000"/>
          <w:szCs w:val="22"/>
          <w:lang w:val="sv-SE"/>
        </w:rPr>
        <w:t>Philadelphiak</w:t>
      </w:r>
      <w:r w:rsidR="002153A8">
        <w:rPr>
          <w:color w:val="000000"/>
          <w:szCs w:val="22"/>
          <w:lang w:val="sv-SE"/>
        </w:rPr>
        <w:t>romosom- (bcr-abl</w:t>
      </w:r>
      <w:r w:rsidR="00CF2D46">
        <w:rPr>
          <w:color w:val="000000"/>
          <w:szCs w:val="22"/>
          <w:lang w:val="sv-SE"/>
        </w:rPr>
        <w:t xml:space="preserve"> translokation</w:t>
      </w:r>
      <w:r w:rsidR="002153A8">
        <w:rPr>
          <w:color w:val="000000"/>
          <w:szCs w:val="22"/>
          <w:lang w:val="sv-SE"/>
        </w:rPr>
        <w:t>)-positiv</w:t>
      </w:r>
      <w:r w:rsidR="002153A8" w:rsidRPr="000E7AE9">
        <w:rPr>
          <w:color w:val="000000"/>
          <w:szCs w:val="22"/>
          <w:lang w:val="sv-SE"/>
        </w:rPr>
        <w:t xml:space="preserve"> kronisk myeloisk leukemi</w:t>
      </w:r>
      <w:r w:rsidR="002153A8">
        <w:rPr>
          <w:color w:val="000000"/>
          <w:szCs w:val="22"/>
          <w:lang w:val="sv-SE"/>
        </w:rPr>
        <w:t xml:space="preserve"> </w:t>
      </w:r>
      <w:r>
        <w:rPr>
          <w:color w:val="000000"/>
          <w:szCs w:val="22"/>
          <w:lang w:val="sv-SE"/>
        </w:rPr>
        <w:t>(information om pediatrisk användning</w:t>
      </w:r>
      <w:r w:rsidR="001A5B33">
        <w:rPr>
          <w:color w:val="000000"/>
          <w:szCs w:val="22"/>
          <w:lang w:val="sv-SE"/>
        </w:rPr>
        <w:t xml:space="preserve"> finns i avsnitt 4.2</w:t>
      </w:r>
      <w:r>
        <w:rPr>
          <w:color w:val="000000"/>
          <w:szCs w:val="22"/>
          <w:lang w:val="sv-SE"/>
        </w:rPr>
        <w:t>)</w:t>
      </w:r>
      <w:r w:rsidR="00AB480A">
        <w:rPr>
          <w:color w:val="000000"/>
          <w:szCs w:val="22"/>
          <w:lang w:val="sv-SE"/>
        </w:rPr>
        <w:t>.</w:t>
      </w:r>
    </w:p>
    <w:p w14:paraId="59629DD8" w14:textId="77777777" w:rsidR="00702337" w:rsidRPr="000E7AE9" w:rsidRDefault="00702337" w:rsidP="00463647">
      <w:pPr>
        <w:pStyle w:val="EndnoteText"/>
        <w:widowControl w:val="0"/>
        <w:tabs>
          <w:tab w:val="clear" w:pos="567"/>
        </w:tabs>
        <w:rPr>
          <w:color w:val="000000"/>
          <w:szCs w:val="22"/>
          <w:lang w:val="sv-SE"/>
        </w:rPr>
      </w:pPr>
    </w:p>
    <w:p w14:paraId="374E41D5" w14:textId="77777777" w:rsidR="00620ABA" w:rsidRPr="000E7AE9" w:rsidRDefault="00620ABA" w:rsidP="00463647">
      <w:pPr>
        <w:pStyle w:val="EndnoteText"/>
        <w:keepNext/>
        <w:widowControl w:val="0"/>
        <w:rPr>
          <w:color w:val="000000"/>
          <w:szCs w:val="22"/>
          <w:u w:val="single"/>
          <w:lang w:val="sv-SE"/>
        </w:rPr>
      </w:pPr>
      <w:r w:rsidRPr="000E7AE9">
        <w:rPr>
          <w:color w:val="000000"/>
          <w:szCs w:val="22"/>
          <w:u w:val="single"/>
          <w:lang w:val="sv-SE"/>
        </w:rPr>
        <w:t>Kliniska studier vid Ph+ ALL</w:t>
      </w:r>
    </w:p>
    <w:p w14:paraId="50406477" w14:textId="77777777" w:rsidR="00620ABA" w:rsidRPr="000E7AE9" w:rsidRDefault="00620ABA" w:rsidP="00463647">
      <w:pPr>
        <w:pStyle w:val="TextChar"/>
        <w:widowControl w:val="0"/>
        <w:spacing w:before="0"/>
        <w:jc w:val="left"/>
        <w:rPr>
          <w:color w:val="000000"/>
          <w:sz w:val="22"/>
          <w:szCs w:val="22"/>
          <w:lang w:val="sv-SE"/>
        </w:rPr>
      </w:pPr>
      <w:r w:rsidRPr="000E7AE9">
        <w:rPr>
          <w:i/>
          <w:color w:val="000000"/>
          <w:sz w:val="22"/>
          <w:szCs w:val="22"/>
          <w:lang w:val="sv-SE"/>
        </w:rPr>
        <w:t>Nydiagnostiserade Ph+ ALL</w:t>
      </w:r>
      <w:r w:rsidRPr="000E7AE9">
        <w:rPr>
          <w:color w:val="000000"/>
          <w:sz w:val="22"/>
          <w:szCs w:val="22"/>
          <w:lang w:val="sv-SE"/>
        </w:rPr>
        <w:t>: I en kontrollerad studie (ADE10) på induktion av imatinib kontra kemoterapi på 55 nydiagnostiserade patienter som var 55 år och äldre, inducerade imatinib, använt som monoterapi, fullständigt hematologiskt svar i väsentligt högre grad än kemoterapi (96,3</w:t>
      </w:r>
      <w:r w:rsidR="00370A4C">
        <w:rPr>
          <w:color w:val="000000"/>
          <w:sz w:val="22"/>
          <w:szCs w:val="22"/>
          <w:lang w:val="sv-SE"/>
        </w:rPr>
        <w:t> </w:t>
      </w:r>
      <w:r w:rsidRPr="000E7AE9">
        <w:rPr>
          <w:color w:val="000000"/>
          <w:sz w:val="22"/>
          <w:szCs w:val="22"/>
          <w:lang w:val="sv-SE"/>
        </w:rPr>
        <w:t>% kontra 50</w:t>
      </w:r>
      <w:r w:rsidR="00370A4C">
        <w:rPr>
          <w:color w:val="000000"/>
          <w:sz w:val="22"/>
          <w:szCs w:val="22"/>
          <w:lang w:val="sv-SE"/>
        </w:rPr>
        <w:t> </w:t>
      </w:r>
      <w:r w:rsidRPr="000E7AE9">
        <w:rPr>
          <w:color w:val="000000"/>
          <w:sz w:val="22"/>
          <w:szCs w:val="22"/>
          <w:lang w:val="sv-SE"/>
        </w:rPr>
        <w:t>%; p=0,0001). När räddningsbehandling med imatinib administrerades på patienter som inte svarade på, alternativt svarade dåligt på kemoterapi, ledde detta till att 9 (81,8</w:t>
      </w:r>
      <w:r w:rsidR="00370A4C">
        <w:rPr>
          <w:color w:val="000000"/>
          <w:sz w:val="22"/>
          <w:szCs w:val="22"/>
          <w:lang w:val="sv-SE"/>
        </w:rPr>
        <w:t> </w:t>
      </w:r>
      <w:r w:rsidRPr="000E7AE9">
        <w:rPr>
          <w:color w:val="000000"/>
          <w:sz w:val="22"/>
          <w:szCs w:val="22"/>
          <w:lang w:val="sv-SE"/>
        </w:rPr>
        <w:t>%) av 11 patienter uppnådde fullständigt hematologiskt svar. Denna kliniska effekt sammankopplades med högre reduktion av bcr-abl-transkript hos de patienter som behandlats med imatinib än för kemoterapiarmen efter 2 veckors behandling (p=0,02). Samtliga patienter fick imatinib och konsolideringskemoterapi (se Tabell </w:t>
      </w:r>
      <w:r w:rsidR="007F2DDD">
        <w:rPr>
          <w:color w:val="000000"/>
          <w:sz w:val="22"/>
          <w:szCs w:val="22"/>
          <w:lang w:val="sv-SE"/>
        </w:rPr>
        <w:t>4</w:t>
      </w:r>
      <w:r w:rsidRPr="000E7AE9">
        <w:rPr>
          <w:color w:val="000000"/>
          <w:sz w:val="22"/>
          <w:szCs w:val="22"/>
          <w:lang w:val="sv-SE"/>
        </w:rPr>
        <w:t>) efter induktion och nivåerna av bcr-abl-transkript var identiska för de två armarna vid 8 veckor. Som förväntat på grund av studiens utformning</w:t>
      </w:r>
      <w:r w:rsidRPr="000E7AE9">
        <w:rPr>
          <w:rFonts w:eastAsia="MS Mincho"/>
          <w:color w:val="000000"/>
          <w:sz w:val="22"/>
          <w:szCs w:val="22"/>
          <w:lang w:val="sv-SE" w:eastAsia="ja-JP"/>
        </w:rPr>
        <w:t>, observerades ingen skillnad i remissionsduration eller sjukdomsfri och total överlevnad, trots att patienter med fullständigt molekylärt svar och fortsatt minimal resterande sjukdom, hade bättre utfall både när det gäller remissionsduration (p=0,01) och sjukdomsfri överlevnad (p=0,02)</w:t>
      </w:r>
      <w:r w:rsidRPr="000E7AE9">
        <w:rPr>
          <w:color w:val="000000"/>
          <w:sz w:val="22"/>
          <w:szCs w:val="22"/>
          <w:lang w:val="sv-SE"/>
        </w:rPr>
        <w:t>.</w:t>
      </w:r>
    </w:p>
    <w:p w14:paraId="515B0C23" w14:textId="77777777" w:rsidR="00620ABA" w:rsidRPr="000E7AE9" w:rsidRDefault="00620ABA" w:rsidP="00463647">
      <w:pPr>
        <w:pStyle w:val="TextChar"/>
        <w:widowControl w:val="0"/>
        <w:spacing w:before="0"/>
        <w:jc w:val="left"/>
        <w:rPr>
          <w:color w:val="000000"/>
          <w:sz w:val="22"/>
          <w:szCs w:val="22"/>
          <w:lang w:val="sv-SE"/>
        </w:rPr>
      </w:pPr>
    </w:p>
    <w:p w14:paraId="2CED6B90" w14:textId="77777777" w:rsidR="00620ABA" w:rsidRPr="000E7AE9" w:rsidRDefault="00620ABA" w:rsidP="00463647">
      <w:pPr>
        <w:pStyle w:val="EndnoteText"/>
        <w:widowControl w:val="0"/>
        <w:rPr>
          <w:color w:val="000000"/>
          <w:szCs w:val="22"/>
          <w:lang w:val="sv-SE"/>
        </w:rPr>
      </w:pPr>
      <w:r w:rsidRPr="000E7AE9">
        <w:rPr>
          <w:color w:val="000000"/>
          <w:szCs w:val="22"/>
          <w:lang w:val="sv-SE"/>
        </w:rPr>
        <w:t>Resultaten som observerades i en population på 211 nydiagnostiserade Ph+ ALL-patienter i fyra okontrollerade kliniska studier (AAU02, ADE04, AJP01 och AUS01) stämmer överens med resultaten som beskrivs ovan. Imatinib kombinerat med kemoterapiinduktion (se Tabell </w:t>
      </w:r>
      <w:r w:rsidR="007F2DDD">
        <w:rPr>
          <w:color w:val="000000"/>
          <w:szCs w:val="22"/>
          <w:lang w:val="sv-SE"/>
        </w:rPr>
        <w:t>4</w:t>
      </w:r>
      <w:r w:rsidRPr="000E7AE9">
        <w:rPr>
          <w:color w:val="000000"/>
          <w:szCs w:val="22"/>
          <w:lang w:val="sv-SE"/>
        </w:rPr>
        <w:t>) ledde till en frekvens på 93</w:t>
      </w:r>
      <w:r w:rsidR="00370A4C">
        <w:rPr>
          <w:color w:val="000000"/>
          <w:szCs w:val="22"/>
          <w:lang w:val="sv-SE"/>
        </w:rPr>
        <w:t> </w:t>
      </w:r>
      <w:r w:rsidRPr="000E7AE9">
        <w:rPr>
          <w:color w:val="000000"/>
          <w:szCs w:val="22"/>
          <w:lang w:val="sv-SE"/>
        </w:rPr>
        <w:t>% för fullständigt hematologiskt svar (147 av 158 utvärderbara patienter) och 90</w:t>
      </w:r>
      <w:r w:rsidR="00370A4C">
        <w:rPr>
          <w:color w:val="000000"/>
          <w:szCs w:val="22"/>
          <w:lang w:val="sv-SE"/>
        </w:rPr>
        <w:t> </w:t>
      </w:r>
      <w:r w:rsidRPr="000E7AE9">
        <w:rPr>
          <w:color w:val="000000"/>
          <w:szCs w:val="22"/>
          <w:lang w:val="sv-SE"/>
        </w:rPr>
        <w:t>% för betydande cytogenetiskt svar (19 av 21 utvärderbara patienter). Frekvensen var 48</w:t>
      </w:r>
      <w:r w:rsidR="00370A4C">
        <w:rPr>
          <w:color w:val="000000"/>
          <w:szCs w:val="22"/>
          <w:lang w:val="sv-SE"/>
        </w:rPr>
        <w:t> </w:t>
      </w:r>
      <w:r w:rsidRPr="000E7AE9">
        <w:rPr>
          <w:color w:val="000000"/>
          <w:szCs w:val="22"/>
          <w:lang w:val="sv-SE"/>
        </w:rPr>
        <w:t>% för fullständigt molekylärt svar (49 av 102 utvärderbara patienter). Sjukdomsfri överlevnad (SFÖ) och total överlevnad (TÖ) överskred konstant 1 år och var större än historiska kontroller (SFÖ p&lt;0,001; TÖ p&lt;0,0001) i två studier (AJP01 och AUS01).</w:t>
      </w:r>
    </w:p>
    <w:p w14:paraId="2B444CC7" w14:textId="77777777" w:rsidR="00620ABA" w:rsidRPr="000E7AE9" w:rsidRDefault="00620ABA" w:rsidP="00463647">
      <w:pPr>
        <w:pStyle w:val="EndnoteText"/>
        <w:widowControl w:val="0"/>
        <w:rPr>
          <w:color w:val="000000"/>
          <w:szCs w:val="22"/>
          <w:lang w:val="sv-SE"/>
        </w:rPr>
      </w:pPr>
    </w:p>
    <w:p w14:paraId="7642437C" w14:textId="77777777" w:rsidR="00620ABA" w:rsidRPr="000E7AE9" w:rsidRDefault="00620ABA" w:rsidP="00463647">
      <w:pPr>
        <w:pStyle w:val="EndnoteText"/>
        <w:keepNext/>
        <w:widowControl w:val="0"/>
        <w:rPr>
          <w:b/>
          <w:bCs/>
          <w:color w:val="000000"/>
          <w:szCs w:val="22"/>
          <w:lang w:val="sv-SE"/>
        </w:rPr>
      </w:pPr>
      <w:r w:rsidRPr="000E7AE9">
        <w:rPr>
          <w:b/>
          <w:bCs/>
          <w:color w:val="000000"/>
          <w:szCs w:val="22"/>
          <w:lang w:val="sv-SE"/>
        </w:rPr>
        <w:lastRenderedPageBreak/>
        <w:t>Tabell </w:t>
      </w:r>
      <w:r w:rsidR="007F2DDD">
        <w:rPr>
          <w:b/>
          <w:bCs/>
          <w:color w:val="000000"/>
          <w:szCs w:val="22"/>
          <w:lang w:val="sv-SE"/>
        </w:rPr>
        <w:t>4</w:t>
      </w:r>
      <w:r w:rsidRPr="000E7AE9">
        <w:rPr>
          <w:b/>
          <w:bCs/>
          <w:color w:val="000000"/>
          <w:szCs w:val="22"/>
          <w:lang w:val="sv-SE"/>
        </w:rPr>
        <w:tab/>
        <w:t>Kem</w:t>
      </w:r>
      <w:r w:rsidRPr="000E7AE9">
        <w:rPr>
          <w:b/>
          <w:color w:val="000000"/>
          <w:szCs w:val="22"/>
          <w:lang w:val="sv-SE"/>
        </w:rPr>
        <w:t>oterapi-behandling i kombination med imatinib</w:t>
      </w:r>
    </w:p>
    <w:p w14:paraId="6723DA0A" w14:textId="77777777" w:rsidR="00620ABA" w:rsidRPr="000E7AE9" w:rsidRDefault="00620ABA" w:rsidP="00463647">
      <w:pPr>
        <w:pStyle w:val="EndnoteText"/>
        <w:keepNext/>
        <w:widowControl w:val="0"/>
        <w:rPr>
          <w:color w:val="000000"/>
          <w:szCs w:val="22"/>
          <w:lang w:val="sv-SE"/>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620ABA" w:rsidRPr="000E7AE9" w14:paraId="01C2B795" w14:textId="77777777" w:rsidTr="00C81D6E">
        <w:trPr>
          <w:cantSplit/>
        </w:trPr>
        <w:tc>
          <w:tcPr>
            <w:tcW w:w="2148" w:type="dxa"/>
            <w:tcBorders>
              <w:top w:val="single" w:sz="4" w:space="0" w:color="auto"/>
              <w:bottom w:val="single" w:sz="4" w:space="0" w:color="auto"/>
            </w:tcBorders>
            <w:shd w:val="clear" w:color="auto" w:fill="auto"/>
          </w:tcPr>
          <w:p w14:paraId="6570A459"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b/>
                <w:color w:val="000000"/>
                <w:sz w:val="22"/>
                <w:szCs w:val="22"/>
                <w:lang w:val="sv-SE"/>
              </w:rPr>
              <w:t>Studie ADE10</w:t>
            </w:r>
          </w:p>
        </w:tc>
        <w:tc>
          <w:tcPr>
            <w:tcW w:w="6732" w:type="dxa"/>
            <w:gridSpan w:val="4"/>
            <w:tcBorders>
              <w:top w:val="single" w:sz="4" w:space="0" w:color="auto"/>
              <w:bottom w:val="single" w:sz="4" w:space="0" w:color="auto"/>
            </w:tcBorders>
            <w:shd w:val="clear" w:color="auto" w:fill="auto"/>
          </w:tcPr>
          <w:p w14:paraId="2D5DC7B2"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r>
      <w:tr w:rsidR="00620ABA" w:rsidRPr="000E7AE9" w14:paraId="1B7B343D" w14:textId="77777777" w:rsidTr="00C81D6E">
        <w:trPr>
          <w:cantSplit/>
        </w:trPr>
        <w:tc>
          <w:tcPr>
            <w:tcW w:w="2148" w:type="dxa"/>
            <w:tcBorders>
              <w:top w:val="single" w:sz="4" w:space="0" w:color="auto"/>
              <w:bottom w:val="single" w:sz="4" w:space="0" w:color="auto"/>
            </w:tcBorders>
            <w:shd w:val="clear" w:color="auto" w:fill="auto"/>
          </w:tcPr>
          <w:p w14:paraId="26098049"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Förberedande fas</w:t>
            </w:r>
          </w:p>
        </w:tc>
        <w:tc>
          <w:tcPr>
            <w:tcW w:w="6732" w:type="dxa"/>
            <w:gridSpan w:val="4"/>
            <w:tcBorders>
              <w:top w:val="single" w:sz="4" w:space="0" w:color="auto"/>
              <w:bottom w:val="single" w:sz="4" w:space="0" w:color="auto"/>
            </w:tcBorders>
            <w:shd w:val="clear" w:color="auto" w:fill="auto"/>
          </w:tcPr>
          <w:p w14:paraId="558B29FE" w14:textId="77777777" w:rsidR="0078052B"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1-5;</w:t>
            </w:r>
          </w:p>
          <w:p w14:paraId="56D6CBF7" w14:textId="77777777" w:rsidR="0078052B"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200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3, 4, 5;</w:t>
            </w:r>
          </w:p>
          <w:p w14:paraId="095BA2A4"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12 mg intratekal, dag 1</w:t>
            </w:r>
          </w:p>
        </w:tc>
      </w:tr>
      <w:tr w:rsidR="00620ABA" w:rsidRPr="00644A2E" w14:paraId="6EEA21DE" w14:textId="77777777" w:rsidTr="00C81D6E">
        <w:trPr>
          <w:cantSplit/>
        </w:trPr>
        <w:tc>
          <w:tcPr>
            <w:tcW w:w="2148" w:type="dxa"/>
            <w:tcBorders>
              <w:top w:val="single" w:sz="4" w:space="0" w:color="auto"/>
              <w:bottom w:val="single" w:sz="4" w:space="0" w:color="auto"/>
            </w:tcBorders>
            <w:shd w:val="clear" w:color="auto" w:fill="auto"/>
          </w:tcPr>
          <w:p w14:paraId="608FC6A6"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Remissionsinduktion</w:t>
            </w:r>
          </w:p>
        </w:tc>
        <w:tc>
          <w:tcPr>
            <w:tcW w:w="6732" w:type="dxa"/>
            <w:gridSpan w:val="4"/>
            <w:tcBorders>
              <w:top w:val="single" w:sz="4" w:space="0" w:color="auto"/>
              <w:bottom w:val="single" w:sz="4" w:space="0" w:color="auto"/>
            </w:tcBorders>
            <w:shd w:val="clear" w:color="auto" w:fill="auto"/>
          </w:tcPr>
          <w:p w14:paraId="06C4BAE1" w14:textId="77777777" w:rsidR="0078052B"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6-7, 13-16;</w:t>
            </w:r>
          </w:p>
          <w:p w14:paraId="444204C8" w14:textId="77777777" w:rsidR="0078052B"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VCR 1 mg i.v., dagar 7, 14;</w:t>
            </w:r>
          </w:p>
          <w:p w14:paraId="33BE4B97" w14:textId="77777777" w:rsidR="0078052B"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IDA 8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(0.5 tim), dagar 7, 8, 14, 15;</w:t>
            </w:r>
          </w:p>
          <w:p w14:paraId="2666BF04" w14:textId="77777777" w:rsidR="0078052B"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500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i.v.(1 tim) dag 1;</w:t>
            </w:r>
          </w:p>
          <w:p w14:paraId="4EBACA27"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22-25, 29-32</w:t>
            </w:r>
          </w:p>
        </w:tc>
      </w:tr>
      <w:tr w:rsidR="00620ABA" w:rsidRPr="00644A2E" w14:paraId="453D7F7C" w14:textId="77777777" w:rsidTr="00C81D6E">
        <w:trPr>
          <w:cantSplit/>
        </w:trPr>
        <w:tc>
          <w:tcPr>
            <w:tcW w:w="2148" w:type="dxa"/>
            <w:tcBorders>
              <w:top w:val="single" w:sz="4" w:space="0" w:color="auto"/>
              <w:bottom w:val="single" w:sz="4" w:space="0" w:color="auto"/>
            </w:tcBorders>
            <w:shd w:val="clear" w:color="auto" w:fill="auto"/>
          </w:tcPr>
          <w:p w14:paraId="27222A7A"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Konsoliderings</w:t>
            </w:r>
            <w:r w:rsidRPr="000E7AE9">
              <w:rPr>
                <w:rFonts w:ascii="Times New Roman" w:hAnsi="Times New Roman"/>
                <w:color w:val="000000"/>
                <w:sz w:val="22"/>
                <w:szCs w:val="22"/>
                <w:lang w:val="sv-SE"/>
              </w:rPr>
              <w:softHyphen/>
              <w:t>behandling I, III, V</w:t>
            </w:r>
          </w:p>
        </w:tc>
        <w:tc>
          <w:tcPr>
            <w:tcW w:w="6732" w:type="dxa"/>
            <w:gridSpan w:val="4"/>
            <w:tcBorders>
              <w:top w:val="single" w:sz="4" w:space="0" w:color="auto"/>
              <w:bottom w:val="single" w:sz="4" w:space="0" w:color="auto"/>
            </w:tcBorders>
            <w:shd w:val="clear" w:color="auto" w:fill="auto"/>
          </w:tcPr>
          <w:p w14:paraId="64C4424A"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500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(24 tim), dagar 1, 15;</w:t>
            </w:r>
          </w:p>
          <w:p w14:paraId="58300505"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6-MP 25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1-20</w:t>
            </w:r>
          </w:p>
        </w:tc>
      </w:tr>
      <w:tr w:rsidR="00620ABA" w:rsidRPr="00644A2E" w14:paraId="790BDA6F" w14:textId="77777777" w:rsidTr="00C81D6E">
        <w:trPr>
          <w:cantSplit/>
        </w:trPr>
        <w:tc>
          <w:tcPr>
            <w:tcW w:w="2148" w:type="dxa"/>
            <w:tcBorders>
              <w:top w:val="single" w:sz="4" w:space="0" w:color="auto"/>
              <w:bottom w:val="single" w:sz="4" w:space="0" w:color="auto"/>
            </w:tcBorders>
            <w:shd w:val="clear" w:color="auto" w:fill="auto"/>
          </w:tcPr>
          <w:p w14:paraId="63509CC0"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Konsoliderings</w:t>
            </w:r>
            <w:r w:rsidRPr="000E7AE9">
              <w:rPr>
                <w:rFonts w:ascii="Times New Roman" w:hAnsi="Times New Roman"/>
                <w:color w:val="000000"/>
                <w:sz w:val="22"/>
                <w:szCs w:val="22"/>
                <w:lang w:val="sv-SE"/>
              </w:rPr>
              <w:softHyphen/>
              <w:t>behandling II, IV</w:t>
            </w:r>
          </w:p>
        </w:tc>
        <w:tc>
          <w:tcPr>
            <w:tcW w:w="6732" w:type="dxa"/>
            <w:gridSpan w:val="4"/>
            <w:tcBorders>
              <w:top w:val="single" w:sz="4" w:space="0" w:color="auto"/>
              <w:bottom w:val="single" w:sz="4" w:space="0" w:color="auto"/>
            </w:tcBorders>
            <w:shd w:val="clear" w:color="auto" w:fill="auto"/>
          </w:tcPr>
          <w:p w14:paraId="269A5063"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75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1-5;</w:t>
            </w:r>
          </w:p>
          <w:p w14:paraId="090AA941"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VM26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1-5</w:t>
            </w:r>
          </w:p>
        </w:tc>
      </w:tr>
      <w:tr w:rsidR="00620ABA" w:rsidRPr="000E7AE9" w14:paraId="0C942974" w14:textId="77777777" w:rsidTr="00C81D6E">
        <w:trPr>
          <w:cantSplit/>
        </w:trPr>
        <w:tc>
          <w:tcPr>
            <w:tcW w:w="2148" w:type="dxa"/>
            <w:tcBorders>
              <w:top w:val="single" w:sz="4" w:space="0" w:color="auto"/>
              <w:bottom w:val="single" w:sz="4" w:space="0" w:color="auto"/>
            </w:tcBorders>
            <w:shd w:val="clear" w:color="auto" w:fill="auto"/>
          </w:tcPr>
          <w:p w14:paraId="56C7BA86" w14:textId="77777777" w:rsidR="00620ABA" w:rsidRPr="000E7AE9" w:rsidRDefault="00620ABA" w:rsidP="00463647">
            <w:pPr>
              <w:pStyle w:val="Table"/>
              <w:keepLines w:val="0"/>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Study AAU02</w:t>
            </w:r>
          </w:p>
        </w:tc>
        <w:tc>
          <w:tcPr>
            <w:tcW w:w="2652" w:type="dxa"/>
            <w:tcBorders>
              <w:top w:val="single" w:sz="4" w:space="0" w:color="auto"/>
              <w:bottom w:val="single" w:sz="4" w:space="0" w:color="auto"/>
            </w:tcBorders>
            <w:shd w:val="clear" w:color="auto" w:fill="auto"/>
          </w:tcPr>
          <w:p w14:paraId="474B9D97"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080" w:type="dxa"/>
            <w:tcBorders>
              <w:top w:val="single" w:sz="4" w:space="0" w:color="auto"/>
              <w:bottom w:val="single" w:sz="4" w:space="0" w:color="auto"/>
            </w:tcBorders>
          </w:tcPr>
          <w:p w14:paraId="3AE98DCF"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380" w:type="dxa"/>
            <w:tcBorders>
              <w:top w:val="single" w:sz="4" w:space="0" w:color="auto"/>
              <w:bottom w:val="single" w:sz="4" w:space="0" w:color="auto"/>
            </w:tcBorders>
          </w:tcPr>
          <w:p w14:paraId="2CF223E1"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620" w:type="dxa"/>
            <w:tcBorders>
              <w:top w:val="single" w:sz="4" w:space="0" w:color="auto"/>
              <w:bottom w:val="single" w:sz="4" w:space="0" w:color="auto"/>
            </w:tcBorders>
          </w:tcPr>
          <w:p w14:paraId="605734DF"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r>
      <w:tr w:rsidR="00620ABA" w:rsidRPr="000E7AE9" w14:paraId="7939C24C" w14:textId="77777777" w:rsidTr="00C81D6E">
        <w:trPr>
          <w:cantSplit/>
        </w:trPr>
        <w:tc>
          <w:tcPr>
            <w:tcW w:w="2148" w:type="dxa"/>
            <w:tcBorders>
              <w:top w:val="single" w:sz="4" w:space="0" w:color="auto"/>
              <w:bottom w:val="single" w:sz="4" w:space="0" w:color="auto"/>
            </w:tcBorders>
            <w:shd w:val="clear" w:color="auto" w:fill="auto"/>
          </w:tcPr>
          <w:p w14:paraId="2B0703D6"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Induktions</w:t>
            </w:r>
            <w:r w:rsidRPr="000E7AE9">
              <w:rPr>
                <w:rFonts w:ascii="Times New Roman" w:hAnsi="Times New Roman"/>
                <w:color w:val="000000"/>
                <w:sz w:val="22"/>
                <w:szCs w:val="22"/>
                <w:lang w:val="sv-SE"/>
              </w:rPr>
              <w:softHyphen/>
              <w:t>behandling (</w:t>
            </w:r>
            <w:r w:rsidRPr="000E7AE9">
              <w:rPr>
                <w:rFonts w:ascii="Times New Roman" w:hAnsi="Times New Roman"/>
                <w:i/>
                <w:color w:val="000000"/>
                <w:sz w:val="22"/>
                <w:szCs w:val="22"/>
                <w:lang w:val="sv-SE"/>
              </w:rPr>
              <w:t>de novo</w:t>
            </w:r>
            <w:r w:rsidRPr="000E7AE9">
              <w:rPr>
                <w:rFonts w:ascii="Times New Roman" w:hAnsi="Times New Roman"/>
                <w:color w:val="000000"/>
                <w:sz w:val="22"/>
                <w:szCs w:val="22"/>
                <w:lang w:val="sv-SE"/>
              </w:rPr>
              <w:t xml:space="preserve"> Ph+ ALL)</w:t>
            </w:r>
          </w:p>
        </w:tc>
        <w:tc>
          <w:tcPr>
            <w:tcW w:w="6732" w:type="dxa"/>
            <w:gridSpan w:val="4"/>
            <w:tcBorders>
              <w:top w:val="single" w:sz="4" w:space="0" w:color="auto"/>
              <w:bottom w:val="single" w:sz="4" w:space="0" w:color="auto"/>
            </w:tcBorders>
            <w:shd w:val="clear" w:color="auto" w:fill="auto"/>
          </w:tcPr>
          <w:p w14:paraId="472AE12A"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Daunorubicin 30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1-3, 15-16;</w:t>
            </w:r>
          </w:p>
          <w:p w14:paraId="530CD97B" w14:textId="77777777" w:rsidR="00B666BE" w:rsidRPr="008643C0" w:rsidRDefault="00620ABA" w:rsidP="00463647">
            <w:pPr>
              <w:pStyle w:val="Table"/>
              <w:keepLines w:val="0"/>
              <w:widowControl w:val="0"/>
              <w:spacing w:before="0" w:after="0"/>
              <w:rPr>
                <w:rFonts w:ascii="Times New Roman" w:hAnsi="Times New Roman"/>
                <w:color w:val="000000"/>
                <w:sz w:val="22"/>
                <w:szCs w:val="22"/>
                <w:lang w:val="es-ES"/>
              </w:rPr>
            </w:pPr>
            <w:r w:rsidRPr="008643C0">
              <w:rPr>
                <w:rFonts w:ascii="Times New Roman" w:hAnsi="Times New Roman"/>
                <w:color w:val="000000"/>
                <w:sz w:val="22"/>
                <w:szCs w:val="22"/>
                <w:lang w:val="es-ES"/>
              </w:rPr>
              <w:t>VCR 2 mg total dos i.v., dagar 1, 8, 15, 22;</w:t>
            </w:r>
          </w:p>
          <w:p w14:paraId="2F0019A1"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750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1, 8;</w:t>
            </w:r>
          </w:p>
          <w:p w14:paraId="31E3F614" w14:textId="77777777" w:rsidR="00B666BE" w:rsidRDefault="00B666BE"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P</w:t>
            </w:r>
            <w:r w:rsidR="00620ABA" w:rsidRPr="000E7AE9">
              <w:rPr>
                <w:rFonts w:ascii="Times New Roman" w:hAnsi="Times New Roman"/>
                <w:color w:val="000000"/>
                <w:sz w:val="22"/>
                <w:szCs w:val="22"/>
                <w:lang w:val="sv-SE"/>
              </w:rPr>
              <w:t>rednison 60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 xml:space="preserve"> oral, dagar 1-7, 15-21;</w:t>
            </w:r>
          </w:p>
          <w:p w14:paraId="116426C6"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IDA 9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1-28;</w:t>
            </w:r>
          </w:p>
          <w:p w14:paraId="4A3034AC"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15 mg intratekal, dagar 1, 8, 15, 22;</w:t>
            </w:r>
          </w:p>
          <w:p w14:paraId="366193E9"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40 mg intratekal, dagar 1, 8, 15, 22;</w:t>
            </w:r>
          </w:p>
          <w:p w14:paraId="58741AEC" w14:textId="77777777" w:rsidR="00620ABA" w:rsidRPr="000E7AE9" w:rsidRDefault="00B666BE"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M</w:t>
            </w:r>
            <w:r w:rsidR="00620ABA" w:rsidRPr="000E7AE9">
              <w:rPr>
                <w:rFonts w:ascii="Times New Roman" w:hAnsi="Times New Roman"/>
                <w:color w:val="000000"/>
                <w:sz w:val="22"/>
                <w:szCs w:val="22"/>
                <w:lang w:val="sv-SE"/>
              </w:rPr>
              <w:t>etylprednisolon 40 mg intratekal, dagar 1, 8, 15, 22</w:t>
            </w:r>
          </w:p>
        </w:tc>
      </w:tr>
      <w:tr w:rsidR="00620ABA" w:rsidRPr="00644A2E" w14:paraId="425ABA92" w14:textId="77777777" w:rsidTr="00C81D6E">
        <w:trPr>
          <w:cantSplit/>
        </w:trPr>
        <w:tc>
          <w:tcPr>
            <w:tcW w:w="2148" w:type="dxa"/>
            <w:tcBorders>
              <w:top w:val="single" w:sz="4" w:space="0" w:color="auto"/>
              <w:bottom w:val="nil"/>
            </w:tcBorders>
            <w:shd w:val="clear" w:color="auto" w:fill="auto"/>
          </w:tcPr>
          <w:p w14:paraId="37DFD366" w14:textId="77777777" w:rsidR="00620ABA" w:rsidRPr="000E7AE9" w:rsidRDefault="00620ABA"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 (</w:t>
            </w:r>
            <w:r w:rsidRPr="000E7AE9">
              <w:rPr>
                <w:rFonts w:ascii="Times New Roman" w:hAnsi="Times New Roman"/>
                <w:i/>
                <w:color w:val="000000"/>
                <w:sz w:val="22"/>
                <w:szCs w:val="22"/>
                <w:lang w:val="sv-SE"/>
              </w:rPr>
              <w:t>de novo</w:t>
            </w:r>
            <w:r w:rsidRPr="000E7AE9">
              <w:rPr>
                <w:rFonts w:ascii="Times New Roman" w:hAnsi="Times New Roman"/>
                <w:color w:val="000000"/>
                <w:sz w:val="22"/>
                <w:szCs w:val="22"/>
                <w:lang w:val="sv-SE"/>
              </w:rPr>
              <w:t xml:space="preserve"> Ph+ ALL)</w:t>
            </w:r>
          </w:p>
        </w:tc>
        <w:tc>
          <w:tcPr>
            <w:tcW w:w="6732" w:type="dxa"/>
            <w:gridSpan w:val="4"/>
            <w:tcBorders>
              <w:top w:val="single" w:sz="4" w:space="0" w:color="auto"/>
              <w:bottom w:val="single" w:sz="4" w:space="0" w:color="auto"/>
            </w:tcBorders>
            <w:shd w:val="clear" w:color="auto" w:fill="auto"/>
          </w:tcPr>
          <w:p w14:paraId="20BDB836" w14:textId="77777777" w:rsidR="00B666BE" w:rsidRDefault="00620ABA"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1 000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/12 h i.v.(3 tim), dagar 1-4;</w:t>
            </w:r>
          </w:p>
          <w:p w14:paraId="2950C663" w14:textId="77777777" w:rsidR="00B666BE" w:rsidRDefault="00B666BE"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M</w:t>
            </w:r>
            <w:r w:rsidR="00620ABA" w:rsidRPr="000E7AE9">
              <w:rPr>
                <w:rFonts w:ascii="Times New Roman" w:hAnsi="Times New Roman"/>
                <w:color w:val="000000"/>
                <w:sz w:val="22"/>
                <w:szCs w:val="22"/>
                <w:lang w:val="sv-SE"/>
              </w:rPr>
              <w:t>itoxantron 10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 xml:space="preserve"> i.v. dagar 3-5;</w:t>
            </w:r>
          </w:p>
          <w:p w14:paraId="1AD7847B" w14:textId="77777777" w:rsidR="00B666BE" w:rsidRDefault="00620ABA"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15 mg intratekal, dag 1;</w:t>
            </w:r>
          </w:p>
          <w:p w14:paraId="59022538" w14:textId="77777777" w:rsidR="00620ABA" w:rsidRPr="000E7AE9" w:rsidRDefault="00B666BE"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M</w:t>
            </w:r>
            <w:r w:rsidR="00620ABA" w:rsidRPr="000E7AE9">
              <w:rPr>
                <w:rFonts w:ascii="Times New Roman" w:hAnsi="Times New Roman"/>
                <w:color w:val="000000"/>
                <w:sz w:val="22"/>
                <w:szCs w:val="22"/>
                <w:lang w:val="sv-SE"/>
              </w:rPr>
              <w:t>etylprednisolon 40 mg intratekal, dag 1</w:t>
            </w:r>
          </w:p>
        </w:tc>
      </w:tr>
      <w:tr w:rsidR="00620ABA" w:rsidRPr="000E7AE9" w14:paraId="61A0614B" w14:textId="77777777" w:rsidTr="00C81D6E">
        <w:trPr>
          <w:cantSplit/>
        </w:trPr>
        <w:tc>
          <w:tcPr>
            <w:tcW w:w="4800" w:type="dxa"/>
            <w:gridSpan w:val="2"/>
            <w:tcBorders>
              <w:top w:val="single" w:sz="4" w:space="0" w:color="auto"/>
              <w:bottom w:val="single" w:sz="4" w:space="0" w:color="auto"/>
            </w:tcBorders>
            <w:shd w:val="clear" w:color="auto" w:fill="auto"/>
          </w:tcPr>
          <w:p w14:paraId="2DB45C17" w14:textId="77777777" w:rsidR="00620ABA" w:rsidRPr="000E7AE9" w:rsidRDefault="00620ABA" w:rsidP="00463647">
            <w:pPr>
              <w:pStyle w:val="Table"/>
              <w:keepLines w:val="0"/>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Studie ADE04</w:t>
            </w:r>
          </w:p>
        </w:tc>
        <w:tc>
          <w:tcPr>
            <w:tcW w:w="1080" w:type="dxa"/>
            <w:tcBorders>
              <w:top w:val="single" w:sz="4" w:space="0" w:color="auto"/>
              <w:bottom w:val="single" w:sz="4" w:space="0" w:color="auto"/>
            </w:tcBorders>
          </w:tcPr>
          <w:p w14:paraId="7B3DAB27"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380" w:type="dxa"/>
            <w:tcBorders>
              <w:top w:val="single" w:sz="4" w:space="0" w:color="auto"/>
              <w:bottom w:val="single" w:sz="4" w:space="0" w:color="auto"/>
            </w:tcBorders>
          </w:tcPr>
          <w:p w14:paraId="07DBFE58"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620" w:type="dxa"/>
            <w:tcBorders>
              <w:top w:val="single" w:sz="4" w:space="0" w:color="auto"/>
              <w:bottom w:val="single" w:sz="4" w:space="0" w:color="auto"/>
            </w:tcBorders>
          </w:tcPr>
          <w:p w14:paraId="1DB91D29"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r>
      <w:tr w:rsidR="00620ABA" w:rsidRPr="000E7AE9" w14:paraId="0B867AEC" w14:textId="77777777" w:rsidTr="00C81D6E">
        <w:trPr>
          <w:cantSplit/>
        </w:trPr>
        <w:tc>
          <w:tcPr>
            <w:tcW w:w="2148" w:type="dxa"/>
            <w:tcBorders>
              <w:top w:val="single" w:sz="4" w:space="0" w:color="auto"/>
              <w:bottom w:val="single" w:sz="4" w:space="0" w:color="auto"/>
            </w:tcBorders>
            <w:shd w:val="clear" w:color="auto" w:fill="auto"/>
          </w:tcPr>
          <w:p w14:paraId="60C16B50"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Förberedande fas</w:t>
            </w:r>
          </w:p>
        </w:tc>
        <w:tc>
          <w:tcPr>
            <w:tcW w:w="6732" w:type="dxa"/>
            <w:gridSpan w:val="4"/>
            <w:tcBorders>
              <w:top w:val="single" w:sz="4" w:space="0" w:color="auto"/>
              <w:bottom w:val="single" w:sz="4" w:space="0" w:color="auto"/>
            </w:tcBorders>
            <w:shd w:val="clear" w:color="auto" w:fill="auto"/>
          </w:tcPr>
          <w:p w14:paraId="773EB992"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1-5;</w:t>
            </w:r>
          </w:p>
          <w:p w14:paraId="3C620A41"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200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3-5;</w:t>
            </w:r>
          </w:p>
          <w:p w14:paraId="18302EF7"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15 mg intratekal, dag 1</w:t>
            </w:r>
          </w:p>
        </w:tc>
      </w:tr>
      <w:tr w:rsidR="00620ABA" w:rsidRPr="00644A2E" w14:paraId="3124AEE6" w14:textId="77777777" w:rsidTr="00C81D6E">
        <w:trPr>
          <w:cantSplit/>
        </w:trPr>
        <w:tc>
          <w:tcPr>
            <w:tcW w:w="2148" w:type="dxa"/>
            <w:tcBorders>
              <w:top w:val="single" w:sz="4" w:space="0" w:color="auto"/>
              <w:bottom w:val="single" w:sz="4" w:space="0" w:color="auto"/>
            </w:tcBorders>
            <w:shd w:val="clear" w:color="auto" w:fill="auto"/>
          </w:tcPr>
          <w:p w14:paraId="41266442"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Induktionsbehandling I</w:t>
            </w:r>
          </w:p>
        </w:tc>
        <w:tc>
          <w:tcPr>
            <w:tcW w:w="6732" w:type="dxa"/>
            <w:gridSpan w:val="4"/>
            <w:tcBorders>
              <w:top w:val="single" w:sz="4" w:space="0" w:color="auto"/>
              <w:bottom w:val="single" w:sz="4" w:space="0" w:color="auto"/>
            </w:tcBorders>
            <w:shd w:val="clear" w:color="auto" w:fill="auto"/>
          </w:tcPr>
          <w:p w14:paraId="78E11E7A"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1-5;</w:t>
            </w:r>
          </w:p>
          <w:p w14:paraId="6F5B1ABD"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VCR 2 mg i.v., dagar 6, 13, 20;</w:t>
            </w:r>
          </w:p>
          <w:p w14:paraId="151DBE92" w14:textId="77777777" w:rsidR="00620ABA" w:rsidRPr="000E7AE9" w:rsidRDefault="00B666BE"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D</w:t>
            </w:r>
            <w:r w:rsidR="00620ABA" w:rsidRPr="000E7AE9">
              <w:rPr>
                <w:rFonts w:ascii="Times New Roman" w:hAnsi="Times New Roman"/>
                <w:color w:val="000000"/>
                <w:sz w:val="22"/>
                <w:szCs w:val="22"/>
                <w:lang w:val="sv-SE"/>
              </w:rPr>
              <w:t>aunorubicin 45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 xml:space="preserve"> i.v., dagar 6-7, 13-14</w:t>
            </w:r>
          </w:p>
        </w:tc>
      </w:tr>
      <w:tr w:rsidR="00620ABA" w:rsidRPr="00644A2E" w14:paraId="341707D6" w14:textId="77777777" w:rsidTr="00C81D6E">
        <w:trPr>
          <w:cantSplit/>
        </w:trPr>
        <w:tc>
          <w:tcPr>
            <w:tcW w:w="2148" w:type="dxa"/>
            <w:tcBorders>
              <w:top w:val="single" w:sz="4" w:space="0" w:color="auto"/>
              <w:bottom w:val="single" w:sz="4" w:space="0" w:color="auto"/>
            </w:tcBorders>
            <w:shd w:val="clear" w:color="auto" w:fill="auto"/>
          </w:tcPr>
          <w:p w14:paraId="67566872"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Induktionsbehandling II</w:t>
            </w:r>
          </w:p>
        </w:tc>
        <w:tc>
          <w:tcPr>
            <w:tcW w:w="6732" w:type="dxa"/>
            <w:gridSpan w:val="4"/>
            <w:tcBorders>
              <w:top w:val="single" w:sz="4" w:space="0" w:color="auto"/>
              <w:bottom w:val="single" w:sz="4" w:space="0" w:color="auto"/>
            </w:tcBorders>
            <w:shd w:val="clear" w:color="auto" w:fill="auto"/>
          </w:tcPr>
          <w:p w14:paraId="78F1D4C6"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1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26, 46;</w:t>
            </w:r>
          </w:p>
          <w:p w14:paraId="707C9754" w14:textId="77777777" w:rsidR="00B666BE"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75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28-31, 35-38, 42-45;</w:t>
            </w:r>
          </w:p>
          <w:p w14:paraId="76C664D4"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6-MP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26-46</w:t>
            </w:r>
          </w:p>
        </w:tc>
      </w:tr>
      <w:tr w:rsidR="00620ABA" w:rsidRPr="00644A2E" w14:paraId="56C21F9A" w14:textId="77777777" w:rsidTr="00C81D6E">
        <w:trPr>
          <w:cantSplit/>
        </w:trPr>
        <w:tc>
          <w:tcPr>
            <w:tcW w:w="2148" w:type="dxa"/>
            <w:tcBorders>
              <w:top w:val="single" w:sz="4" w:space="0" w:color="auto"/>
              <w:bottom w:val="single" w:sz="4" w:space="0" w:color="auto"/>
            </w:tcBorders>
            <w:shd w:val="clear" w:color="auto" w:fill="auto"/>
          </w:tcPr>
          <w:p w14:paraId="72946917" w14:textId="77777777" w:rsidR="00620ABA" w:rsidRPr="000E7AE9" w:rsidRDefault="00620ABA"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Konsoliderings</w:t>
            </w:r>
            <w:r w:rsidRPr="000E7AE9">
              <w:rPr>
                <w:rFonts w:ascii="Times New Roman" w:hAnsi="Times New Roman"/>
                <w:color w:val="000000"/>
                <w:sz w:val="22"/>
                <w:szCs w:val="22"/>
                <w:lang w:val="sv-SE"/>
              </w:rPr>
              <w:softHyphen/>
              <w:t xml:space="preserve">behandling </w:t>
            </w:r>
          </w:p>
        </w:tc>
        <w:tc>
          <w:tcPr>
            <w:tcW w:w="6732" w:type="dxa"/>
            <w:gridSpan w:val="4"/>
            <w:tcBorders>
              <w:top w:val="nil"/>
              <w:bottom w:val="single" w:sz="4" w:space="0" w:color="auto"/>
            </w:tcBorders>
            <w:shd w:val="clear" w:color="auto" w:fill="auto"/>
          </w:tcPr>
          <w:p w14:paraId="42909B14" w14:textId="77777777" w:rsidR="00B666BE" w:rsidRDefault="00620ABA"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1-5;</w:t>
            </w:r>
          </w:p>
          <w:p w14:paraId="409A34B1" w14:textId="77777777" w:rsidR="00B666BE" w:rsidRDefault="00B666BE"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V</w:t>
            </w:r>
            <w:r w:rsidR="00620ABA" w:rsidRPr="000E7AE9">
              <w:rPr>
                <w:rFonts w:ascii="Times New Roman" w:hAnsi="Times New Roman"/>
                <w:color w:val="000000"/>
                <w:sz w:val="22"/>
                <w:szCs w:val="22"/>
                <w:lang w:val="sv-SE"/>
              </w:rPr>
              <w:t>indesin 3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 xml:space="preserve"> i.v., dag 1;</w:t>
            </w:r>
          </w:p>
          <w:p w14:paraId="76E44FC0" w14:textId="77777777" w:rsidR="00B666BE" w:rsidRDefault="00620ABA"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1,5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(24 tim), dag 1;</w:t>
            </w:r>
          </w:p>
          <w:p w14:paraId="2FD476B5" w14:textId="77777777" w:rsidR="00B666BE" w:rsidRDefault="00B666BE"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E</w:t>
            </w:r>
            <w:r w:rsidR="00620ABA" w:rsidRPr="000E7AE9">
              <w:rPr>
                <w:rFonts w:ascii="Times New Roman" w:hAnsi="Times New Roman"/>
                <w:color w:val="000000"/>
                <w:sz w:val="22"/>
                <w:szCs w:val="22"/>
                <w:lang w:val="sv-SE"/>
              </w:rPr>
              <w:t>toposid 250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 xml:space="preserve"> i.v. (1 tim) dagar 4-5;</w:t>
            </w:r>
          </w:p>
          <w:p w14:paraId="04DABE45" w14:textId="77777777" w:rsidR="00620ABA" w:rsidRPr="000E7AE9" w:rsidRDefault="00620ABA"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2x 2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(3 tim, q 12 tim), dag 5</w:t>
            </w:r>
          </w:p>
        </w:tc>
      </w:tr>
      <w:tr w:rsidR="00620ABA" w:rsidRPr="000E7AE9" w14:paraId="58521545" w14:textId="77777777" w:rsidTr="00C81D6E">
        <w:trPr>
          <w:cantSplit/>
        </w:trPr>
        <w:tc>
          <w:tcPr>
            <w:tcW w:w="2148" w:type="dxa"/>
            <w:tcBorders>
              <w:top w:val="single" w:sz="4" w:space="0" w:color="auto"/>
              <w:bottom w:val="single" w:sz="4" w:space="0" w:color="auto"/>
            </w:tcBorders>
            <w:shd w:val="clear" w:color="auto" w:fill="auto"/>
          </w:tcPr>
          <w:p w14:paraId="70433C2C" w14:textId="77777777" w:rsidR="00620ABA" w:rsidRPr="000E7AE9" w:rsidRDefault="00620ABA" w:rsidP="00463647">
            <w:pPr>
              <w:pStyle w:val="Table"/>
              <w:keepLines w:val="0"/>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Studie AJP01</w:t>
            </w:r>
          </w:p>
        </w:tc>
        <w:tc>
          <w:tcPr>
            <w:tcW w:w="2652" w:type="dxa"/>
            <w:tcBorders>
              <w:top w:val="nil"/>
              <w:bottom w:val="single" w:sz="4" w:space="0" w:color="auto"/>
            </w:tcBorders>
            <w:shd w:val="clear" w:color="auto" w:fill="auto"/>
          </w:tcPr>
          <w:p w14:paraId="5E684D08"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080" w:type="dxa"/>
            <w:tcBorders>
              <w:top w:val="nil"/>
              <w:bottom w:val="single" w:sz="4" w:space="0" w:color="auto"/>
            </w:tcBorders>
          </w:tcPr>
          <w:p w14:paraId="62601F38"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380" w:type="dxa"/>
            <w:tcBorders>
              <w:top w:val="nil"/>
              <w:bottom w:val="single" w:sz="4" w:space="0" w:color="auto"/>
            </w:tcBorders>
          </w:tcPr>
          <w:p w14:paraId="1C9A9617"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620" w:type="dxa"/>
            <w:tcBorders>
              <w:top w:val="nil"/>
              <w:bottom w:val="single" w:sz="4" w:space="0" w:color="auto"/>
            </w:tcBorders>
          </w:tcPr>
          <w:p w14:paraId="717CB5A9"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r>
      <w:tr w:rsidR="00620ABA" w:rsidRPr="00F60A89" w14:paraId="734074BE" w14:textId="77777777" w:rsidTr="00C81D6E">
        <w:trPr>
          <w:cantSplit/>
        </w:trPr>
        <w:tc>
          <w:tcPr>
            <w:tcW w:w="2148" w:type="dxa"/>
            <w:tcBorders>
              <w:top w:val="nil"/>
              <w:bottom w:val="single" w:sz="4" w:space="0" w:color="auto"/>
            </w:tcBorders>
            <w:shd w:val="clear" w:color="auto" w:fill="auto"/>
          </w:tcPr>
          <w:p w14:paraId="6006E217" w14:textId="77777777" w:rsidR="00620ABA" w:rsidRPr="000E7AE9" w:rsidRDefault="00620ABA" w:rsidP="00463647">
            <w:pPr>
              <w:pStyle w:val="Table"/>
              <w:keepLines w:val="0"/>
              <w:widowControl w:val="0"/>
              <w:spacing w:before="0" w:after="0"/>
              <w:jc w:val="both"/>
              <w:rPr>
                <w:rFonts w:ascii="Times New Roman" w:hAnsi="Times New Roman"/>
                <w:color w:val="000000"/>
                <w:sz w:val="22"/>
                <w:szCs w:val="22"/>
                <w:lang w:val="sv-SE"/>
              </w:rPr>
            </w:pPr>
            <w:r w:rsidRPr="000E7AE9">
              <w:rPr>
                <w:rFonts w:ascii="Times New Roman" w:hAnsi="Times New Roman"/>
                <w:color w:val="000000"/>
                <w:sz w:val="22"/>
                <w:szCs w:val="22"/>
                <w:lang w:val="sv-SE"/>
              </w:rPr>
              <w:t>Induktionsbehandling</w:t>
            </w:r>
          </w:p>
        </w:tc>
        <w:tc>
          <w:tcPr>
            <w:tcW w:w="6732" w:type="dxa"/>
            <w:gridSpan w:val="4"/>
            <w:tcBorders>
              <w:top w:val="nil"/>
              <w:bottom w:val="single" w:sz="4" w:space="0" w:color="auto"/>
            </w:tcBorders>
            <w:shd w:val="clear" w:color="auto" w:fill="auto"/>
          </w:tcPr>
          <w:p w14:paraId="031C6706" w14:textId="77777777" w:rsidR="00525671"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1,2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(3 tim), dag 1;</w:t>
            </w:r>
          </w:p>
          <w:p w14:paraId="73A8FC69" w14:textId="77777777" w:rsidR="00525671" w:rsidRDefault="00525671"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D</w:t>
            </w:r>
            <w:r w:rsidR="00620ABA" w:rsidRPr="000E7AE9">
              <w:rPr>
                <w:rFonts w:ascii="Times New Roman" w:hAnsi="Times New Roman"/>
                <w:color w:val="000000"/>
                <w:sz w:val="22"/>
                <w:szCs w:val="22"/>
                <w:lang w:val="sv-SE"/>
              </w:rPr>
              <w:t>aunorubicin 60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 xml:space="preserve"> i.v. (1 tim), dagar 1-3;</w:t>
            </w:r>
          </w:p>
          <w:p w14:paraId="34E840EF" w14:textId="77777777" w:rsidR="00525671" w:rsidRDefault="00525671"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V</w:t>
            </w:r>
            <w:r w:rsidR="00620ABA" w:rsidRPr="000E7AE9">
              <w:rPr>
                <w:rFonts w:ascii="Times New Roman" w:hAnsi="Times New Roman"/>
                <w:color w:val="000000"/>
                <w:sz w:val="22"/>
                <w:szCs w:val="22"/>
                <w:lang w:val="sv-SE"/>
              </w:rPr>
              <w:t>inkristin 1,3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 xml:space="preserve"> i.v., dagar 1, 8, 15, 21;</w:t>
            </w:r>
          </w:p>
          <w:p w14:paraId="4D0FD3E2" w14:textId="77777777" w:rsidR="00620ABA" w:rsidRPr="000E7AE9" w:rsidRDefault="00525671"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P</w:t>
            </w:r>
            <w:r w:rsidR="00620ABA" w:rsidRPr="000E7AE9">
              <w:rPr>
                <w:rFonts w:ascii="Times New Roman" w:hAnsi="Times New Roman"/>
                <w:color w:val="000000"/>
                <w:sz w:val="22"/>
                <w:szCs w:val="22"/>
                <w:lang w:val="sv-SE"/>
              </w:rPr>
              <w:t>rednisolon 60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/dag oral</w:t>
            </w:r>
          </w:p>
        </w:tc>
      </w:tr>
      <w:tr w:rsidR="00620ABA" w:rsidRPr="00644A2E" w14:paraId="2D00692F" w14:textId="77777777" w:rsidTr="00C81D6E">
        <w:trPr>
          <w:cantSplit/>
        </w:trPr>
        <w:tc>
          <w:tcPr>
            <w:tcW w:w="2148" w:type="dxa"/>
            <w:tcBorders>
              <w:top w:val="single" w:sz="4" w:space="0" w:color="auto"/>
              <w:bottom w:val="single" w:sz="4" w:space="0" w:color="auto"/>
            </w:tcBorders>
            <w:shd w:val="clear" w:color="auto" w:fill="auto"/>
          </w:tcPr>
          <w:p w14:paraId="0ACB8F98" w14:textId="77777777" w:rsidR="00620ABA" w:rsidRPr="000E7AE9" w:rsidRDefault="00620ABA" w:rsidP="00463647">
            <w:pPr>
              <w:pStyle w:val="Table"/>
              <w:keepLines w:val="0"/>
              <w:widowControl w:val="0"/>
              <w:tabs>
                <w:tab w:val="left" w:pos="0"/>
              </w:tabs>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Konsoliderings</w:t>
            </w:r>
            <w:r w:rsidRPr="000E7AE9">
              <w:rPr>
                <w:rFonts w:ascii="Times New Roman" w:hAnsi="Times New Roman"/>
                <w:color w:val="000000"/>
                <w:sz w:val="22"/>
                <w:szCs w:val="22"/>
                <w:lang w:val="sv-SE"/>
              </w:rPr>
              <w:softHyphen/>
              <w:t>behandling</w:t>
            </w:r>
          </w:p>
        </w:tc>
        <w:tc>
          <w:tcPr>
            <w:tcW w:w="6732" w:type="dxa"/>
            <w:gridSpan w:val="4"/>
            <w:tcBorders>
              <w:top w:val="single" w:sz="4" w:space="0" w:color="auto"/>
              <w:bottom w:val="single" w:sz="4" w:space="0" w:color="auto"/>
            </w:tcBorders>
            <w:shd w:val="clear" w:color="auto" w:fill="auto"/>
          </w:tcPr>
          <w:p w14:paraId="3E50635B"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Alternerande kemoterapibehandling: högdos kemoterapi med MTX 1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(24 tim), dag 1, och Ara-C 2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(q 12 tim), dagar 2-3, i 4 cykler</w:t>
            </w:r>
          </w:p>
        </w:tc>
      </w:tr>
      <w:tr w:rsidR="00620ABA" w:rsidRPr="00F60A89" w14:paraId="583C29B4" w14:textId="77777777" w:rsidTr="00C81D6E">
        <w:trPr>
          <w:cantSplit/>
        </w:trPr>
        <w:tc>
          <w:tcPr>
            <w:tcW w:w="2148" w:type="dxa"/>
            <w:tcBorders>
              <w:top w:val="single" w:sz="4" w:space="0" w:color="auto"/>
              <w:bottom w:val="single" w:sz="4" w:space="0" w:color="auto"/>
            </w:tcBorders>
            <w:shd w:val="clear" w:color="auto" w:fill="auto"/>
          </w:tcPr>
          <w:p w14:paraId="03D002B9" w14:textId="77777777" w:rsidR="00620ABA" w:rsidRPr="000E7AE9" w:rsidRDefault="00620ABA" w:rsidP="00463647">
            <w:pPr>
              <w:pStyle w:val="Table"/>
              <w:keepNext w:val="0"/>
              <w:keepLines w:val="0"/>
              <w:widowControl w:val="0"/>
              <w:tabs>
                <w:tab w:val="left" w:pos="0"/>
              </w:tabs>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Underhålls</w:t>
            </w:r>
            <w:r w:rsidRPr="000E7AE9">
              <w:rPr>
                <w:rFonts w:ascii="Times New Roman" w:hAnsi="Times New Roman"/>
                <w:color w:val="000000"/>
                <w:sz w:val="22"/>
                <w:szCs w:val="22"/>
                <w:lang w:val="sv-SE"/>
              </w:rPr>
              <w:softHyphen/>
              <w:t>behandling</w:t>
            </w:r>
          </w:p>
        </w:tc>
        <w:tc>
          <w:tcPr>
            <w:tcW w:w="6732" w:type="dxa"/>
            <w:gridSpan w:val="4"/>
            <w:tcBorders>
              <w:top w:val="single" w:sz="4" w:space="0" w:color="auto"/>
              <w:bottom w:val="single" w:sz="4" w:space="0" w:color="auto"/>
            </w:tcBorders>
            <w:shd w:val="clear" w:color="auto" w:fill="auto"/>
          </w:tcPr>
          <w:p w14:paraId="5E053418" w14:textId="77777777" w:rsidR="00525671" w:rsidRDefault="00620ABA"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VCR 1,3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 1;</w:t>
            </w:r>
          </w:p>
          <w:p w14:paraId="08AC621A" w14:textId="77777777" w:rsidR="00620ABA" w:rsidRPr="000E7AE9" w:rsidRDefault="00525671"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P</w:t>
            </w:r>
            <w:r w:rsidR="00620ABA" w:rsidRPr="000E7AE9">
              <w:rPr>
                <w:rFonts w:ascii="Times New Roman" w:hAnsi="Times New Roman"/>
                <w:color w:val="000000"/>
                <w:sz w:val="22"/>
                <w:szCs w:val="22"/>
                <w:lang w:val="sv-SE"/>
              </w:rPr>
              <w:t>rednisolon 60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 xml:space="preserve"> oral, dagar 1-5</w:t>
            </w:r>
          </w:p>
        </w:tc>
      </w:tr>
      <w:tr w:rsidR="00620ABA" w:rsidRPr="000E7AE9" w14:paraId="01C24400" w14:textId="77777777" w:rsidTr="00C81D6E">
        <w:trPr>
          <w:cantSplit/>
        </w:trPr>
        <w:tc>
          <w:tcPr>
            <w:tcW w:w="4800" w:type="dxa"/>
            <w:gridSpan w:val="2"/>
            <w:tcBorders>
              <w:top w:val="single" w:sz="4" w:space="0" w:color="auto"/>
              <w:bottom w:val="single" w:sz="4" w:space="0" w:color="auto"/>
            </w:tcBorders>
            <w:shd w:val="clear" w:color="auto" w:fill="auto"/>
          </w:tcPr>
          <w:p w14:paraId="1718C951"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b/>
                <w:color w:val="000000"/>
                <w:sz w:val="22"/>
                <w:szCs w:val="22"/>
                <w:lang w:val="sv-SE"/>
              </w:rPr>
              <w:lastRenderedPageBreak/>
              <w:t>Studie AUS01</w:t>
            </w:r>
          </w:p>
        </w:tc>
        <w:tc>
          <w:tcPr>
            <w:tcW w:w="1080" w:type="dxa"/>
            <w:tcBorders>
              <w:top w:val="single" w:sz="4" w:space="0" w:color="auto"/>
              <w:bottom w:val="single" w:sz="4" w:space="0" w:color="auto"/>
            </w:tcBorders>
          </w:tcPr>
          <w:p w14:paraId="2CEFE39F"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380" w:type="dxa"/>
            <w:tcBorders>
              <w:top w:val="single" w:sz="4" w:space="0" w:color="auto"/>
              <w:bottom w:val="single" w:sz="4" w:space="0" w:color="auto"/>
            </w:tcBorders>
          </w:tcPr>
          <w:p w14:paraId="09FC1146"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c>
          <w:tcPr>
            <w:tcW w:w="1620" w:type="dxa"/>
            <w:tcBorders>
              <w:top w:val="single" w:sz="4" w:space="0" w:color="auto"/>
              <w:bottom w:val="single" w:sz="4" w:space="0" w:color="auto"/>
            </w:tcBorders>
          </w:tcPr>
          <w:p w14:paraId="262F5AFC"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p>
        </w:tc>
      </w:tr>
      <w:tr w:rsidR="00620ABA" w:rsidRPr="00644A2E" w14:paraId="0A8F6A51" w14:textId="77777777" w:rsidTr="00C81D6E">
        <w:trPr>
          <w:cantSplit/>
        </w:trPr>
        <w:tc>
          <w:tcPr>
            <w:tcW w:w="2148" w:type="dxa"/>
            <w:tcBorders>
              <w:top w:val="single" w:sz="4" w:space="0" w:color="auto"/>
              <w:bottom w:val="single" w:sz="4" w:space="0" w:color="auto"/>
            </w:tcBorders>
            <w:shd w:val="clear" w:color="auto" w:fill="auto"/>
          </w:tcPr>
          <w:p w14:paraId="14B76E4C"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Induktions-konsoliderings</w:t>
            </w:r>
            <w:r w:rsidRPr="000E7AE9">
              <w:rPr>
                <w:rFonts w:ascii="Times New Roman" w:hAnsi="Times New Roman"/>
                <w:color w:val="000000"/>
                <w:sz w:val="22"/>
                <w:szCs w:val="22"/>
                <w:lang w:val="sv-SE"/>
              </w:rPr>
              <w:softHyphen/>
              <w:t>behandling</w:t>
            </w:r>
          </w:p>
        </w:tc>
        <w:tc>
          <w:tcPr>
            <w:tcW w:w="6732" w:type="dxa"/>
            <w:gridSpan w:val="4"/>
            <w:tcBorders>
              <w:top w:val="single" w:sz="4" w:space="0" w:color="auto"/>
              <w:bottom w:val="single" w:sz="4" w:space="0" w:color="auto"/>
            </w:tcBorders>
            <w:shd w:val="clear" w:color="auto" w:fill="auto"/>
          </w:tcPr>
          <w:p w14:paraId="5C0F1939" w14:textId="77777777" w:rsidR="00525671"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Hyper-CVAD-kur: CP 300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(3 tim, q 12 tim), dagar 1-3; </w:t>
            </w:r>
            <w:r w:rsidR="00525671">
              <w:rPr>
                <w:rFonts w:ascii="Times New Roman" w:hAnsi="Times New Roman"/>
                <w:color w:val="000000"/>
                <w:sz w:val="22"/>
                <w:szCs w:val="22"/>
                <w:lang w:val="sv-SE"/>
              </w:rPr>
              <w:t>V</w:t>
            </w:r>
            <w:r w:rsidRPr="000E7AE9">
              <w:rPr>
                <w:rFonts w:ascii="Times New Roman" w:hAnsi="Times New Roman"/>
                <w:color w:val="000000"/>
                <w:sz w:val="22"/>
                <w:szCs w:val="22"/>
                <w:lang w:val="sv-SE"/>
              </w:rPr>
              <w:t>inkristin 2 mg i.v., dagar 4, 11;</w:t>
            </w:r>
          </w:p>
          <w:p w14:paraId="4A4798B7" w14:textId="77777777" w:rsidR="00525671" w:rsidRDefault="00525671"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D</w:t>
            </w:r>
            <w:r w:rsidR="00620ABA" w:rsidRPr="000E7AE9">
              <w:rPr>
                <w:rFonts w:ascii="Times New Roman" w:hAnsi="Times New Roman"/>
                <w:color w:val="000000"/>
                <w:sz w:val="22"/>
                <w:szCs w:val="22"/>
                <w:lang w:val="sv-SE"/>
              </w:rPr>
              <w:t>oxorubicin 50 mg/m</w:t>
            </w:r>
            <w:r w:rsidR="00620ABA" w:rsidRPr="000E7AE9">
              <w:rPr>
                <w:rFonts w:ascii="Times New Roman" w:hAnsi="Times New Roman"/>
                <w:color w:val="000000"/>
                <w:sz w:val="22"/>
                <w:szCs w:val="22"/>
                <w:vertAlign w:val="superscript"/>
                <w:lang w:val="sv-SE"/>
              </w:rPr>
              <w:t>2</w:t>
            </w:r>
            <w:r w:rsidR="00620ABA" w:rsidRPr="000E7AE9">
              <w:rPr>
                <w:rFonts w:ascii="Times New Roman" w:hAnsi="Times New Roman"/>
                <w:color w:val="000000"/>
                <w:sz w:val="22"/>
                <w:szCs w:val="22"/>
                <w:lang w:val="sv-SE"/>
              </w:rPr>
              <w:t xml:space="preserve"> i.v. (24 tim), dag 4;</w:t>
            </w:r>
          </w:p>
          <w:p w14:paraId="37BA8BBC"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40 mg/dag på dagar 1-4 and 11-14, omväxlande med MTX 1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(24 tim), dag 1, Ara-C 1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 tim, q 12 tim), dagar 2-3 (totalt 8 kurer)</w:t>
            </w:r>
          </w:p>
        </w:tc>
      </w:tr>
      <w:tr w:rsidR="00620ABA" w:rsidRPr="00F60A89" w14:paraId="3703E72C" w14:textId="77777777" w:rsidTr="00C81D6E">
        <w:trPr>
          <w:cantSplit/>
        </w:trPr>
        <w:tc>
          <w:tcPr>
            <w:tcW w:w="2148" w:type="dxa"/>
            <w:tcBorders>
              <w:top w:val="single" w:sz="4" w:space="0" w:color="auto"/>
              <w:bottom w:val="single" w:sz="4" w:space="0" w:color="auto"/>
            </w:tcBorders>
            <w:shd w:val="clear" w:color="auto" w:fill="auto"/>
          </w:tcPr>
          <w:p w14:paraId="3AEE4FB0"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Underhålls</w:t>
            </w:r>
            <w:r w:rsidRPr="000E7AE9">
              <w:rPr>
                <w:rFonts w:ascii="Times New Roman" w:hAnsi="Times New Roman"/>
                <w:color w:val="000000"/>
                <w:sz w:val="22"/>
                <w:szCs w:val="22"/>
                <w:lang w:val="sv-SE"/>
              </w:rPr>
              <w:softHyphen/>
              <w:t>behandling</w:t>
            </w:r>
          </w:p>
        </w:tc>
        <w:tc>
          <w:tcPr>
            <w:tcW w:w="6732" w:type="dxa"/>
            <w:gridSpan w:val="4"/>
            <w:tcBorders>
              <w:top w:val="single" w:sz="4" w:space="0" w:color="auto"/>
              <w:bottom w:val="single" w:sz="4" w:space="0" w:color="auto"/>
            </w:tcBorders>
            <w:shd w:val="clear" w:color="auto" w:fill="auto"/>
          </w:tcPr>
          <w:p w14:paraId="6373D77F" w14:textId="77777777" w:rsidR="00525671"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VCR 2 mg i.v. månatligen i 13 månader;</w:t>
            </w:r>
          </w:p>
          <w:p w14:paraId="6E1F04B1" w14:textId="77777777" w:rsidR="00620ABA" w:rsidRPr="000E7AE9" w:rsidRDefault="00525671"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P</w:t>
            </w:r>
            <w:r w:rsidR="00620ABA" w:rsidRPr="000E7AE9">
              <w:rPr>
                <w:rFonts w:ascii="Times New Roman" w:hAnsi="Times New Roman"/>
                <w:color w:val="000000"/>
                <w:sz w:val="22"/>
                <w:szCs w:val="22"/>
                <w:lang w:val="sv-SE"/>
              </w:rPr>
              <w:t>rednisolon 200 mg oral, 5 dagar per månad i 13 månader</w:t>
            </w:r>
          </w:p>
        </w:tc>
      </w:tr>
      <w:tr w:rsidR="00620ABA" w:rsidRPr="00F60A89" w14:paraId="4030A13D" w14:textId="77777777" w:rsidTr="00C81D6E">
        <w:trPr>
          <w:cantSplit/>
        </w:trPr>
        <w:tc>
          <w:tcPr>
            <w:tcW w:w="8880" w:type="dxa"/>
            <w:gridSpan w:val="5"/>
            <w:tcBorders>
              <w:top w:val="single" w:sz="4" w:space="0" w:color="auto"/>
              <w:bottom w:val="single" w:sz="4" w:space="0" w:color="auto"/>
            </w:tcBorders>
            <w:shd w:val="clear" w:color="auto" w:fill="auto"/>
          </w:tcPr>
          <w:p w14:paraId="2BC859FA"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Samtliga behandlingskurer inkluderar administrering av steroider för CNS-profylax.</w:t>
            </w:r>
          </w:p>
        </w:tc>
      </w:tr>
      <w:tr w:rsidR="00620ABA" w:rsidRPr="00F60A89" w14:paraId="2230FC05" w14:textId="77777777" w:rsidTr="00C81D6E">
        <w:trPr>
          <w:cantSplit/>
        </w:trPr>
        <w:tc>
          <w:tcPr>
            <w:tcW w:w="8880" w:type="dxa"/>
            <w:gridSpan w:val="5"/>
            <w:tcBorders>
              <w:top w:val="single" w:sz="4" w:space="0" w:color="auto"/>
              <w:bottom w:val="single" w:sz="4" w:space="0" w:color="auto"/>
            </w:tcBorders>
            <w:shd w:val="clear" w:color="auto" w:fill="auto"/>
          </w:tcPr>
          <w:p w14:paraId="24A67DB3" w14:textId="77777777" w:rsidR="00620ABA" w:rsidRPr="000E7AE9" w:rsidRDefault="00620ABA"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cytosinarabinosid; CP: cyklofosfamid; DEX: dexametason; MTX: metotrexat; 6-MP: 6-merkaptopurin; VM26: teniposid; VCR: vinkristin; IDA: idarubicin; i.v.: intravenös</w:t>
            </w:r>
          </w:p>
        </w:tc>
      </w:tr>
    </w:tbl>
    <w:p w14:paraId="4C4103F0" w14:textId="77777777" w:rsidR="00620ABA" w:rsidRDefault="00620ABA" w:rsidP="00463647">
      <w:pPr>
        <w:pStyle w:val="EndnoteText"/>
        <w:widowControl w:val="0"/>
        <w:rPr>
          <w:color w:val="000000"/>
          <w:szCs w:val="22"/>
          <w:lang w:val="sv-SE"/>
        </w:rPr>
      </w:pPr>
    </w:p>
    <w:p w14:paraId="7540E9E6" w14:textId="77777777" w:rsidR="00663AC3" w:rsidRPr="009C5490" w:rsidRDefault="00663AC3" w:rsidP="00463647">
      <w:pPr>
        <w:pStyle w:val="EndnoteText"/>
        <w:widowControl w:val="0"/>
        <w:rPr>
          <w:color w:val="000000"/>
          <w:lang w:val="sv-SE"/>
        </w:rPr>
      </w:pPr>
      <w:r w:rsidRPr="009C3437">
        <w:rPr>
          <w:i/>
          <w:color w:val="000000"/>
          <w:lang w:val="sv-SE"/>
        </w:rPr>
        <w:t>Pediatriska patienters</w:t>
      </w:r>
      <w:r w:rsidRPr="009C3437">
        <w:rPr>
          <w:color w:val="000000"/>
          <w:lang w:val="sv-SE"/>
        </w:rPr>
        <w:t>:</w:t>
      </w:r>
      <w:r w:rsidRPr="009C3437">
        <w:rPr>
          <w:lang w:val="sv-SE"/>
        </w:rPr>
        <w:t xml:space="preserve"> I studie I2301</w:t>
      </w:r>
      <w:r w:rsidR="00B93F9B" w:rsidRPr="009C3437">
        <w:rPr>
          <w:color w:val="000000"/>
          <w:lang w:val="sv-SE"/>
        </w:rPr>
        <w:t xml:space="preserve"> inkluderades</w:t>
      </w:r>
      <w:r w:rsidRPr="009C3437">
        <w:rPr>
          <w:color w:val="000000"/>
          <w:lang w:val="sv-SE"/>
        </w:rPr>
        <w:t xml:space="preserve"> totalt 93 barn, ungdomar och unga patienter (från 1 till 22 års ålder) med Ph+ ALL </w:t>
      </w:r>
      <w:r w:rsidR="00B93F9B" w:rsidRPr="009C3437">
        <w:rPr>
          <w:color w:val="000000"/>
          <w:lang w:val="sv-SE"/>
        </w:rPr>
        <w:t xml:space="preserve">i en </w:t>
      </w:r>
      <w:r w:rsidR="00B93F9B" w:rsidRPr="009C3437">
        <w:rPr>
          <w:color w:val="000000"/>
          <w:szCs w:val="22"/>
          <w:lang w:val="sv-SE"/>
        </w:rPr>
        <w:t>öppen, multicenter, se</w:t>
      </w:r>
      <w:r w:rsidR="007A259C" w:rsidRPr="009C3437">
        <w:rPr>
          <w:color w:val="000000"/>
          <w:szCs w:val="22"/>
          <w:lang w:val="sv-SE"/>
        </w:rPr>
        <w:t>kventiell</w:t>
      </w:r>
      <w:r w:rsidR="00B93F9B" w:rsidRPr="009C3437">
        <w:rPr>
          <w:color w:val="000000"/>
          <w:szCs w:val="22"/>
          <w:lang w:val="sv-SE"/>
        </w:rPr>
        <w:t xml:space="preserve"> </w:t>
      </w:r>
      <w:r w:rsidR="007A259C" w:rsidRPr="009C3437">
        <w:rPr>
          <w:color w:val="000000"/>
          <w:szCs w:val="22"/>
          <w:lang w:val="sv-SE"/>
        </w:rPr>
        <w:t>k</w:t>
      </w:r>
      <w:r w:rsidR="00B93F9B" w:rsidRPr="009C3437">
        <w:rPr>
          <w:color w:val="000000"/>
          <w:szCs w:val="22"/>
          <w:lang w:val="sv-SE"/>
        </w:rPr>
        <w:t>ohort, icke randomiserad fas III-studie</w:t>
      </w:r>
      <w:r w:rsidRPr="009C5490">
        <w:rPr>
          <w:color w:val="000000"/>
          <w:lang w:val="sv-SE"/>
        </w:rPr>
        <w:t xml:space="preserve">, </w:t>
      </w:r>
      <w:r w:rsidR="00B93F9B" w:rsidRPr="009C5490">
        <w:rPr>
          <w:color w:val="000000"/>
          <w:lang w:val="sv-SE"/>
        </w:rPr>
        <w:t>och behandlades med Glivec (340 mg/m</w:t>
      </w:r>
      <w:r w:rsidR="00B93F9B" w:rsidRPr="00065E92">
        <w:rPr>
          <w:color w:val="000000"/>
          <w:vertAlign w:val="superscript"/>
          <w:lang w:val="sv-SE"/>
        </w:rPr>
        <w:t>2</w:t>
      </w:r>
      <w:r w:rsidR="00B93F9B" w:rsidRPr="00065E92">
        <w:rPr>
          <w:color w:val="000000"/>
          <w:lang w:val="sv-SE"/>
        </w:rPr>
        <w:t>/dag) i kombination med intensiv kemoterapi</w:t>
      </w:r>
      <w:r w:rsidR="00B93F9B" w:rsidRPr="005C1371">
        <w:rPr>
          <w:color w:val="000000"/>
          <w:lang w:val="sv-SE"/>
        </w:rPr>
        <w:t xml:space="preserve"> efter induktionsbehandling</w:t>
      </w:r>
      <w:r w:rsidRPr="005C1371">
        <w:rPr>
          <w:color w:val="000000"/>
          <w:lang w:val="sv-SE"/>
        </w:rPr>
        <w:t xml:space="preserve">. </w:t>
      </w:r>
      <w:r w:rsidR="00B93F9B" w:rsidRPr="005C1371">
        <w:rPr>
          <w:color w:val="000000"/>
          <w:lang w:val="sv-SE"/>
        </w:rPr>
        <w:t>Glivec administrerades</w:t>
      </w:r>
      <w:r w:rsidRPr="00B52C37">
        <w:rPr>
          <w:color w:val="000000"/>
          <w:lang w:val="sv-SE"/>
        </w:rPr>
        <w:t xml:space="preserve"> </w:t>
      </w:r>
      <w:r w:rsidRPr="009C3437">
        <w:rPr>
          <w:color w:val="000000"/>
          <w:lang w:val="sv-SE"/>
        </w:rPr>
        <w:t xml:space="preserve">intermittent i </w:t>
      </w:r>
      <w:r w:rsidR="006B6250" w:rsidRPr="009C3437">
        <w:rPr>
          <w:color w:val="000000"/>
          <w:lang w:val="sv-SE"/>
        </w:rPr>
        <w:t>k</w:t>
      </w:r>
      <w:r w:rsidRPr="009C3437">
        <w:rPr>
          <w:color w:val="000000"/>
          <w:lang w:val="sv-SE"/>
        </w:rPr>
        <w:t>ohort 1</w:t>
      </w:r>
      <w:r w:rsidRPr="009C3437">
        <w:rPr>
          <w:color w:val="000000"/>
          <w:lang w:val="sv-SE"/>
        </w:rPr>
        <w:noBreakHyphen/>
        <w:t xml:space="preserve">5, </w:t>
      </w:r>
      <w:r w:rsidR="00B93F9B" w:rsidRPr="009C3437">
        <w:rPr>
          <w:color w:val="000000"/>
          <w:lang w:val="sv-SE"/>
        </w:rPr>
        <w:t xml:space="preserve">med en </w:t>
      </w:r>
      <w:r w:rsidR="004F6160" w:rsidRPr="009C3437">
        <w:rPr>
          <w:color w:val="000000"/>
          <w:lang w:val="sv-SE"/>
        </w:rPr>
        <w:t xml:space="preserve">ökande behandlingslängd och en tidigare start med Glivec från </w:t>
      </w:r>
      <w:r w:rsidR="006B6250" w:rsidRPr="009C3437">
        <w:rPr>
          <w:color w:val="000000"/>
          <w:lang w:val="sv-SE"/>
        </w:rPr>
        <w:t>k</w:t>
      </w:r>
      <w:r w:rsidR="004F6160" w:rsidRPr="009C3437">
        <w:rPr>
          <w:color w:val="000000"/>
          <w:lang w:val="sv-SE"/>
        </w:rPr>
        <w:t xml:space="preserve">ohort till </w:t>
      </w:r>
      <w:r w:rsidR="006B6250" w:rsidRPr="009C3437">
        <w:rPr>
          <w:color w:val="000000"/>
          <w:lang w:val="sv-SE"/>
        </w:rPr>
        <w:t>k</w:t>
      </w:r>
      <w:r w:rsidR="004F6160" w:rsidRPr="009C3437">
        <w:rPr>
          <w:color w:val="000000"/>
          <w:lang w:val="sv-SE"/>
        </w:rPr>
        <w:t xml:space="preserve">ohort; </w:t>
      </w:r>
      <w:r w:rsidR="006B6250" w:rsidRPr="009C3437">
        <w:rPr>
          <w:color w:val="000000"/>
          <w:lang w:val="sv-SE"/>
        </w:rPr>
        <w:t>k</w:t>
      </w:r>
      <w:r w:rsidR="004F6160" w:rsidRPr="009C3437">
        <w:rPr>
          <w:color w:val="000000"/>
          <w:lang w:val="sv-SE"/>
        </w:rPr>
        <w:t xml:space="preserve">ohort 1 fick den lägsta intensiteten och </w:t>
      </w:r>
      <w:r w:rsidR="006B6250" w:rsidRPr="009C3437">
        <w:rPr>
          <w:color w:val="000000"/>
          <w:lang w:val="sv-SE"/>
        </w:rPr>
        <w:t>k</w:t>
      </w:r>
      <w:r w:rsidR="004F6160" w:rsidRPr="009C3437">
        <w:rPr>
          <w:color w:val="000000"/>
          <w:lang w:val="sv-SE"/>
        </w:rPr>
        <w:t>ohort 5 fick den högsta intensiteten av Glivec (längst behandlingslängd i dagar med en kontinuerlig daglig Glivec dosering under de första kemoterapi</w:t>
      </w:r>
      <w:r w:rsidR="00207017" w:rsidRPr="009C3437">
        <w:rPr>
          <w:color w:val="000000"/>
          <w:lang w:val="sv-SE"/>
        </w:rPr>
        <w:t>behandlingarna</w:t>
      </w:r>
      <w:r w:rsidR="004F6160" w:rsidRPr="009C3437">
        <w:rPr>
          <w:color w:val="000000"/>
          <w:lang w:val="sv-SE"/>
        </w:rPr>
        <w:t xml:space="preserve">). </w:t>
      </w:r>
      <w:r w:rsidR="004F6160" w:rsidRPr="009C5490">
        <w:rPr>
          <w:color w:val="000000"/>
          <w:lang w:val="sv-SE"/>
        </w:rPr>
        <w:t xml:space="preserve">En kontinuerlig daglig exponering av Glivec tidigt under </w:t>
      </w:r>
      <w:r w:rsidR="00207017" w:rsidRPr="00065E92">
        <w:rPr>
          <w:color w:val="000000"/>
          <w:lang w:val="sv-SE"/>
        </w:rPr>
        <w:t xml:space="preserve">behandlingen i kombination med kemoterapi i </w:t>
      </w:r>
      <w:r w:rsidR="006B6250" w:rsidRPr="009C3437">
        <w:rPr>
          <w:color w:val="000000"/>
          <w:lang w:val="sv-SE"/>
        </w:rPr>
        <w:t>k</w:t>
      </w:r>
      <w:r w:rsidR="00207017" w:rsidRPr="009C3437">
        <w:rPr>
          <w:color w:val="000000"/>
          <w:lang w:val="sv-SE"/>
        </w:rPr>
        <w:t>ohort 5 patienter (n=50) förbättrade den 4-årliga händelsefria överlevnaden (EFS) jämfört med historiska kontroller (n=120), som fick standard kemoterapi utan Glivec (69</w:t>
      </w:r>
      <w:r w:rsidR="00207017" w:rsidRPr="009C5490">
        <w:rPr>
          <w:color w:val="000000"/>
          <w:lang w:val="sv-SE"/>
        </w:rPr>
        <w:t>,6</w:t>
      </w:r>
      <w:r w:rsidR="00946267">
        <w:rPr>
          <w:color w:val="000000"/>
          <w:lang w:val="sv-SE"/>
        </w:rPr>
        <w:t> </w:t>
      </w:r>
      <w:r w:rsidR="00207017" w:rsidRPr="009C5490">
        <w:rPr>
          <w:color w:val="000000"/>
          <w:lang w:val="sv-SE"/>
        </w:rPr>
        <w:t>% mot 31,6</w:t>
      </w:r>
      <w:r w:rsidR="00946267">
        <w:rPr>
          <w:color w:val="000000"/>
          <w:lang w:val="sv-SE"/>
        </w:rPr>
        <w:t> </w:t>
      </w:r>
      <w:r w:rsidR="00207017" w:rsidRPr="009C5490">
        <w:rPr>
          <w:color w:val="000000"/>
          <w:lang w:val="sv-SE"/>
        </w:rPr>
        <w:t>% respektive). Den uppskattade 4-årliga</w:t>
      </w:r>
      <w:r w:rsidR="001D478B" w:rsidRPr="00065E92">
        <w:rPr>
          <w:color w:val="000000"/>
          <w:lang w:val="sv-SE"/>
        </w:rPr>
        <w:t xml:space="preserve"> totala överlevnanden </w:t>
      </w:r>
      <w:r w:rsidR="00207017" w:rsidRPr="00065E92">
        <w:rPr>
          <w:color w:val="000000"/>
          <w:lang w:val="sv-SE"/>
        </w:rPr>
        <w:t xml:space="preserve">i </w:t>
      </w:r>
      <w:r w:rsidR="006B6250" w:rsidRPr="009C3437">
        <w:rPr>
          <w:color w:val="000000"/>
          <w:lang w:val="sv-SE"/>
        </w:rPr>
        <w:t>k</w:t>
      </w:r>
      <w:r w:rsidR="00207017" w:rsidRPr="009C3437">
        <w:rPr>
          <w:color w:val="000000"/>
          <w:lang w:val="sv-SE"/>
        </w:rPr>
        <w:t>ohort 5-patienter var 83,6</w:t>
      </w:r>
      <w:r w:rsidR="00946267">
        <w:rPr>
          <w:color w:val="000000"/>
          <w:lang w:val="sv-SE"/>
        </w:rPr>
        <w:t> </w:t>
      </w:r>
      <w:r w:rsidR="00207017" w:rsidRPr="009C3437">
        <w:rPr>
          <w:color w:val="000000"/>
          <w:lang w:val="sv-SE"/>
        </w:rPr>
        <w:t>% jämfört med 44,8</w:t>
      </w:r>
      <w:r w:rsidR="00946267">
        <w:rPr>
          <w:color w:val="000000"/>
          <w:lang w:val="sv-SE"/>
        </w:rPr>
        <w:t> </w:t>
      </w:r>
      <w:r w:rsidR="00207017" w:rsidRPr="009C3437">
        <w:rPr>
          <w:color w:val="000000"/>
          <w:lang w:val="sv-SE"/>
        </w:rPr>
        <w:t>% i historiska kontroller. 20 av de 50 (40</w:t>
      </w:r>
      <w:r w:rsidR="00946267">
        <w:rPr>
          <w:color w:val="000000"/>
          <w:lang w:val="sv-SE"/>
        </w:rPr>
        <w:t> </w:t>
      </w:r>
      <w:r w:rsidR="00207017" w:rsidRPr="009C3437">
        <w:rPr>
          <w:color w:val="000000"/>
          <w:lang w:val="sv-SE"/>
        </w:rPr>
        <w:t xml:space="preserve">%) patienterna i </w:t>
      </w:r>
      <w:r w:rsidR="006B6250" w:rsidRPr="009C3437">
        <w:rPr>
          <w:color w:val="000000"/>
          <w:lang w:val="sv-SE"/>
        </w:rPr>
        <w:t>k</w:t>
      </w:r>
      <w:r w:rsidR="00207017" w:rsidRPr="009C3437">
        <w:rPr>
          <w:color w:val="000000"/>
          <w:lang w:val="sv-SE"/>
        </w:rPr>
        <w:t xml:space="preserve">ohort 5 fick </w:t>
      </w:r>
      <w:r w:rsidRPr="009C3437">
        <w:rPr>
          <w:color w:val="000000"/>
          <w:lang w:val="sv-SE"/>
        </w:rPr>
        <w:t>haematopo</w:t>
      </w:r>
      <w:r w:rsidR="001D478B" w:rsidRPr="009C3437">
        <w:rPr>
          <w:color w:val="000000"/>
          <w:lang w:val="sv-SE"/>
        </w:rPr>
        <w:t>etisk</w:t>
      </w:r>
      <w:r w:rsidRPr="009C3437">
        <w:rPr>
          <w:color w:val="000000"/>
          <w:lang w:val="sv-SE"/>
        </w:rPr>
        <w:t xml:space="preserve"> </w:t>
      </w:r>
      <w:r w:rsidR="00207017" w:rsidRPr="009C5490">
        <w:rPr>
          <w:color w:val="000000"/>
          <w:lang w:val="sv-SE"/>
        </w:rPr>
        <w:t>stamcellstransplantation</w:t>
      </w:r>
      <w:r w:rsidRPr="009C5490">
        <w:rPr>
          <w:color w:val="000000"/>
          <w:lang w:val="sv-SE"/>
        </w:rPr>
        <w:t>.</w:t>
      </w:r>
    </w:p>
    <w:p w14:paraId="565A02FB" w14:textId="77777777" w:rsidR="00663AC3" w:rsidRPr="00065E92" w:rsidRDefault="00663AC3" w:rsidP="00463647">
      <w:pPr>
        <w:pStyle w:val="EndnoteText"/>
        <w:widowControl w:val="0"/>
        <w:rPr>
          <w:color w:val="000000"/>
          <w:lang w:val="sv-SE"/>
        </w:rPr>
      </w:pPr>
    </w:p>
    <w:p w14:paraId="56313CB6" w14:textId="77777777" w:rsidR="00663AC3" w:rsidRPr="00FC458D" w:rsidRDefault="00663AC3" w:rsidP="00463647">
      <w:pPr>
        <w:pStyle w:val="EndnoteText"/>
        <w:keepNext/>
        <w:widowControl w:val="0"/>
        <w:rPr>
          <w:b/>
          <w:color w:val="000000"/>
          <w:lang w:val="sv-SE"/>
        </w:rPr>
      </w:pPr>
      <w:r w:rsidRPr="00065E92">
        <w:rPr>
          <w:b/>
          <w:color w:val="000000"/>
          <w:lang w:val="sv-SE"/>
        </w:rPr>
        <w:t>Tab</w:t>
      </w:r>
      <w:r w:rsidR="00FC458D" w:rsidRPr="005C1371">
        <w:rPr>
          <w:b/>
          <w:color w:val="000000"/>
          <w:lang w:val="sv-SE"/>
        </w:rPr>
        <w:t>ell</w:t>
      </w:r>
      <w:r w:rsidRPr="005C1371">
        <w:rPr>
          <w:b/>
          <w:color w:val="000000"/>
          <w:lang w:val="sv-SE"/>
        </w:rPr>
        <w:t> </w:t>
      </w:r>
      <w:r w:rsidR="007F2DDD">
        <w:rPr>
          <w:b/>
          <w:color w:val="000000"/>
          <w:lang w:val="sv-SE"/>
        </w:rPr>
        <w:t>5</w:t>
      </w:r>
      <w:r w:rsidRPr="005C1371">
        <w:rPr>
          <w:b/>
          <w:color w:val="000000"/>
          <w:lang w:val="sv-SE"/>
        </w:rPr>
        <w:tab/>
      </w:r>
      <w:r w:rsidR="00576A43" w:rsidRPr="005C1371">
        <w:rPr>
          <w:b/>
          <w:bCs/>
          <w:color w:val="000000"/>
          <w:szCs w:val="22"/>
          <w:lang w:val="sv-SE"/>
        </w:rPr>
        <w:t>Kem</w:t>
      </w:r>
      <w:r w:rsidR="00576A43" w:rsidRPr="005C1371">
        <w:rPr>
          <w:b/>
          <w:color w:val="000000"/>
          <w:szCs w:val="22"/>
          <w:lang w:val="sv-SE"/>
        </w:rPr>
        <w:t>oterapi-behandling</w:t>
      </w:r>
      <w:r w:rsidR="00576A43" w:rsidRPr="000E7AE9">
        <w:rPr>
          <w:b/>
          <w:color w:val="000000"/>
          <w:szCs w:val="22"/>
          <w:lang w:val="sv-SE"/>
        </w:rPr>
        <w:t xml:space="preserve"> i kombination med imatinib</w:t>
      </w:r>
      <w:r w:rsidR="00576A43">
        <w:rPr>
          <w:b/>
          <w:color w:val="000000"/>
          <w:szCs w:val="22"/>
          <w:lang w:val="sv-SE"/>
        </w:rPr>
        <w:t xml:space="preserve"> </w:t>
      </w:r>
      <w:r w:rsidR="00576A43">
        <w:rPr>
          <w:b/>
          <w:color w:val="000000"/>
          <w:lang w:val="sv-SE"/>
        </w:rPr>
        <w:t>i studie I2301</w:t>
      </w:r>
    </w:p>
    <w:p w14:paraId="39F2F0AD" w14:textId="77777777" w:rsidR="00663AC3" w:rsidRPr="00FC458D" w:rsidRDefault="00663AC3" w:rsidP="00463647">
      <w:pPr>
        <w:pStyle w:val="EndnoteText"/>
        <w:keepNext/>
        <w:widowControl w:val="0"/>
        <w:rPr>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6709"/>
      </w:tblGrid>
      <w:tr w:rsidR="00B6645D" w:rsidRPr="00644A2E" w14:paraId="08F16EC6" w14:textId="77777777" w:rsidTr="00C81D6E">
        <w:trPr>
          <w:cantSplit/>
        </w:trPr>
        <w:tc>
          <w:tcPr>
            <w:tcW w:w="2358" w:type="dxa"/>
            <w:shd w:val="clear" w:color="auto" w:fill="auto"/>
          </w:tcPr>
          <w:p w14:paraId="3807FF87" w14:textId="77777777" w:rsidR="00663AC3" w:rsidRPr="00240FD6" w:rsidRDefault="0044318F" w:rsidP="00463647">
            <w:pPr>
              <w:pStyle w:val="EndnoteText"/>
              <w:keepNext/>
              <w:widowControl w:val="0"/>
              <w:rPr>
                <w:color w:val="000000"/>
              </w:rPr>
            </w:pPr>
            <w:r>
              <w:rPr>
                <w:color w:val="000000"/>
              </w:rPr>
              <w:t xml:space="preserve">Konsolideringsblock 1 </w:t>
            </w:r>
            <w:r w:rsidR="00663AC3" w:rsidRPr="00240FD6">
              <w:rPr>
                <w:color w:val="000000"/>
              </w:rPr>
              <w:t>(3</w:t>
            </w:r>
            <w:r w:rsidR="00663AC3">
              <w:rPr>
                <w:color w:val="000000"/>
              </w:rPr>
              <w:t> </w:t>
            </w:r>
            <w:r>
              <w:rPr>
                <w:color w:val="000000"/>
              </w:rPr>
              <w:t>veckor</w:t>
            </w:r>
            <w:r w:rsidR="00663AC3" w:rsidRPr="00240FD6">
              <w:rPr>
                <w:color w:val="000000"/>
              </w:rPr>
              <w:t>)</w:t>
            </w:r>
          </w:p>
        </w:tc>
        <w:tc>
          <w:tcPr>
            <w:tcW w:w="6929" w:type="dxa"/>
            <w:shd w:val="clear" w:color="auto" w:fill="auto"/>
          </w:tcPr>
          <w:p w14:paraId="25E2C05A" w14:textId="77777777" w:rsidR="00663AC3" w:rsidRPr="009C3437" w:rsidRDefault="00663AC3" w:rsidP="00463647">
            <w:pPr>
              <w:pStyle w:val="EndnoteText"/>
              <w:keepNext/>
              <w:widowControl w:val="0"/>
              <w:rPr>
                <w:color w:val="000000"/>
                <w:lang w:val="sv-SE"/>
              </w:rPr>
            </w:pPr>
            <w:r w:rsidRPr="009C3437">
              <w:rPr>
                <w:color w:val="000000"/>
                <w:lang w:val="sv-SE"/>
              </w:rPr>
              <w:t>VP-16 (100 mg/m</w:t>
            </w:r>
            <w:r w:rsidRPr="009C3437">
              <w:rPr>
                <w:color w:val="000000"/>
                <w:vertAlign w:val="superscript"/>
                <w:lang w:val="sv-SE"/>
              </w:rPr>
              <w:t>2</w:t>
            </w:r>
            <w:r w:rsidR="0044318F" w:rsidRPr="009C3437">
              <w:rPr>
                <w:color w:val="000000"/>
                <w:lang w:val="sv-SE"/>
              </w:rPr>
              <w:t>/dag, IV): dagar</w:t>
            </w:r>
            <w:r w:rsidRPr="009C3437">
              <w:rPr>
                <w:color w:val="000000"/>
                <w:lang w:val="sv-SE"/>
              </w:rPr>
              <w:t> 1</w:t>
            </w:r>
            <w:r w:rsidRPr="009C3437">
              <w:rPr>
                <w:color w:val="000000"/>
                <w:lang w:val="sv-SE"/>
              </w:rPr>
              <w:noBreakHyphen/>
              <w:t>5</w:t>
            </w:r>
          </w:p>
          <w:p w14:paraId="06F9FC2A" w14:textId="77777777" w:rsidR="00663AC3" w:rsidRPr="005C1371" w:rsidRDefault="0044318F" w:rsidP="00463647">
            <w:pPr>
              <w:pStyle w:val="EndnoteText"/>
              <w:keepNext/>
              <w:widowControl w:val="0"/>
              <w:rPr>
                <w:color w:val="000000"/>
                <w:lang w:val="sv-SE"/>
              </w:rPr>
            </w:pPr>
            <w:r w:rsidRPr="009C5490">
              <w:rPr>
                <w:color w:val="000000"/>
                <w:lang w:val="sv-SE"/>
              </w:rPr>
              <w:t>Ifosfamid</w:t>
            </w:r>
            <w:r w:rsidR="00663AC3" w:rsidRPr="009C5490">
              <w:rPr>
                <w:color w:val="000000"/>
                <w:lang w:val="sv-SE"/>
              </w:rPr>
              <w:t xml:space="preserve"> (1.8 g/m</w:t>
            </w:r>
            <w:r w:rsidR="00663AC3" w:rsidRPr="009C5490">
              <w:rPr>
                <w:color w:val="000000"/>
                <w:vertAlign w:val="superscript"/>
                <w:lang w:val="sv-SE"/>
              </w:rPr>
              <w:t>2</w:t>
            </w:r>
            <w:r w:rsidRPr="00065E92">
              <w:rPr>
                <w:color w:val="000000"/>
                <w:lang w:val="sv-SE"/>
              </w:rPr>
              <w:t>/dag</w:t>
            </w:r>
            <w:r w:rsidRPr="005C1371">
              <w:rPr>
                <w:color w:val="000000"/>
                <w:lang w:val="sv-SE"/>
              </w:rPr>
              <w:t>, IV): dagar</w:t>
            </w:r>
            <w:r w:rsidR="00663AC3" w:rsidRPr="005C1371">
              <w:rPr>
                <w:color w:val="000000"/>
                <w:lang w:val="sv-SE"/>
              </w:rPr>
              <w:t> 1</w:t>
            </w:r>
            <w:r w:rsidR="00663AC3" w:rsidRPr="005C1371">
              <w:rPr>
                <w:color w:val="000000"/>
                <w:lang w:val="sv-SE"/>
              </w:rPr>
              <w:noBreakHyphen/>
              <w:t>5</w:t>
            </w:r>
          </w:p>
          <w:p w14:paraId="3F4B84F7" w14:textId="77777777" w:rsidR="00663AC3" w:rsidRPr="005C1371" w:rsidRDefault="00663AC3" w:rsidP="00463647">
            <w:pPr>
              <w:pStyle w:val="EndnoteText"/>
              <w:keepNext/>
              <w:widowControl w:val="0"/>
              <w:rPr>
                <w:color w:val="000000"/>
                <w:lang w:val="sv-SE"/>
              </w:rPr>
            </w:pPr>
            <w:r w:rsidRPr="005C1371">
              <w:rPr>
                <w:color w:val="000000"/>
                <w:lang w:val="sv-SE"/>
              </w:rPr>
              <w:t>MESNA (360 mg/m</w:t>
            </w:r>
            <w:r w:rsidRPr="005C1371">
              <w:rPr>
                <w:color w:val="000000"/>
                <w:vertAlign w:val="superscript"/>
                <w:lang w:val="sv-SE"/>
              </w:rPr>
              <w:t>2</w:t>
            </w:r>
            <w:r w:rsidRPr="005C1371">
              <w:rPr>
                <w:color w:val="000000"/>
                <w:lang w:val="sv-SE"/>
              </w:rPr>
              <w:t>/dos q3</w:t>
            </w:r>
            <w:r w:rsidR="0044318F" w:rsidRPr="005C1371">
              <w:rPr>
                <w:color w:val="000000"/>
                <w:lang w:val="sv-SE"/>
              </w:rPr>
              <w:t>tim</w:t>
            </w:r>
            <w:r w:rsidRPr="005C1371">
              <w:rPr>
                <w:color w:val="000000"/>
                <w:lang w:val="sv-SE"/>
              </w:rPr>
              <w:t>, x 8 dose</w:t>
            </w:r>
            <w:r w:rsidR="0044318F" w:rsidRPr="005C1371">
              <w:rPr>
                <w:color w:val="000000"/>
                <w:lang w:val="sv-SE"/>
              </w:rPr>
              <w:t>r</w:t>
            </w:r>
            <w:r w:rsidRPr="005C1371">
              <w:rPr>
                <w:color w:val="000000"/>
                <w:lang w:val="sv-SE"/>
              </w:rPr>
              <w:t>/da</w:t>
            </w:r>
            <w:r w:rsidR="0044318F" w:rsidRPr="005C1371">
              <w:rPr>
                <w:color w:val="000000"/>
                <w:lang w:val="sv-SE"/>
              </w:rPr>
              <w:t>g</w:t>
            </w:r>
            <w:r w:rsidRPr="005C1371">
              <w:rPr>
                <w:color w:val="000000"/>
                <w:lang w:val="sv-SE"/>
              </w:rPr>
              <w:t>, IV): da</w:t>
            </w:r>
            <w:r w:rsidR="0044318F" w:rsidRPr="005C1371">
              <w:rPr>
                <w:color w:val="000000"/>
                <w:lang w:val="sv-SE"/>
              </w:rPr>
              <w:t>gar</w:t>
            </w:r>
            <w:r w:rsidRPr="005C1371">
              <w:rPr>
                <w:color w:val="000000"/>
                <w:lang w:val="sv-SE"/>
              </w:rPr>
              <w:t> 1</w:t>
            </w:r>
            <w:r w:rsidRPr="005C1371">
              <w:rPr>
                <w:color w:val="000000"/>
                <w:lang w:val="sv-SE"/>
              </w:rPr>
              <w:noBreakHyphen/>
              <w:t>5</w:t>
            </w:r>
          </w:p>
          <w:p w14:paraId="4F38C9ED" w14:textId="77777777" w:rsidR="00663AC3" w:rsidRPr="009C3437" w:rsidRDefault="0044318F" w:rsidP="00463647">
            <w:pPr>
              <w:pStyle w:val="EndnoteText"/>
              <w:keepNext/>
              <w:widowControl w:val="0"/>
              <w:rPr>
                <w:color w:val="000000"/>
                <w:lang w:val="sv-SE"/>
              </w:rPr>
            </w:pPr>
            <w:r w:rsidRPr="005C1371">
              <w:rPr>
                <w:color w:val="000000"/>
                <w:lang w:val="sv-SE"/>
              </w:rPr>
              <w:t>G-CSF (5 </w:t>
            </w:r>
            <w:r w:rsidRPr="005C1371">
              <w:rPr>
                <w:color w:val="000000"/>
              </w:rPr>
              <w:t>μ</w:t>
            </w:r>
            <w:r w:rsidRPr="00B52C37">
              <w:rPr>
                <w:color w:val="000000"/>
                <w:lang w:val="sv-SE"/>
              </w:rPr>
              <w:t>g/kg, SC): dagar</w:t>
            </w:r>
            <w:r w:rsidR="00663AC3" w:rsidRPr="00B52C37">
              <w:rPr>
                <w:color w:val="000000"/>
                <w:lang w:val="sv-SE"/>
              </w:rPr>
              <w:t> 6</w:t>
            </w:r>
            <w:r w:rsidR="00663AC3" w:rsidRPr="00B52C37">
              <w:rPr>
                <w:color w:val="000000"/>
                <w:lang w:val="sv-SE"/>
              </w:rPr>
              <w:noBreakHyphen/>
              <w:t xml:space="preserve">15 </w:t>
            </w:r>
            <w:r w:rsidRPr="00B52C37">
              <w:rPr>
                <w:color w:val="000000"/>
                <w:lang w:val="sv-SE"/>
              </w:rPr>
              <w:t>eller tills</w:t>
            </w:r>
            <w:r w:rsidR="00663AC3" w:rsidRPr="00B52C37">
              <w:rPr>
                <w:color w:val="000000"/>
                <w:lang w:val="sv-SE"/>
              </w:rPr>
              <w:t xml:space="preserve"> ANC &gt; 1500</w:t>
            </w:r>
            <w:r w:rsidR="00116C97" w:rsidRPr="00946267">
              <w:rPr>
                <w:color w:val="000000"/>
                <w:lang w:val="sv-SE"/>
              </w:rPr>
              <w:t> </w:t>
            </w:r>
            <w:r w:rsidR="00116C97" w:rsidRPr="009C3437">
              <w:rPr>
                <w:color w:val="000000"/>
                <w:lang w:val="sv-SE"/>
              </w:rPr>
              <w:t>efter</w:t>
            </w:r>
            <w:r w:rsidR="00663AC3" w:rsidRPr="009C3437">
              <w:rPr>
                <w:color w:val="000000"/>
                <w:lang w:val="sv-SE"/>
              </w:rPr>
              <w:t xml:space="preserve"> nadir</w:t>
            </w:r>
          </w:p>
          <w:p w14:paraId="50A76CE7" w14:textId="77777777" w:rsidR="00663AC3" w:rsidRPr="005C1371" w:rsidRDefault="00465D49" w:rsidP="00463647">
            <w:pPr>
              <w:pStyle w:val="EndnoteText"/>
              <w:keepNext/>
              <w:widowControl w:val="0"/>
              <w:rPr>
                <w:color w:val="000000"/>
                <w:lang w:val="sv-SE"/>
              </w:rPr>
            </w:pPr>
            <w:r w:rsidRPr="009C5490">
              <w:rPr>
                <w:color w:val="000000"/>
                <w:lang w:val="sv-SE"/>
              </w:rPr>
              <w:t>IT Metotrexat</w:t>
            </w:r>
            <w:r w:rsidR="00663AC3" w:rsidRPr="009C5490">
              <w:rPr>
                <w:color w:val="000000"/>
                <w:lang w:val="sv-SE"/>
              </w:rPr>
              <w:t xml:space="preserve"> (</w:t>
            </w:r>
            <w:r w:rsidRPr="009C5490">
              <w:rPr>
                <w:color w:val="000000"/>
                <w:lang w:val="sv-SE"/>
              </w:rPr>
              <w:t>åldersjusterad</w:t>
            </w:r>
            <w:r w:rsidRPr="00065E92">
              <w:rPr>
                <w:color w:val="000000"/>
                <w:lang w:val="sv-SE"/>
              </w:rPr>
              <w:t>): dag</w:t>
            </w:r>
            <w:r w:rsidR="00663AC3" w:rsidRPr="005C1371">
              <w:rPr>
                <w:color w:val="000000"/>
                <w:lang w:val="sv-SE"/>
              </w:rPr>
              <w:t xml:space="preserve"> 1 </w:t>
            </w:r>
            <w:r w:rsidRPr="005C1371">
              <w:rPr>
                <w:color w:val="000000"/>
                <w:lang w:val="sv-SE"/>
              </w:rPr>
              <w:t>ENBART</w:t>
            </w:r>
          </w:p>
          <w:p w14:paraId="4209B1A9" w14:textId="77777777" w:rsidR="00663AC3" w:rsidRPr="005C1371" w:rsidRDefault="00663AC3" w:rsidP="00463647">
            <w:pPr>
              <w:pStyle w:val="EndnoteText"/>
              <w:keepNext/>
              <w:widowControl w:val="0"/>
              <w:rPr>
                <w:color w:val="000000"/>
                <w:lang w:val="sv-SE"/>
              </w:rPr>
            </w:pPr>
            <w:r w:rsidRPr="005C1371">
              <w:rPr>
                <w:color w:val="000000"/>
                <w:lang w:val="sv-SE"/>
              </w:rPr>
              <w:t>Trip</w:t>
            </w:r>
            <w:r w:rsidR="00465D49" w:rsidRPr="005C1371">
              <w:rPr>
                <w:color w:val="000000"/>
                <w:lang w:val="sv-SE"/>
              </w:rPr>
              <w:t>pel</w:t>
            </w:r>
            <w:r w:rsidRPr="005C1371">
              <w:rPr>
                <w:color w:val="000000"/>
                <w:lang w:val="sv-SE"/>
              </w:rPr>
              <w:t xml:space="preserve"> IT t</w:t>
            </w:r>
            <w:r w:rsidR="00465D49" w:rsidRPr="005C1371">
              <w:rPr>
                <w:color w:val="000000"/>
                <w:lang w:val="sv-SE"/>
              </w:rPr>
              <w:t>erapi</w:t>
            </w:r>
            <w:r w:rsidRPr="005C1371">
              <w:rPr>
                <w:color w:val="000000"/>
                <w:lang w:val="sv-SE"/>
              </w:rPr>
              <w:t xml:space="preserve"> (</w:t>
            </w:r>
            <w:r w:rsidR="00465D49" w:rsidRPr="005C1371">
              <w:rPr>
                <w:color w:val="000000"/>
                <w:lang w:val="sv-SE"/>
              </w:rPr>
              <w:t>åldersjusterad</w:t>
            </w:r>
            <w:r w:rsidRPr="005C1371">
              <w:rPr>
                <w:color w:val="000000"/>
                <w:lang w:val="sv-SE"/>
              </w:rPr>
              <w:t>): da</w:t>
            </w:r>
            <w:r w:rsidR="00465D49" w:rsidRPr="005C1371">
              <w:rPr>
                <w:color w:val="000000"/>
                <w:lang w:val="sv-SE"/>
              </w:rPr>
              <w:t>g</w:t>
            </w:r>
            <w:r w:rsidRPr="005C1371">
              <w:rPr>
                <w:color w:val="000000"/>
                <w:lang w:val="sv-SE"/>
              </w:rPr>
              <w:t> 8, 15</w:t>
            </w:r>
          </w:p>
        </w:tc>
      </w:tr>
      <w:tr w:rsidR="00B6645D" w:rsidRPr="00644A2E" w14:paraId="0061ED19" w14:textId="77777777" w:rsidTr="00C81D6E">
        <w:trPr>
          <w:cantSplit/>
        </w:trPr>
        <w:tc>
          <w:tcPr>
            <w:tcW w:w="2358" w:type="dxa"/>
            <w:shd w:val="clear" w:color="auto" w:fill="auto"/>
          </w:tcPr>
          <w:p w14:paraId="31335542" w14:textId="77777777" w:rsidR="00663AC3" w:rsidRDefault="00465D49" w:rsidP="00463647">
            <w:pPr>
              <w:pStyle w:val="EndnoteText"/>
              <w:widowControl w:val="0"/>
              <w:rPr>
                <w:color w:val="000000"/>
              </w:rPr>
            </w:pPr>
            <w:r>
              <w:rPr>
                <w:color w:val="000000"/>
              </w:rPr>
              <w:t>Konsolideringsblock</w:t>
            </w:r>
            <w:r w:rsidR="00663AC3">
              <w:rPr>
                <w:color w:val="000000"/>
              </w:rPr>
              <w:t> </w:t>
            </w:r>
            <w:r w:rsidR="00663AC3" w:rsidRPr="00240FD6">
              <w:rPr>
                <w:color w:val="000000"/>
              </w:rPr>
              <w:t>2</w:t>
            </w:r>
          </w:p>
          <w:p w14:paraId="195A88B7" w14:textId="77777777" w:rsidR="00663AC3" w:rsidRPr="00240FD6" w:rsidRDefault="00663AC3" w:rsidP="00463647">
            <w:pPr>
              <w:pStyle w:val="EndnoteText"/>
              <w:widowControl w:val="0"/>
              <w:rPr>
                <w:color w:val="000000"/>
              </w:rPr>
            </w:pPr>
            <w:r w:rsidRPr="00240FD6">
              <w:rPr>
                <w:color w:val="000000"/>
              </w:rPr>
              <w:t>(3</w:t>
            </w:r>
            <w:r>
              <w:rPr>
                <w:color w:val="000000"/>
              </w:rPr>
              <w:t> </w:t>
            </w:r>
            <w:r w:rsidR="00465D49">
              <w:rPr>
                <w:color w:val="000000"/>
              </w:rPr>
              <w:t>veckor</w:t>
            </w:r>
            <w:r w:rsidRPr="00240FD6">
              <w:rPr>
                <w:color w:val="000000"/>
              </w:rPr>
              <w:t>)</w:t>
            </w:r>
          </w:p>
        </w:tc>
        <w:tc>
          <w:tcPr>
            <w:tcW w:w="6929" w:type="dxa"/>
            <w:shd w:val="clear" w:color="auto" w:fill="auto"/>
          </w:tcPr>
          <w:p w14:paraId="413B8FC0" w14:textId="77777777" w:rsidR="00663AC3" w:rsidRPr="009C3437" w:rsidRDefault="00465D49" w:rsidP="00463647">
            <w:pPr>
              <w:pStyle w:val="EndnoteText"/>
              <w:widowControl w:val="0"/>
              <w:rPr>
                <w:color w:val="000000"/>
                <w:lang w:val="sv-SE"/>
              </w:rPr>
            </w:pPr>
            <w:r w:rsidRPr="009C3437">
              <w:rPr>
                <w:color w:val="000000"/>
                <w:lang w:val="sv-SE"/>
              </w:rPr>
              <w:t>Metotrexat</w:t>
            </w:r>
            <w:r w:rsidR="00663AC3" w:rsidRPr="009C3437">
              <w:rPr>
                <w:color w:val="000000"/>
                <w:lang w:val="sv-SE"/>
              </w:rPr>
              <w:t xml:space="preserve"> (5 g/m</w:t>
            </w:r>
            <w:r w:rsidR="00663AC3" w:rsidRPr="009C3437">
              <w:rPr>
                <w:color w:val="000000"/>
                <w:vertAlign w:val="superscript"/>
                <w:lang w:val="sv-SE"/>
              </w:rPr>
              <w:t>2</w:t>
            </w:r>
            <w:r w:rsidR="00663AC3" w:rsidRPr="009C3437">
              <w:rPr>
                <w:color w:val="000000"/>
                <w:lang w:val="sv-SE"/>
              </w:rPr>
              <w:t xml:space="preserve"> </w:t>
            </w:r>
            <w:r w:rsidRPr="009C3437">
              <w:rPr>
                <w:color w:val="000000"/>
                <w:lang w:val="sv-SE"/>
              </w:rPr>
              <w:t>över 24 timmar, IV): dag</w:t>
            </w:r>
            <w:r w:rsidR="00663AC3" w:rsidRPr="009C3437">
              <w:rPr>
                <w:color w:val="000000"/>
                <w:lang w:val="sv-SE"/>
              </w:rPr>
              <w:t> 1</w:t>
            </w:r>
          </w:p>
          <w:p w14:paraId="2506863A" w14:textId="77777777" w:rsidR="00663AC3" w:rsidRPr="00B52C37" w:rsidRDefault="00663AC3" w:rsidP="00463647">
            <w:pPr>
              <w:pStyle w:val="EndnoteText"/>
              <w:widowControl w:val="0"/>
              <w:rPr>
                <w:color w:val="000000"/>
                <w:lang w:val="sv-SE"/>
              </w:rPr>
            </w:pPr>
            <w:r w:rsidRPr="009C5490">
              <w:rPr>
                <w:color w:val="000000"/>
                <w:lang w:val="sv-SE"/>
              </w:rPr>
              <w:t>Leucovorin (75 mg/m</w:t>
            </w:r>
            <w:r w:rsidRPr="009C5490">
              <w:rPr>
                <w:color w:val="000000"/>
                <w:vertAlign w:val="superscript"/>
                <w:lang w:val="sv-SE"/>
              </w:rPr>
              <w:t>2</w:t>
            </w:r>
            <w:r w:rsidRPr="009C5490">
              <w:rPr>
                <w:color w:val="000000"/>
                <w:lang w:val="sv-SE"/>
              </w:rPr>
              <w:t xml:space="preserve"> </w:t>
            </w:r>
            <w:r w:rsidR="00465D49" w:rsidRPr="00065E92">
              <w:rPr>
                <w:color w:val="000000"/>
                <w:lang w:val="sv-SE"/>
              </w:rPr>
              <w:t>vid timme</w:t>
            </w:r>
            <w:r w:rsidRPr="005C1371">
              <w:rPr>
                <w:color w:val="000000"/>
                <w:lang w:val="sv-SE"/>
              </w:rPr>
              <w:t> 36, IV; 15 mg/m</w:t>
            </w:r>
            <w:r w:rsidRPr="005C1371">
              <w:rPr>
                <w:color w:val="000000"/>
                <w:vertAlign w:val="superscript"/>
                <w:lang w:val="sv-SE"/>
              </w:rPr>
              <w:t>2</w:t>
            </w:r>
            <w:r w:rsidRPr="005C1371">
              <w:rPr>
                <w:color w:val="000000"/>
                <w:lang w:val="sv-SE"/>
              </w:rPr>
              <w:t xml:space="preserve"> IV </w:t>
            </w:r>
            <w:r w:rsidR="00465D49" w:rsidRPr="005C1371">
              <w:rPr>
                <w:color w:val="000000"/>
                <w:lang w:val="sv-SE"/>
              </w:rPr>
              <w:t>eller</w:t>
            </w:r>
            <w:r w:rsidRPr="005C1371">
              <w:rPr>
                <w:color w:val="000000"/>
                <w:lang w:val="sv-SE"/>
              </w:rPr>
              <w:t xml:space="preserve"> PO q6</w:t>
            </w:r>
            <w:r w:rsidR="00465D49" w:rsidRPr="005C1371">
              <w:rPr>
                <w:color w:val="000000"/>
                <w:lang w:val="sv-SE"/>
              </w:rPr>
              <w:t>tim</w:t>
            </w:r>
            <w:r w:rsidRPr="005C1371">
              <w:rPr>
                <w:color w:val="000000"/>
                <w:lang w:val="sv-SE"/>
              </w:rPr>
              <w:t xml:space="preserve"> x 6 dose</w:t>
            </w:r>
            <w:r w:rsidR="00465D49" w:rsidRPr="005C1371">
              <w:rPr>
                <w:color w:val="000000"/>
                <w:lang w:val="sv-SE"/>
              </w:rPr>
              <w:t>r</w:t>
            </w:r>
            <w:r w:rsidRPr="00B52C37">
              <w:rPr>
                <w:color w:val="000000"/>
                <w:lang w:val="sv-SE"/>
              </w:rPr>
              <w:t xml:space="preserve">)iii: </w:t>
            </w:r>
            <w:r w:rsidR="00946267" w:rsidRPr="00B52C37">
              <w:rPr>
                <w:color w:val="000000"/>
                <w:lang w:val="sv-SE"/>
              </w:rPr>
              <w:t>d</w:t>
            </w:r>
            <w:r w:rsidRPr="00B52C37">
              <w:rPr>
                <w:color w:val="000000"/>
                <w:lang w:val="sv-SE"/>
              </w:rPr>
              <w:t>a</w:t>
            </w:r>
            <w:r w:rsidR="00465D49" w:rsidRPr="00B52C37">
              <w:rPr>
                <w:color w:val="000000"/>
                <w:lang w:val="sv-SE"/>
              </w:rPr>
              <w:t>gar</w:t>
            </w:r>
            <w:r w:rsidRPr="00B52C37">
              <w:rPr>
                <w:color w:val="000000"/>
                <w:lang w:val="sv-SE"/>
              </w:rPr>
              <w:t xml:space="preserve"> 2 </w:t>
            </w:r>
            <w:r w:rsidR="00465D49" w:rsidRPr="00B52C37">
              <w:rPr>
                <w:color w:val="000000"/>
                <w:lang w:val="sv-SE"/>
              </w:rPr>
              <w:t>och</w:t>
            </w:r>
            <w:r w:rsidRPr="00B52C37">
              <w:rPr>
                <w:color w:val="000000"/>
                <w:lang w:val="sv-SE"/>
              </w:rPr>
              <w:t xml:space="preserve"> 3</w:t>
            </w:r>
          </w:p>
          <w:p w14:paraId="065831DF" w14:textId="77777777" w:rsidR="00663AC3" w:rsidRPr="00946267" w:rsidRDefault="00663AC3" w:rsidP="00463647">
            <w:pPr>
              <w:pStyle w:val="EndnoteText"/>
              <w:widowControl w:val="0"/>
              <w:rPr>
                <w:color w:val="000000"/>
                <w:lang w:val="sv-SE"/>
              </w:rPr>
            </w:pPr>
            <w:r w:rsidRPr="00B52C37">
              <w:rPr>
                <w:color w:val="000000"/>
                <w:lang w:val="sv-SE"/>
              </w:rPr>
              <w:t>Trip</w:t>
            </w:r>
            <w:r w:rsidR="00465D49" w:rsidRPr="004327DE">
              <w:rPr>
                <w:color w:val="000000"/>
                <w:lang w:val="sv-SE"/>
              </w:rPr>
              <w:t>pel</w:t>
            </w:r>
            <w:r w:rsidRPr="004327DE">
              <w:rPr>
                <w:color w:val="000000"/>
                <w:lang w:val="sv-SE"/>
              </w:rPr>
              <w:t xml:space="preserve"> IT t</w:t>
            </w:r>
            <w:r w:rsidR="00465D49" w:rsidRPr="004327DE">
              <w:rPr>
                <w:color w:val="000000"/>
                <w:lang w:val="sv-SE"/>
              </w:rPr>
              <w:t>erapi</w:t>
            </w:r>
            <w:r w:rsidRPr="008A1A8C">
              <w:rPr>
                <w:color w:val="000000"/>
                <w:lang w:val="sv-SE"/>
              </w:rPr>
              <w:t xml:space="preserve"> (</w:t>
            </w:r>
            <w:r w:rsidR="00465D49" w:rsidRPr="008A1A8C">
              <w:rPr>
                <w:color w:val="000000"/>
                <w:lang w:val="sv-SE"/>
              </w:rPr>
              <w:t>åldersjusterad</w:t>
            </w:r>
            <w:r w:rsidRPr="008A1A8C">
              <w:rPr>
                <w:color w:val="000000"/>
                <w:lang w:val="sv-SE"/>
              </w:rPr>
              <w:t>): da</w:t>
            </w:r>
            <w:r w:rsidR="00465D49" w:rsidRPr="008A1A8C">
              <w:rPr>
                <w:color w:val="000000"/>
                <w:lang w:val="sv-SE"/>
              </w:rPr>
              <w:t>g</w:t>
            </w:r>
            <w:r w:rsidRPr="00946267">
              <w:rPr>
                <w:color w:val="000000"/>
                <w:lang w:val="sv-SE"/>
              </w:rPr>
              <w:t> 1</w:t>
            </w:r>
          </w:p>
          <w:p w14:paraId="007DE07A" w14:textId="77777777" w:rsidR="00663AC3" w:rsidRPr="005E4B92" w:rsidRDefault="00663AC3" w:rsidP="00463647">
            <w:pPr>
              <w:pStyle w:val="EndnoteText"/>
              <w:widowControl w:val="0"/>
              <w:rPr>
                <w:color w:val="000000"/>
                <w:lang w:val="sv-SE"/>
              </w:rPr>
            </w:pPr>
            <w:r w:rsidRPr="00717594">
              <w:rPr>
                <w:color w:val="000000"/>
                <w:lang w:val="sv-SE"/>
              </w:rPr>
              <w:t>ARA-C (3 g/m</w:t>
            </w:r>
            <w:r w:rsidRPr="00717594">
              <w:rPr>
                <w:color w:val="000000"/>
                <w:vertAlign w:val="superscript"/>
                <w:lang w:val="sv-SE"/>
              </w:rPr>
              <w:t>2</w:t>
            </w:r>
            <w:r w:rsidRPr="00717594">
              <w:rPr>
                <w:color w:val="000000"/>
                <w:lang w:val="sv-SE"/>
              </w:rPr>
              <w:t>/dos q 12 </w:t>
            </w:r>
            <w:r w:rsidR="00465D49" w:rsidRPr="00717594">
              <w:rPr>
                <w:color w:val="000000"/>
                <w:lang w:val="sv-SE"/>
              </w:rPr>
              <w:t>tim</w:t>
            </w:r>
            <w:r w:rsidRPr="00717594">
              <w:rPr>
                <w:color w:val="000000"/>
                <w:lang w:val="sv-SE"/>
              </w:rPr>
              <w:t xml:space="preserve"> x 4, IV): da</w:t>
            </w:r>
            <w:r w:rsidR="00465D49" w:rsidRPr="00717594">
              <w:rPr>
                <w:color w:val="000000"/>
                <w:lang w:val="sv-SE"/>
              </w:rPr>
              <w:t>gar</w:t>
            </w:r>
            <w:r w:rsidRPr="00717594">
              <w:rPr>
                <w:color w:val="000000"/>
                <w:lang w:val="sv-SE"/>
              </w:rPr>
              <w:t xml:space="preserve"> 2 </w:t>
            </w:r>
            <w:r w:rsidR="00465D49" w:rsidRPr="00717594">
              <w:rPr>
                <w:color w:val="000000"/>
                <w:lang w:val="sv-SE"/>
              </w:rPr>
              <w:t>och</w:t>
            </w:r>
            <w:r w:rsidRPr="005E4B92">
              <w:rPr>
                <w:color w:val="000000"/>
                <w:lang w:val="sv-SE"/>
              </w:rPr>
              <w:t xml:space="preserve"> 3</w:t>
            </w:r>
          </w:p>
          <w:p w14:paraId="78195F17" w14:textId="77777777" w:rsidR="00663AC3" w:rsidRPr="009C3437" w:rsidRDefault="00663AC3" w:rsidP="00463647">
            <w:pPr>
              <w:pStyle w:val="EndnoteText"/>
              <w:widowControl w:val="0"/>
              <w:rPr>
                <w:color w:val="000000"/>
                <w:lang w:val="sv-SE"/>
              </w:rPr>
            </w:pPr>
            <w:r w:rsidRPr="005E4B92">
              <w:rPr>
                <w:color w:val="000000"/>
                <w:lang w:val="sv-SE"/>
              </w:rPr>
              <w:t>G-CSF (5 </w:t>
            </w:r>
            <w:r w:rsidRPr="005E4B92">
              <w:rPr>
                <w:color w:val="000000"/>
              </w:rPr>
              <w:t>μ</w:t>
            </w:r>
            <w:r w:rsidRPr="005E4B92">
              <w:rPr>
                <w:color w:val="000000"/>
                <w:lang w:val="sv-SE"/>
              </w:rPr>
              <w:t>g/kg, SC): da</w:t>
            </w:r>
            <w:r w:rsidR="00465D49" w:rsidRPr="005E4B92">
              <w:rPr>
                <w:color w:val="000000"/>
                <w:lang w:val="sv-SE"/>
              </w:rPr>
              <w:t>gar</w:t>
            </w:r>
            <w:r w:rsidRPr="005E4B92">
              <w:rPr>
                <w:color w:val="000000"/>
                <w:lang w:val="sv-SE"/>
              </w:rPr>
              <w:t xml:space="preserve"> 4-13 </w:t>
            </w:r>
            <w:r w:rsidR="00465D49" w:rsidRPr="005E4B92">
              <w:rPr>
                <w:color w:val="000000"/>
                <w:lang w:val="sv-SE"/>
              </w:rPr>
              <w:t>eller tills</w:t>
            </w:r>
            <w:r w:rsidRPr="00DE796E">
              <w:rPr>
                <w:color w:val="000000"/>
                <w:lang w:val="sv-SE"/>
              </w:rPr>
              <w:t xml:space="preserve"> ANC &gt; 1500</w:t>
            </w:r>
            <w:r w:rsidR="00116C97" w:rsidRPr="00946267">
              <w:rPr>
                <w:color w:val="000000"/>
                <w:lang w:val="sv-SE"/>
              </w:rPr>
              <w:t> </w:t>
            </w:r>
            <w:r w:rsidR="00116C97" w:rsidRPr="009C3437">
              <w:rPr>
                <w:color w:val="000000"/>
                <w:lang w:val="sv-SE"/>
              </w:rPr>
              <w:t>efter</w:t>
            </w:r>
            <w:r w:rsidRPr="009C3437">
              <w:rPr>
                <w:color w:val="000000"/>
                <w:lang w:val="sv-SE"/>
              </w:rPr>
              <w:t xml:space="preserve"> nadir</w:t>
            </w:r>
          </w:p>
        </w:tc>
      </w:tr>
      <w:tr w:rsidR="00B6645D" w:rsidRPr="00644A2E" w14:paraId="1720283F" w14:textId="77777777" w:rsidTr="00C81D6E">
        <w:trPr>
          <w:cantSplit/>
        </w:trPr>
        <w:tc>
          <w:tcPr>
            <w:tcW w:w="2358" w:type="dxa"/>
            <w:shd w:val="clear" w:color="auto" w:fill="auto"/>
          </w:tcPr>
          <w:p w14:paraId="47D17AC6" w14:textId="77777777" w:rsidR="00663AC3" w:rsidRPr="00240FD6" w:rsidRDefault="00465D49" w:rsidP="00463647">
            <w:pPr>
              <w:pStyle w:val="EndnoteText"/>
              <w:widowControl w:val="0"/>
              <w:rPr>
                <w:color w:val="000000"/>
              </w:rPr>
            </w:pPr>
            <w:r>
              <w:rPr>
                <w:color w:val="000000"/>
              </w:rPr>
              <w:t>Reinduktionsblock</w:t>
            </w:r>
            <w:r w:rsidR="00663AC3">
              <w:rPr>
                <w:color w:val="000000"/>
              </w:rPr>
              <w:t> </w:t>
            </w:r>
            <w:r w:rsidR="00663AC3" w:rsidRPr="00240FD6">
              <w:rPr>
                <w:color w:val="000000"/>
              </w:rPr>
              <w:t>1</w:t>
            </w:r>
          </w:p>
          <w:p w14:paraId="4A5FDB97" w14:textId="77777777" w:rsidR="00663AC3" w:rsidRPr="00240FD6" w:rsidRDefault="00663AC3" w:rsidP="00463647">
            <w:pPr>
              <w:pStyle w:val="EndnoteText"/>
              <w:widowControl w:val="0"/>
              <w:rPr>
                <w:color w:val="000000"/>
              </w:rPr>
            </w:pPr>
            <w:r w:rsidRPr="00240FD6">
              <w:rPr>
                <w:color w:val="000000"/>
              </w:rPr>
              <w:t>(3</w:t>
            </w:r>
            <w:r>
              <w:rPr>
                <w:color w:val="000000"/>
              </w:rPr>
              <w:t> </w:t>
            </w:r>
            <w:r w:rsidR="00465D49">
              <w:rPr>
                <w:color w:val="000000"/>
              </w:rPr>
              <w:t>veckor</w:t>
            </w:r>
            <w:r w:rsidRPr="00240FD6">
              <w:rPr>
                <w:color w:val="000000"/>
              </w:rPr>
              <w:t>)</w:t>
            </w:r>
          </w:p>
        </w:tc>
        <w:tc>
          <w:tcPr>
            <w:tcW w:w="6929" w:type="dxa"/>
            <w:shd w:val="clear" w:color="auto" w:fill="auto"/>
          </w:tcPr>
          <w:p w14:paraId="5A781A07" w14:textId="77777777" w:rsidR="00663AC3" w:rsidRPr="009C3437" w:rsidRDefault="00663AC3" w:rsidP="00463647">
            <w:pPr>
              <w:pStyle w:val="EndnoteText"/>
              <w:widowControl w:val="0"/>
              <w:rPr>
                <w:color w:val="000000"/>
                <w:lang w:val="sv-SE"/>
              </w:rPr>
            </w:pPr>
            <w:r w:rsidRPr="009C3437">
              <w:rPr>
                <w:color w:val="000000"/>
                <w:lang w:val="sv-SE"/>
              </w:rPr>
              <w:t>VCR (1.5 mg/m</w:t>
            </w:r>
            <w:r w:rsidRPr="009C3437">
              <w:rPr>
                <w:color w:val="000000"/>
                <w:vertAlign w:val="superscript"/>
                <w:lang w:val="sv-SE"/>
              </w:rPr>
              <w:t>2</w:t>
            </w:r>
            <w:r w:rsidRPr="009C3437">
              <w:rPr>
                <w:color w:val="000000"/>
                <w:lang w:val="sv-SE"/>
              </w:rPr>
              <w:t>/da</w:t>
            </w:r>
            <w:r w:rsidR="00465D49" w:rsidRPr="009C3437">
              <w:rPr>
                <w:color w:val="000000"/>
                <w:lang w:val="sv-SE"/>
              </w:rPr>
              <w:t>g</w:t>
            </w:r>
            <w:r w:rsidRPr="009C3437">
              <w:rPr>
                <w:color w:val="000000"/>
                <w:lang w:val="sv-SE"/>
              </w:rPr>
              <w:t>, IV): da</w:t>
            </w:r>
            <w:r w:rsidR="00465D49" w:rsidRPr="009C3437">
              <w:rPr>
                <w:color w:val="000000"/>
                <w:lang w:val="sv-SE"/>
              </w:rPr>
              <w:t>gar</w:t>
            </w:r>
            <w:r w:rsidRPr="009C3437">
              <w:rPr>
                <w:color w:val="000000"/>
                <w:lang w:val="sv-SE"/>
              </w:rPr>
              <w:t xml:space="preserve"> 1, 8, </w:t>
            </w:r>
            <w:r w:rsidR="00465D49" w:rsidRPr="009C3437">
              <w:rPr>
                <w:color w:val="000000"/>
                <w:lang w:val="sv-SE"/>
              </w:rPr>
              <w:t>och</w:t>
            </w:r>
            <w:r w:rsidRPr="009C3437">
              <w:rPr>
                <w:color w:val="000000"/>
                <w:lang w:val="sv-SE"/>
              </w:rPr>
              <w:t xml:space="preserve"> 15</w:t>
            </w:r>
          </w:p>
          <w:p w14:paraId="4C8B6724" w14:textId="77777777" w:rsidR="00663AC3" w:rsidRPr="005C1371" w:rsidRDefault="00663AC3" w:rsidP="00463647">
            <w:pPr>
              <w:pStyle w:val="EndnoteText"/>
              <w:widowControl w:val="0"/>
              <w:rPr>
                <w:color w:val="000000"/>
                <w:lang w:val="sv-SE"/>
              </w:rPr>
            </w:pPr>
            <w:r w:rsidRPr="009C5490">
              <w:rPr>
                <w:color w:val="000000"/>
                <w:lang w:val="sv-SE"/>
              </w:rPr>
              <w:t>DAUN (45 mg/m</w:t>
            </w:r>
            <w:r w:rsidRPr="009C5490">
              <w:rPr>
                <w:color w:val="000000"/>
                <w:vertAlign w:val="superscript"/>
                <w:lang w:val="sv-SE"/>
              </w:rPr>
              <w:t>2</w:t>
            </w:r>
            <w:r w:rsidRPr="009C5490">
              <w:rPr>
                <w:color w:val="000000"/>
                <w:lang w:val="sv-SE"/>
              </w:rPr>
              <w:t>/da</w:t>
            </w:r>
            <w:r w:rsidR="00465D49" w:rsidRPr="00065E92">
              <w:rPr>
                <w:color w:val="000000"/>
                <w:lang w:val="sv-SE"/>
              </w:rPr>
              <w:t>g</w:t>
            </w:r>
            <w:r w:rsidRPr="00065E92">
              <w:rPr>
                <w:color w:val="000000"/>
                <w:lang w:val="sv-SE"/>
              </w:rPr>
              <w:t xml:space="preserve"> bolus, IV): da</w:t>
            </w:r>
            <w:r w:rsidR="00465D49" w:rsidRPr="005C1371">
              <w:rPr>
                <w:color w:val="000000"/>
                <w:lang w:val="sv-SE"/>
              </w:rPr>
              <w:t>gar</w:t>
            </w:r>
            <w:r w:rsidRPr="005C1371">
              <w:rPr>
                <w:color w:val="000000"/>
                <w:lang w:val="sv-SE"/>
              </w:rPr>
              <w:t xml:space="preserve"> 1 </w:t>
            </w:r>
            <w:r w:rsidR="00465D49" w:rsidRPr="005C1371">
              <w:rPr>
                <w:color w:val="000000"/>
                <w:lang w:val="sv-SE"/>
              </w:rPr>
              <w:t>och</w:t>
            </w:r>
            <w:r w:rsidRPr="005C1371">
              <w:rPr>
                <w:color w:val="000000"/>
                <w:lang w:val="sv-SE"/>
              </w:rPr>
              <w:t xml:space="preserve"> 2</w:t>
            </w:r>
          </w:p>
          <w:p w14:paraId="1B00BFCC" w14:textId="77777777" w:rsidR="00663AC3" w:rsidRPr="00B52C37" w:rsidRDefault="00663AC3" w:rsidP="00463647">
            <w:pPr>
              <w:pStyle w:val="EndnoteText"/>
              <w:widowControl w:val="0"/>
              <w:rPr>
                <w:color w:val="000000"/>
                <w:lang w:val="sv-SE"/>
              </w:rPr>
            </w:pPr>
            <w:r w:rsidRPr="005C1371">
              <w:rPr>
                <w:color w:val="000000"/>
                <w:lang w:val="sv-SE"/>
              </w:rPr>
              <w:t>CPM (250 mg/m</w:t>
            </w:r>
            <w:r w:rsidRPr="00B52C37">
              <w:rPr>
                <w:color w:val="000000"/>
                <w:vertAlign w:val="superscript"/>
                <w:lang w:val="sv-SE"/>
              </w:rPr>
              <w:t>2</w:t>
            </w:r>
            <w:r w:rsidRPr="00B52C37">
              <w:rPr>
                <w:color w:val="000000"/>
                <w:lang w:val="sv-SE"/>
              </w:rPr>
              <w:t>/dos q12</w:t>
            </w:r>
            <w:r w:rsidR="00465D49" w:rsidRPr="00B52C37">
              <w:rPr>
                <w:color w:val="000000"/>
                <w:lang w:val="sv-SE"/>
              </w:rPr>
              <w:t>tim x 4 doser, IV): dagar 3 och</w:t>
            </w:r>
            <w:r w:rsidRPr="00B52C37">
              <w:rPr>
                <w:color w:val="000000"/>
                <w:lang w:val="sv-SE"/>
              </w:rPr>
              <w:t xml:space="preserve"> 4</w:t>
            </w:r>
          </w:p>
          <w:p w14:paraId="06CAC849" w14:textId="77777777" w:rsidR="00663AC3" w:rsidRPr="00946267" w:rsidRDefault="00663AC3" w:rsidP="00463647">
            <w:pPr>
              <w:pStyle w:val="EndnoteText"/>
              <w:widowControl w:val="0"/>
              <w:rPr>
                <w:color w:val="000000"/>
                <w:lang w:val="de-DE"/>
              </w:rPr>
            </w:pPr>
            <w:r w:rsidRPr="00946267">
              <w:rPr>
                <w:color w:val="000000"/>
                <w:lang w:val="de-DE"/>
              </w:rPr>
              <w:t>PEG-ASP (2500 </w:t>
            </w:r>
            <w:r w:rsidR="005C1371" w:rsidRPr="00946267">
              <w:rPr>
                <w:color w:val="000000"/>
                <w:lang w:val="de-DE"/>
              </w:rPr>
              <w:t>IE/</w:t>
            </w:r>
            <w:r w:rsidRPr="00946267">
              <w:rPr>
                <w:color w:val="000000"/>
                <w:lang w:val="de-DE"/>
              </w:rPr>
              <w:t>m</w:t>
            </w:r>
            <w:r w:rsidRPr="00946267">
              <w:rPr>
                <w:color w:val="000000"/>
                <w:vertAlign w:val="superscript"/>
                <w:lang w:val="de-DE"/>
              </w:rPr>
              <w:t>2</w:t>
            </w:r>
            <w:r w:rsidR="00465D49" w:rsidRPr="00946267">
              <w:rPr>
                <w:color w:val="000000"/>
                <w:lang w:val="de-DE"/>
              </w:rPr>
              <w:t>, IM): dag</w:t>
            </w:r>
            <w:r w:rsidRPr="00946267">
              <w:rPr>
                <w:color w:val="000000"/>
                <w:lang w:val="de-DE"/>
              </w:rPr>
              <w:t> 4</w:t>
            </w:r>
          </w:p>
          <w:p w14:paraId="2C723D76" w14:textId="77777777" w:rsidR="00663AC3" w:rsidRPr="009C3437" w:rsidRDefault="00465D49" w:rsidP="00463647">
            <w:pPr>
              <w:pStyle w:val="EndnoteText"/>
              <w:widowControl w:val="0"/>
              <w:rPr>
                <w:color w:val="000000"/>
                <w:lang w:val="sv-SE"/>
              </w:rPr>
            </w:pPr>
            <w:r w:rsidRPr="005C1371">
              <w:rPr>
                <w:color w:val="000000"/>
                <w:lang w:val="sv-SE"/>
              </w:rPr>
              <w:t>G-CSF (5 </w:t>
            </w:r>
            <w:r w:rsidRPr="005C1371">
              <w:rPr>
                <w:color w:val="000000"/>
              </w:rPr>
              <w:t>μ</w:t>
            </w:r>
            <w:r w:rsidRPr="005C1371">
              <w:rPr>
                <w:color w:val="000000"/>
                <w:lang w:val="sv-SE"/>
              </w:rPr>
              <w:t>g/kg, SC): dagar</w:t>
            </w:r>
            <w:r w:rsidR="00663AC3" w:rsidRPr="005C1371">
              <w:rPr>
                <w:color w:val="000000"/>
                <w:lang w:val="sv-SE"/>
              </w:rPr>
              <w:t> 5</w:t>
            </w:r>
            <w:r w:rsidR="00663AC3" w:rsidRPr="005C1371">
              <w:rPr>
                <w:color w:val="000000"/>
                <w:lang w:val="sv-SE"/>
              </w:rPr>
              <w:noBreakHyphen/>
              <w:t xml:space="preserve">14 </w:t>
            </w:r>
            <w:r w:rsidRPr="005C1371">
              <w:rPr>
                <w:color w:val="000000"/>
                <w:lang w:val="sv-SE"/>
              </w:rPr>
              <w:t>eller tills</w:t>
            </w:r>
            <w:r w:rsidR="00663AC3" w:rsidRPr="005C1371">
              <w:rPr>
                <w:color w:val="000000"/>
                <w:lang w:val="sv-SE"/>
              </w:rPr>
              <w:t xml:space="preserve"> ANC &gt; 1500</w:t>
            </w:r>
            <w:r w:rsidR="00116C97" w:rsidRPr="00946267">
              <w:rPr>
                <w:color w:val="000000"/>
                <w:lang w:val="sv-SE"/>
              </w:rPr>
              <w:t> </w:t>
            </w:r>
            <w:r w:rsidR="00116C97" w:rsidRPr="009C3437">
              <w:rPr>
                <w:color w:val="000000"/>
                <w:lang w:val="sv-SE"/>
              </w:rPr>
              <w:t>efter</w:t>
            </w:r>
            <w:r w:rsidR="00663AC3" w:rsidRPr="009C3437">
              <w:rPr>
                <w:color w:val="000000"/>
                <w:lang w:val="sv-SE"/>
              </w:rPr>
              <w:t xml:space="preserve"> nadir</w:t>
            </w:r>
          </w:p>
          <w:p w14:paraId="35ACA066" w14:textId="77777777" w:rsidR="00663AC3" w:rsidRPr="005C1371" w:rsidRDefault="00663AC3" w:rsidP="00463647">
            <w:pPr>
              <w:pStyle w:val="EndnoteText"/>
              <w:widowControl w:val="0"/>
              <w:rPr>
                <w:color w:val="000000"/>
                <w:lang w:val="sv-SE"/>
              </w:rPr>
            </w:pPr>
            <w:r w:rsidRPr="009C5490">
              <w:rPr>
                <w:color w:val="000000"/>
                <w:lang w:val="sv-SE"/>
              </w:rPr>
              <w:t>Trip</w:t>
            </w:r>
            <w:r w:rsidR="00465D49" w:rsidRPr="009C5490">
              <w:rPr>
                <w:color w:val="000000"/>
                <w:lang w:val="sv-SE"/>
              </w:rPr>
              <w:t xml:space="preserve">pel </w:t>
            </w:r>
            <w:r w:rsidRPr="009C5490">
              <w:rPr>
                <w:color w:val="000000"/>
                <w:lang w:val="sv-SE"/>
              </w:rPr>
              <w:t>IT t</w:t>
            </w:r>
            <w:r w:rsidR="00465D49" w:rsidRPr="00065E92">
              <w:rPr>
                <w:color w:val="000000"/>
                <w:lang w:val="sv-SE"/>
              </w:rPr>
              <w:t>erapi</w:t>
            </w:r>
            <w:r w:rsidRPr="00065E92">
              <w:rPr>
                <w:color w:val="000000"/>
                <w:lang w:val="sv-SE"/>
              </w:rPr>
              <w:t xml:space="preserve"> (</w:t>
            </w:r>
            <w:r w:rsidR="00465D49" w:rsidRPr="005C1371">
              <w:rPr>
                <w:color w:val="000000"/>
                <w:lang w:val="sv-SE"/>
              </w:rPr>
              <w:t>åldersjusterad</w:t>
            </w:r>
            <w:r w:rsidRPr="005C1371">
              <w:rPr>
                <w:color w:val="000000"/>
                <w:lang w:val="sv-SE"/>
              </w:rPr>
              <w:t>): da</w:t>
            </w:r>
            <w:r w:rsidR="00465D49" w:rsidRPr="005C1371">
              <w:rPr>
                <w:color w:val="000000"/>
                <w:lang w:val="sv-SE"/>
              </w:rPr>
              <w:t>gar</w:t>
            </w:r>
            <w:r w:rsidRPr="005C1371">
              <w:rPr>
                <w:color w:val="000000"/>
                <w:lang w:val="sv-SE"/>
              </w:rPr>
              <w:t xml:space="preserve"> 1 </w:t>
            </w:r>
            <w:r w:rsidR="00465D49" w:rsidRPr="005C1371">
              <w:rPr>
                <w:color w:val="000000"/>
                <w:lang w:val="sv-SE"/>
              </w:rPr>
              <w:t>och</w:t>
            </w:r>
            <w:r w:rsidRPr="005C1371">
              <w:rPr>
                <w:color w:val="000000"/>
                <w:lang w:val="sv-SE"/>
              </w:rPr>
              <w:t xml:space="preserve"> 15</w:t>
            </w:r>
          </w:p>
          <w:p w14:paraId="3A923C4D" w14:textId="77777777" w:rsidR="00663AC3" w:rsidRPr="00B52C37" w:rsidRDefault="00663AC3" w:rsidP="00463647">
            <w:pPr>
              <w:pStyle w:val="EndnoteText"/>
              <w:widowControl w:val="0"/>
              <w:rPr>
                <w:color w:val="000000"/>
                <w:lang w:val="sv-SE"/>
              </w:rPr>
            </w:pPr>
            <w:r w:rsidRPr="005C1371">
              <w:rPr>
                <w:color w:val="000000"/>
                <w:lang w:val="sv-SE"/>
              </w:rPr>
              <w:t>DEX (6 mg/m</w:t>
            </w:r>
            <w:r w:rsidRPr="00B52C37">
              <w:rPr>
                <w:color w:val="000000"/>
                <w:vertAlign w:val="superscript"/>
                <w:lang w:val="sv-SE"/>
              </w:rPr>
              <w:t>2</w:t>
            </w:r>
            <w:r w:rsidRPr="00B52C37">
              <w:rPr>
                <w:color w:val="000000"/>
                <w:lang w:val="sv-SE"/>
              </w:rPr>
              <w:t>/da</w:t>
            </w:r>
            <w:r w:rsidR="00465D49" w:rsidRPr="00B52C37">
              <w:rPr>
                <w:color w:val="000000"/>
                <w:lang w:val="sv-SE"/>
              </w:rPr>
              <w:t>g</w:t>
            </w:r>
            <w:r w:rsidRPr="00B52C37">
              <w:rPr>
                <w:color w:val="000000"/>
                <w:lang w:val="sv-SE"/>
              </w:rPr>
              <w:t>, PO): da</w:t>
            </w:r>
            <w:r w:rsidR="00465D49" w:rsidRPr="00B52C37">
              <w:rPr>
                <w:color w:val="000000"/>
                <w:lang w:val="sv-SE"/>
              </w:rPr>
              <w:t>gar</w:t>
            </w:r>
            <w:r w:rsidRPr="00B52C37">
              <w:rPr>
                <w:color w:val="000000"/>
                <w:lang w:val="sv-SE"/>
              </w:rPr>
              <w:t> 1</w:t>
            </w:r>
            <w:r w:rsidRPr="00B52C37">
              <w:rPr>
                <w:color w:val="000000"/>
                <w:lang w:val="sv-SE"/>
              </w:rPr>
              <w:noBreakHyphen/>
              <w:t xml:space="preserve">7 </w:t>
            </w:r>
            <w:r w:rsidR="00465D49" w:rsidRPr="00B52C37">
              <w:rPr>
                <w:color w:val="000000"/>
                <w:lang w:val="sv-SE"/>
              </w:rPr>
              <w:t>och</w:t>
            </w:r>
            <w:r w:rsidRPr="00B52C37">
              <w:rPr>
                <w:color w:val="000000"/>
                <w:lang w:val="sv-SE"/>
              </w:rPr>
              <w:t xml:space="preserve"> 15</w:t>
            </w:r>
            <w:r w:rsidRPr="00B52C37">
              <w:rPr>
                <w:color w:val="000000"/>
                <w:lang w:val="sv-SE"/>
              </w:rPr>
              <w:noBreakHyphen/>
              <w:t>21</w:t>
            </w:r>
          </w:p>
        </w:tc>
      </w:tr>
      <w:tr w:rsidR="00B6645D" w:rsidRPr="00644A2E" w14:paraId="7540E33C" w14:textId="77777777" w:rsidTr="00C81D6E">
        <w:trPr>
          <w:cantSplit/>
        </w:trPr>
        <w:tc>
          <w:tcPr>
            <w:tcW w:w="2358" w:type="dxa"/>
            <w:shd w:val="clear" w:color="auto" w:fill="auto"/>
          </w:tcPr>
          <w:p w14:paraId="47B4BD4C" w14:textId="77777777" w:rsidR="00663AC3" w:rsidRDefault="00465D49" w:rsidP="00463647">
            <w:pPr>
              <w:pStyle w:val="EndnoteText"/>
              <w:widowControl w:val="0"/>
              <w:rPr>
                <w:color w:val="000000"/>
              </w:rPr>
            </w:pPr>
            <w:r>
              <w:rPr>
                <w:color w:val="000000"/>
              </w:rPr>
              <w:lastRenderedPageBreak/>
              <w:t>Intensifieringsblock</w:t>
            </w:r>
            <w:r w:rsidR="00663AC3">
              <w:rPr>
                <w:color w:val="000000"/>
              </w:rPr>
              <w:t> </w:t>
            </w:r>
            <w:r w:rsidR="00663AC3" w:rsidRPr="00240FD6">
              <w:rPr>
                <w:color w:val="000000"/>
              </w:rPr>
              <w:t>1</w:t>
            </w:r>
          </w:p>
          <w:p w14:paraId="7BCEE03A" w14:textId="77777777" w:rsidR="00663AC3" w:rsidRPr="00240FD6" w:rsidRDefault="00663AC3" w:rsidP="00463647">
            <w:pPr>
              <w:pStyle w:val="EndnoteText"/>
              <w:widowControl w:val="0"/>
              <w:rPr>
                <w:color w:val="000000"/>
              </w:rPr>
            </w:pPr>
            <w:r w:rsidRPr="00240FD6">
              <w:rPr>
                <w:color w:val="000000"/>
              </w:rPr>
              <w:t>(9</w:t>
            </w:r>
            <w:r>
              <w:rPr>
                <w:color w:val="000000"/>
              </w:rPr>
              <w:t> </w:t>
            </w:r>
            <w:r w:rsidR="00465D49">
              <w:rPr>
                <w:color w:val="000000"/>
              </w:rPr>
              <w:t>veckor</w:t>
            </w:r>
            <w:r w:rsidRPr="00240FD6">
              <w:rPr>
                <w:color w:val="000000"/>
              </w:rPr>
              <w:t>)</w:t>
            </w:r>
          </w:p>
        </w:tc>
        <w:tc>
          <w:tcPr>
            <w:tcW w:w="6929" w:type="dxa"/>
            <w:shd w:val="clear" w:color="auto" w:fill="auto"/>
          </w:tcPr>
          <w:p w14:paraId="4A7D062F" w14:textId="77777777" w:rsidR="00663AC3" w:rsidRPr="009C5490" w:rsidRDefault="00465D49" w:rsidP="00463647">
            <w:pPr>
              <w:pStyle w:val="EndnoteText"/>
              <w:widowControl w:val="0"/>
              <w:rPr>
                <w:color w:val="000000"/>
                <w:lang w:val="sv-SE"/>
              </w:rPr>
            </w:pPr>
            <w:r w:rsidRPr="009C3437">
              <w:rPr>
                <w:color w:val="000000"/>
                <w:lang w:val="sv-SE"/>
              </w:rPr>
              <w:t>Metotrexat</w:t>
            </w:r>
            <w:r w:rsidR="00663AC3" w:rsidRPr="009C3437">
              <w:rPr>
                <w:color w:val="000000"/>
                <w:lang w:val="sv-SE"/>
              </w:rPr>
              <w:t xml:space="preserve"> (5 g/m</w:t>
            </w:r>
            <w:r w:rsidR="00663AC3" w:rsidRPr="009C3437">
              <w:rPr>
                <w:color w:val="000000"/>
                <w:vertAlign w:val="superscript"/>
                <w:lang w:val="sv-SE"/>
              </w:rPr>
              <w:t>2</w:t>
            </w:r>
            <w:r w:rsidR="00663AC3" w:rsidRPr="009C3437">
              <w:rPr>
                <w:color w:val="000000"/>
                <w:lang w:val="sv-SE"/>
              </w:rPr>
              <w:t xml:space="preserve"> </w:t>
            </w:r>
            <w:r w:rsidRPr="009C3437">
              <w:rPr>
                <w:color w:val="000000"/>
                <w:lang w:val="sv-SE"/>
              </w:rPr>
              <w:t>över</w:t>
            </w:r>
            <w:r w:rsidR="00663AC3" w:rsidRPr="009C3437">
              <w:rPr>
                <w:color w:val="000000"/>
                <w:lang w:val="sv-SE"/>
              </w:rPr>
              <w:t xml:space="preserve"> 24 </w:t>
            </w:r>
            <w:r w:rsidRPr="009C3437">
              <w:rPr>
                <w:color w:val="000000"/>
                <w:lang w:val="sv-SE"/>
              </w:rPr>
              <w:t>timmar, IV): dagar</w:t>
            </w:r>
            <w:r w:rsidR="00663AC3" w:rsidRPr="009C3437">
              <w:rPr>
                <w:color w:val="000000"/>
                <w:lang w:val="sv-SE"/>
              </w:rPr>
              <w:t xml:space="preserve"> 1 </w:t>
            </w:r>
            <w:r w:rsidRPr="009C3437">
              <w:rPr>
                <w:color w:val="000000"/>
                <w:lang w:val="sv-SE"/>
              </w:rPr>
              <w:t>och</w:t>
            </w:r>
            <w:r w:rsidR="00663AC3" w:rsidRPr="009C5490">
              <w:rPr>
                <w:color w:val="000000"/>
                <w:lang w:val="sv-SE"/>
              </w:rPr>
              <w:t xml:space="preserve"> 15</w:t>
            </w:r>
          </w:p>
          <w:p w14:paraId="39630F51" w14:textId="77777777" w:rsidR="00663AC3" w:rsidRPr="00B52C37" w:rsidRDefault="00663AC3" w:rsidP="00463647">
            <w:pPr>
              <w:pStyle w:val="EndnoteText"/>
              <w:widowControl w:val="0"/>
              <w:rPr>
                <w:color w:val="000000"/>
                <w:lang w:val="sv-SE"/>
              </w:rPr>
            </w:pPr>
            <w:r w:rsidRPr="00065E92">
              <w:rPr>
                <w:color w:val="000000"/>
                <w:lang w:val="sv-SE"/>
              </w:rPr>
              <w:t>Leucovorin (75 mg/m</w:t>
            </w:r>
            <w:r w:rsidRPr="00065E92">
              <w:rPr>
                <w:color w:val="000000"/>
                <w:vertAlign w:val="superscript"/>
                <w:lang w:val="sv-SE"/>
              </w:rPr>
              <w:t>2</w:t>
            </w:r>
            <w:r w:rsidRPr="005C1371">
              <w:rPr>
                <w:color w:val="000000"/>
                <w:lang w:val="sv-SE"/>
              </w:rPr>
              <w:t xml:space="preserve"> </w:t>
            </w:r>
            <w:r w:rsidR="00465D49" w:rsidRPr="005C1371">
              <w:rPr>
                <w:color w:val="000000"/>
                <w:lang w:val="sv-SE"/>
              </w:rPr>
              <w:t>vid timme</w:t>
            </w:r>
            <w:r w:rsidRPr="005C1371">
              <w:rPr>
                <w:color w:val="000000"/>
                <w:lang w:val="sv-SE"/>
              </w:rPr>
              <w:t> 36, IV; 15 mg/m</w:t>
            </w:r>
            <w:r w:rsidRPr="005C1371">
              <w:rPr>
                <w:color w:val="000000"/>
                <w:vertAlign w:val="superscript"/>
                <w:lang w:val="sv-SE"/>
              </w:rPr>
              <w:t>2</w:t>
            </w:r>
            <w:r w:rsidRPr="005C1371">
              <w:rPr>
                <w:color w:val="000000"/>
                <w:lang w:val="sv-SE"/>
              </w:rPr>
              <w:t xml:space="preserve"> IV </w:t>
            </w:r>
            <w:r w:rsidR="00DF6AF5" w:rsidRPr="005C1371">
              <w:rPr>
                <w:color w:val="000000"/>
                <w:lang w:val="sv-SE"/>
              </w:rPr>
              <w:t>eller</w:t>
            </w:r>
            <w:r w:rsidRPr="005C1371">
              <w:rPr>
                <w:color w:val="000000"/>
                <w:lang w:val="sv-SE"/>
              </w:rPr>
              <w:t xml:space="preserve"> PO q6</w:t>
            </w:r>
            <w:r w:rsidR="00DF6AF5" w:rsidRPr="005C1371">
              <w:rPr>
                <w:color w:val="000000"/>
                <w:lang w:val="sv-SE"/>
              </w:rPr>
              <w:t>tim x 6 dose</w:t>
            </w:r>
            <w:r w:rsidR="00DF6AF5" w:rsidRPr="00B52C37">
              <w:rPr>
                <w:color w:val="000000"/>
                <w:lang w:val="sv-SE"/>
              </w:rPr>
              <w:t xml:space="preserve">r)iii: </w:t>
            </w:r>
            <w:r w:rsidR="00946267" w:rsidRPr="00B52C37">
              <w:rPr>
                <w:color w:val="000000"/>
                <w:lang w:val="sv-SE"/>
              </w:rPr>
              <w:t>d</w:t>
            </w:r>
            <w:r w:rsidR="00DF6AF5" w:rsidRPr="00B52C37">
              <w:rPr>
                <w:color w:val="000000"/>
                <w:lang w:val="sv-SE"/>
              </w:rPr>
              <w:t>agar</w:t>
            </w:r>
            <w:r w:rsidRPr="00B52C37">
              <w:rPr>
                <w:color w:val="000000"/>
                <w:lang w:val="sv-SE"/>
              </w:rPr>
              <w:t xml:space="preserve"> 2, 3, </w:t>
            </w:r>
            <w:r w:rsidR="00DF6AF5" w:rsidRPr="00B52C37">
              <w:rPr>
                <w:color w:val="000000"/>
                <w:lang w:val="sv-SE"/>
              </w:rPr>
              <w:t>16, och</w:t>
            </w:r>
            <w:r w:rsidRPr="00B52C37">
              <w:rPr>
                <w:color w:val="000000"/>
                <w:lang w:val="sv-SE"/>
              </w:rPr>
              <w:t xml:space="preserve"> 17</w:t>
            </w:r>
          </w:p>
          <w:p w14:paraId="284F72E4" w14:textId="77777777" w:rsidR="00663AC3" w:rsidRPr="00946267" w:rsidRDefault="00663AC3" w:rsidP="00463647">
            <w:pPr>
              <w:pStyle w:val="EndnoteText"/>
              <w:widowControl w:val="0"/>
              <w:rPr>
                <w:color w:val="000000"/>
                <w:lang w:val="sv-SE"/>
              </w:rPr>
            </w:pPr>
            <w:r w:rsidRPr="00B52C37">
              <w:rPr>
                <w:color w:val="000000"/>
                <w:lang w:val="sv-SE"/>
              </w:rPr>
              <w:t>Tri</w:t>
            </w:r>
            <w:r w:rsidR="00DF6AF5" w:rsidRPr="004327DE">
              <w:rPr>
                <w:color w:val="000000"/>
                <w:lang w:val="sv-SE"/>
              </w:rPr>
              <w:t>p</w:t>
            </w:r>
            <w:r w:rsidRPr="004327DE">
              <w:rPr>
                <w:color w:val="000000"/>
                <w:lang w:val="sv-SE"/>
              </w:rPr>
              <w:t>p</w:t>
            </w:r>
            <w:r w:rsidR="00DF6AF5" w:rsidRPr="004327DE">
              <w:rPr>
                <w:color w:val="000000"/>
                <w:lang w:val="sv-SE"/>
              </w:rPr>
              <w:t>el</w:t>
            </w:r>
            <w:r w:rsidRPr="008A1A8C">
              <w:rPr>
                <w:color w:val="000000"/>
                <w:lang w:val="sv-SE"/>
              </w:rPr>
              <w:t xml:space="preserve"> IT t</w:t>
            </w:r>
            <w:r w:rsidR="00DF6AF5" w:rsidRPr="008A1A8C">
              <w:rPr>
                <w:color w:val="000000"/>
                <w:lang w:val="sv-SE"/>
              </w:rPr>
              <w:t>erapi</w:t>
            </w:r>
            <w:r w:rsidRPr="008A1A8C">
              <w:rPr>
                <w:color w:val="000000"/>
                <w:lang w:val="sv-SE"/>
              </w:rPr>
              <w:t xml:space="preserve"> (</w:t>
            </w:r>
            <w:r w:rsidR="00DF6AF5" w:rsidRPr="008A1A8C">
              <w:rPr>
                <w:color w:val="000000"/>
                <w:lang w:val="sv-SE"/>
              </w:rPr>
              <w:t>åldersjusterad</w:t>
            </w:r>
            <w:r w:rsidRPr="00946267">
              <w:rPr>
                <w:color w:val="000000"/>
                <w:lang w:val="sv-SE"/>
              </w:rPr>
              <w:t>): da</w:t>
            </w:r>
            <w:r w:rsidR="00DF6AF5" w:rsidRPr="00946267">
              <w:rPr>
                <w:color w:val="000000"/>
                <w:lang w:val="sv-SE"/>
              </w:rPr>
              <w:t>gar</w:t>
            </w:r>
            <w:r w:rsidRPr="00946267">
              <w:rPr>
                <w:color w:val="000000"/>
                <w:lang w:val="sv-SE"/>
              </w:rPr>
              <w:t xml:space="preserve"> 1 </w:t>
            </w:r>
            <w:r w:rsidR="00DF6AF5" w:rsidRPr="00946267">
              <w:rPr>
                <w:color w:val="000000"/>
                <w:lang w:val="sv-SE"/>
              </w:rPr>
              <w:t>och</w:t>
            </w:r>
            <w:r w:rsidRPr="00946267">
              <w:rPr>
                <w:color w:val="000000"/>
                <w:lang w:val="sv-SE"/>
              </w:rPr>
              <w:t xml:space="preserve"> 22</w:t>
            </w:r>
          </w:p>
          <w:p w14:paraId="0AF74DDA" w14:textId="77777777" w:rsidR="00663AC3" w:rsidRPr="00717594" w:rsidRDefault="00663AC3" w:rsidP="00463647">
            <w:pPr>
              <w:pStyle w:val="EndnoteText"/>
              <w:widowControl w:val="0"/>
              <w:rPr>
                <w:color w:val="000000"/>
                <w:lang w:val="sv-SE"/>
              </w:rPr>
            </w:pPr>
            <w:r w:rsidRPr="00717594">
              <w:rPr>
                <w:color w:val="000000"/>
                <w:lang w:val="sv-SE"/>
              </w:rPr>
              <w:t>VP-16 (100 mg/m</w:t>
            </w:r>
            <w:r w:rsidRPr="00717594">
              <w:rPr>
                <w:color w:val="000000"/>
                <w:vertAlign w:val="superscript"/>
                <w:lang w:val="sv-SE"/>
              </w:rPr>
              <w:t>2</w:t>
            </w:r>
            <w:r w:rsidRPr="00717594">
              <w:rPr>
                <w:color w:val="000000"/>
                <w:lang w:val="sv-SE"/>
              </w:rPr>
              <w:t>/da</w:t>
            </w:r>
            <w:r w:rsidR="00DF6AF5" w:rsidRPr="00717594">
              <w:rPr>
                <w:color w:val="000000"/>
                <w:lang w:val="sv-SE"/>
              </w:rPr>
              <w:t>g</w:t>
            </w:r>
            <w:r w:rsidRPr="00717594">
              <w:rPr>
                <w:color w:val="000000"/>
                <w:lang w:val="sv-SE"/>
              </w:rPr>
              <w:t>, IV): da</w:t>
            </w:r>
            <w:r w:rsidR="00DF6AF5" w:rsidRPr="00717594">
              <w:rPr>
                <w:color w:val="000000"/>
                <w:lang w:val="sv-SE"/>
              </w:rPr>
              <w:t>gar</w:t>
            </w:r>
            <w:r w:rsidRPr="00717594">
              <w:rPr>
                <w:color w:val="000000"/>
                <w:lang w:val="sv-SE"/>
              </w:rPr>
              <w:t> 22</w:t>
            </w:r>
            <w:r w:rsidRPr="00717594">
              <w:rPr>
                <w:color w:val="000000"/>
                <w:lang w:val="sv-SE"/>
              </w:rPr>
              <w:noBreakHyphen/>
              <w:t>26</w:t>
            </w:r>
          </w:p>
          <w:p w14:paraId="4C726070" w14:textId="77777777" w:rsidR="00663AC3" w:rsidRPr="005E4B92" w:rsidRDefault="00663AC3" w:rsidP="00463647">
            <w:pPr>
              <w:pStyle w:val="EndnoteText"/>
              <w:widowControl w:val="0"/>
              <w:rPr>
                <w:color w:val="000000"/>
                <w:lang w:val="sv-SE"/>
              </w:rPr>
            </w:pPr>
            <w:r w:rsidRPr="005E4B92">
              <w:rPr>
                <w:color w:val="000000"/>
                <w:lang w:val="sv-SE"/>
              </w:rPr>
              <w:t>CPM (300 mg/m</w:t>
            </w:r>
            <w:r w:rsidRPr="005E4B92">
              <w:rPr>
                <w:color w:val="000000"/>
                <w:vertAlign w:val="superscript"/>
                <w:lang w:val="sv-SE"/>
              </w:rPr>
              <w:t>2</w:t>
            </w:r>
            <w:r w:rsidRPr="005E4B92">
              <w:rPr>
                <w:color w:val="000000"/>
                <w:lang w:val="sv-SE"/>
              </w:rPr>
              <w:t>/da</w:t>
            </w:r>
            <w:r w:rsidR="00DF6AF5" w:rsidRPr="005E4B92">
              <w:rPr>
                <w:color w:val="000000"/>
                <w:lang w:val="sv-SE"/>
              </w:rPr>
              <w:t>g</w:t>
            </w:r>
            <w:r w:rsidRPr="005E4B92">
              <w:rPr>
                <w:color w:val="000000"/>
                <w:lang w:val="sv-SE"/>
              </w:rPr>
              <w:t>, IV): da</w:t>
            </w:r>
            <w:r w:rsidR="00DF6AF5" w:rsidRPr="005E4B92">
              <w:rPr>
                <w:color w:val="000000"/>
                <w:lang w:val="sv-SE"/>
              </w:rPr>
              <w:t>gar</w:t>
            </w:r>
            <w:r w:rsidRPr="005E4B92">
              <w:rPr>
                <w:color w:val="000000"/>
                <w:lang w:val="sv-SE"/>
              </w:rPr>
              <w:t> 22</w:t>
            </w:r>
            <w:r w:rsidRPr="005E4B92">
              <w:rPr>
                <w:color w:val="000000"/>
                <w:lang w:val="sv-SE"/>
              </w:rPr>
              <w:noBreakHyphen/>
              <w:t>26</w:t>
            </w:r>
          </w:p>
          <w:p w14:paraId="5AEA8406" w14:textId="77777777" w:rsidR="00663AC3" w:rsidRPr="009652FC" w:rsidRDefault="00663AC3" w:rsidP="00463647">
            <w:pPr>
              <w:pStyle w:val="EndnoteText"/>
              <w:widowControl w:val="0"/>
              <w:rPr>
                <w:color w:val="000000"/>
                <w:lang w:val="sv-SE"/>
              </w:rPr>
            </w:pPr>
            <w:r w:rsidRPr="00DE796E">
              <w:rPr>
                <w:color w:val="000000"/>
                <w:lang w:val="sv-SE"/>
              </w:rPr>
              <w:t>MESNA (150 mg/m</w:t>
            </w:r>
            <w:r w:rsidRPr="00203BEF">
              <w:rPr>
                <w:color w:val="000000"/>
                <w:vertAlign w:val="superscript"/>
                <w:lang w:val="sv-SE"/>
              </w:rPr>
              <w:t>2</w:t>
            </w:r>
            <w:r w:rsidRPr="003960FF">
              <w:rPr>
                <w:color w:val="000000"/>
                <w:lang w:val="sv-SE"/>
              </w:rPr>
              <w:t>/da</w:t>
            </w:r>
            <w:r w:rsidR="00DF6AF5" w:rsidRPr="003960FF">
              <w:rPr>
                <w:color w:val="000000"/>
                <w:lang w:val="sv-SE"/>
              </w:rPr>
              <w:t>g</w:t>
            </w:r>
            <w:r w:rsidRPr="009652FC">
              <w:rPr>
                <w:color w:val="000000"/>
                <w:lang w:val="sv-SE"/>
              </w:rPr>
              <w:t>, IV): da</w:t>
            </w:r>
            <w:r w:rsidR="00DF6AF5" w:rsidRPr="009652FC">
              <w:rPr>
                <w:color w:val="000000"/>
                <w:lang w:val="sv-SE"/>
              </w:rPr>
              <w:t>gar</w:t>
            </w:r>
            <w:r w:rsidRPr="009652FC">
              <w:rPr>
                <w:color w:val="000000"/>
                <w:lang w:val="sv-SE"/>
              </w:rPr>
              <w:t> 22</w:t>
            </w:r>
            <w:r w:rsidRPr="009652FC">
              <w:rPr>
                <w:color w:val="000000"/>
                <w:lang w:val="sv-SE"/>
              </w:rPr>
              <w:noBreakHyphen/>
              <w:t>26</w:t>
            </w:r>
          </w:p>
          <w:p w14:paraId="71D7C420" w14:textId="77777777" w:rsidR="00663AC3" w:rsidRPr="009C3437" w:rsidRDefault="00663AC3" w:rsidP="00463647">
            <w:pPr>
              <w:pStyle w:val="EndnoteText"/>
              <w:widowControl w:val="0"/>
              <w:rPr>
                <w:color w:val="000000"/>
                <w:lang w:val="sv-SE"/>
              </w:rPr>
            </w:pPr>
            <w:r w:rsidRPr="004E6EB6">
              <w:rPr>
                <w:color w:val="000000"/>
                <w:lang w:val="sv-SE"/>
              </w:rPr>
              <w:t>G-CSF (5 </w:t>
            </w:r>
            <w:r w:rsidRPr="004E6EB6">
              <w:rPr>
                <w:color w:val="000000"/>
              </w:rPr>
              <w:t>μ</w:t>
            </w:r>
            <w:r w:rsidRPr="00DA7134">
              <w:rPr>
                <w:color w:val="000000"/>
                <w:lang w:val="sv-SE"/>
              </w:rPr>
              <w:t>g/kg, SC): da</w:t>
            </w:r>
            <w:r w:rsidR="00DF6AF5" w:rsidRPr="00DA7134">
              <w:rPr>
                <w:color w:val="000000"/>
                <w:lang w:val="sv-SE"/>
              </w:rPr>
              <w:t>gar</w:t>
            </w:r>
            <w:r w:rsidRPr="002B1538">
              <w:rPr>
                <w:color w:val="000000"/>
                <w:lang w:val="sv-SE"/>
              </w:rPr>
              <w:t xml:space="preserve"> 27-36 </w:t>
            </w:r>
            <w:r w:rsidR="00DF6AF5" w:rsidRPr="00FD4105">
              <w:rPr>
                <w:color w:val="000000"/>
                <w:lang w:val="sv-SE"/>
              </w:rPr>
              <w:t>eller tills</w:t>
            </w:r>
            <w:r w:rsidRPr="00FD4105">
              <w:rPr>
                <w:color w:val="000000"/>
                <w:lang w:val="sv-SE"/>
              </w:rPr>
              <w:t xml:space="preserve"> ANC &gt; 1500</w:t>
            </w:r>
            <w:r w:rsidR="00116C97" w:rsidRPr="009C3437">
              <w:rPr>
                <w:color w:val="000000"/>
                <w:lang w:val="sv-SE"/>
              </w:rPr>
              <w:t> efter</w:t>
            </w:r>
            <w:r w:rsidRPr="009C3437">
              <w:rPr>
                <w:color w:val="000000"/>
                <w:lang w:val="sv-SE"/>
              </w:rPr>
              <w:t xml:space="preserve"> nadir</w:t>
            </w:r>
          </w:p>
          <w:p w14:paraId="7D8BF9AE" w14:textId="77777777" w:rsidR="00663AC3" w:rsidRPr="005C1371" w:rsidRDefault="00663AC3" w:rsidP="00463647">
            <w:pPr>
              <w:pStyle w:val="EndnoteText"/>
              <w:widowControl w:val="0"/>
              <w:rPr>
                <w:color w:val="000000"/>
                <w:lang w:val="sv-SE"/>
              </w:rPr>
            </w:pPr>
            <w:r w:rsidRPr="009C5490">
              <w:rPr>
                <w:color w:val="000000"/>
                <w:lang w:val="sv-SE"/>
              </w:rPr>
              <w:t>ARA-C (3 g/m</w:t>
            </w:r>
            <w:r w:rsidRPr="009C5490">
              <w:rPr>
                <w:color w:val="000000"/>
                <w:vertAlign w:val="superscript"/>
                <w:lang w:val="sv-SE"/>
              </w:rPr>
              <w:t>2</w:t>
            </w:r>
            <w:r w:rsidRPr="009C5490">
              <w:rPr>
                <w:color w:val="000000"/>
                <w:lang w:val="sv-SE"/>
              </w:rPr>
              <w:t>, q12</w:t>
            </w:r>
            <w:r w:rsidR="00DF6AF5" w:rsidRPr="00065E92">
              <w:rPr>
                <w:color w:val="000000"/>
                <w:lang w:val="sv-SE"/>
              </w:rPr>
              <w:t>tim</w:t>
            </w:r>
            <w:r w:rsidRPr="00065E92">
              <w:rPr>
                <w:color w:val="000000"/>
                <w:lang w:val="sv-SE"/>
              </w:rPr>
              <w:t>, IV): da</w:t>
            </w:r>
            <w:r w:rsidR="00DF6AF5" w:rsidRPr="005C1371">
              <w:rPr>
                <w:color w:val="000000"/>
                <w:lang w:val="sv-SE"/>
              </w:rPr>
              <w:t>gar</w:t>
            </w:r>
            <w:r w:rsidRPr="005C1371">
              <w:rPr>
                <w:color w:val="000000"/>
                <w:lang w:val="sv-SE"/>
              </w:rPr>
              <w:t> 43, 44</w:t>
            </w:r>
          </w:p>
          <w:p w14:paraId="7DF6845D" w14:textId="77777777" w:rsidR="00663AC3" w:rsidRPr="00946267" w:rsidRDefault="00663AC3" w:rsidP="00463647">
            <w:pPr>
              <w:pStyle w:val="EndnoteText"/>
              <w:widowControl w:val="0"/>
              <w:rPr>
                <w:color w:val="000000"/>
                <w:lang w:val="de-DE"/>
              </w:rPr>
            </w:pPr>
            <w:r w:rsidRPr="00946267">
              <w:rPr>
                <w:color w:val="000000"/>
                <w:lang w:val="de-DE"/>
              </w:rPr>
              <w:t>L-ASP (6000 </w:t>
            </w:r>
            <w:r w:rsidR="005C1371" w:rsidRPr="00946267">
              <w:rPr>
                <w:color w:val="000000"/>
                <w:lang w:val="de-DE"/>
              </w:rPr>
              <w:t>IE/</w:t>
            </w:r>
            <w:r w:rsidRPr="00946267">
              <w:rPr>
                <w:color w:val="000000"/>
                <w:lang w:val="de-DE"/>
              </w:rPr>
              <w:t>m</w:t>
            </w:r>
            <w:r w:rsidRPr="00946267">
              <w:rPr>
                <w:color w:val="000000"/>
                <w:vertAlign w:val="superscript"/>
                <w:lang w:val="de-DE"/>
              </w:rPr>
              <w:t>2</w:t>
            </w:r>
            <w:r w:rsidRPr="00946267">
              <w:rPr>
                <w:color w:val="000000"/>
                <w:lang w:val="de-DE"/>
              </w:rPr>
              <w:t>, IM): da</w:t>
            </w:r>
            <w:r w:rsidR="00DF6AF5" w:rsidRPr="00946267">
              <w:rPr>
                <w:color w:val="000000"/>
                <w:lang w:val="de-DE"/>
              </w:rPr>
              <w:t>g</w:t>
            </w:r>
            <w:r w:rsidRPr="00946267">
              <w:rPr>
                <w:color w:val="000000"/>
                <w:lang w:val="de-DE"/>
              </w:rPr>
              <w:t> 44</w:t>
            </w:r>
          </w:p>
        </w:tc>
      </w:tr>
      <w:tr w:rsidR="00B6645D" w:rsidRPr="00644A2E" w14:paraId="7D657D04" w14:textId="77777777" w:rsidTr="00C81D6E">
        <w:trPr>
          <w:cantSplit/>
        </w:trPr>
        <w:tc>
          <w:tcPr>
            <w:tcW w:w="2358" w:type="dxa"/>
            <w:shd w:val="clear" w:color="auto" w:fill="auto"/>
          </w:tcPr>
          <w:p w14:paraId="555A73F3" w14:textId="77777777" w:rsidR="00663AC3" w:rsidRDefault="00DF6AF5" w:rsidP="00463647">
            <w:pPr>
              <w:pStyle w:val="EndnoteText"/>
              <w:widowControl w:val="0"/>
              <w:rPr>
                <w:color w:val="000000"/>
              </w:rPr>
            </w:pPr>
            <w:r>
              <w:rPr>
                <w:color w:val="000000"/>
              </w:rPr>
              <w:t>Reinduktionsblock</w:t>
            </w:r>
            <w:r w:rsidR="00663AC3">
              <w:rPr>
                <w:color w:val="000000"/>
              </w:rPr>
              <w:t> </w:t>
            </w:r>
            <w:r w:rsidR="00663AC3" w:rsidRPr="00240FD6">
              <w:rPr>
                <w:color w:val="000000"/>
              </w:rPr>
              <w:t>2</w:t>
            </w:r>
          </w:p>
          <w:p w14:paraId="0A1F1490" w14:textId="77777777" w:rsidR="00663AC3" w:rsidRPr="00240FD6" w:rsidRDefault="00663AC3" w:rsidP="00463647">
            <w:pPr>
              <w:pStyle w:val="EndnoteText"/>
              <w:widowControl w:val="0"/>
              <w:rPr>
                <w:color w:val="000000"/>
              </w:rPr>
            </w:pPr>
            <w:r w:rsidRPr="00240FD6">
              <w:rPr>
                <w:color w:val="000000"/>
              </w:rPr>
              <w:t>(3</w:t>
            </w:r>
            <w:r>
              <w:rPr>
                <w:color w:val="000000"/>
              </w:rPr>
              <w:t> </w:t>
            </w:r>
            <w:r w:rsidR="00DF6AF5">
              <w:rPr>
                <w:color w:val="000000"/>
              </w:rPr>
              <w:t>veckor</w:t>
            </w:r>
            <w:r w:rsidRPr="00240FD6">
              <w:rPr>
                <w:color w:val="000000"/>
              </w:rPr>
              <w:t>)</w:t>
            </w:r>
          </w:p>
        </w:tc>
        <w:tc>
          <w:tcPr>
            <w:tcW w:w="6929" w:type="dxa"/>
            <w:shd w:val="clear" w:color="auto" w:fill="auto"/>
          </w:tcPr>
          <w:p w14:paraId="65647F46" w14:textId="77777777" w:rsidR="00663AC3" w:rsidRPr="009C3437" w:rsidRDefault="00663AC3" w:rsidP="00463647">
            <w:pPr>
              <w:pStyle w:val="EndnoteText"/>
              <w:widowControl w:val="0"/>
              <w:rPr>
                <w:color w:val="000000"/>
                <w:lang w:val="sv-SE"/>
              </w:rPr>
            </w:pPr>
            <w:r w:rsidRPr="009C3437">
              <w:rPr>
                <w:color w:val="000000"/>
                <w:lang w:val="sv-SE"/>
              </w:rPr>
              <w:t>VCR (1.5 mg/m</w:t>
            </w:r>
            <w:r w:rsidRPr="009C3437">
              <w:rPr>
                <w:color w:val="000000"/>
                <w:vertAlign w:val="superscript"/>
                <w:lang w:val="sv-SE"/>
              </w:rPr>
              <w:t>2</w:t>
            </w:r>
            <w:r w:rsidRPr="009C3437">
              <w:rPr>
                <w:color w:val="000000"/>
                <w:lang w:val="sv-SE"/>
              </w:rPr>
              <w:t>/da</w:t>
            </w:r>
            <w:r w:rsidR="00DF6AF5" w:rsidRPr="009C3437">
              <w:rPr>
                <w:color w:val="000000"/>
                <w:lang w:val="sv-SE"/>
              </w:rPr>
              <w:t>g</w:t>
            </w:r>
            <w:r w:rsidRPr="009C3437">
              <w:rPr>
                <w:color w:val="000000"/>
                <w:lang w:val="sv-SE"/>
              </w:rPr>
              <w:t>, IV): da</w:t>
            </w:r>
            <w:r w:rsidR="00DF6AF5" w:rsidRPr="009C3437">
              <w:rPr>
                <w:color w:val="000000"/>
                <w:lang w:val="sv-SE"/>
              </w:rPr>
              <w:t>gar</w:t>
            </w:r>
            <w:r w:rsidRPr="009C3437">
              <w:rPr>
                <w:color w:val="000000"/>
                <w:lang w:val="sv-SE"/>
              </w:rPr>
              <w:t xml:space="preserve"> 1, 8 </w:t>
            </w:r>
            <w:r w:rsidR="00DF6AF5" w:rsidRPr="009C3437">
              <w:rPr>
                <w:color w:val="000000"/>
                <w:lang w:val="sv-SE"/>
              </w:rPr>
              <w:t>och</w:t>
            </w:r>
            <w:r w:rsidRPr="009C3437">
              <w:rPr>
                <w:color w:val="000000"/>
                <w:lang w:val="sv-SE"/>
              </w:rPr>
              <w:t xml:space="preserve"> 15</w:t>
            </w:r>
          </w:p>
          <w:p w14:paraId="5B738BA7" w14:textId="77777777" w:rsidR="00663AC3" w:rsidRPr="005C1371" w:rsidRDefault="00663AC3" w:rsidP="00463647">
            <w:pPr>
              <w:pStyle w:val="EndnoteText"/>
              <w:widowControl w:val="0"/>
              <w:rPr>
                <w:color w:val="000000"/>
                <w:lang w:val="sv-SE"/>
              </w:rPr>
            </w:pPr>
            <w:r w:rsidRPr="009C5490">
              <w:rPr>
                <w:color w:val="000000"/>
                <w:lang w:val="sv-SE"/>
              </w:rPr>
              <w:t>DAUN (45 mg/m</w:t>
            </w:r>
            <w:r w:rsidRPr="009C5490">
              <w:rPr>
                <w:color w:val="000000"/>
                <w:vertAlign w:val="superscript"/>
                <w:lang w:val="sv-SE"/>
              </w:rPr>
              <w:t>2</w:t>
            </w:r>
            <w:r w:rsidRPr="009C5490">
              <w:rPr>
                <w:color w:val="000000"/>
                <w:lang w:val="sv-SE"/>
              </w:rPr>
              <w:t>/da</w:t>
            </w:r>
            <w:r w:rsidR="00DF6AF5" w:rsidRPr="00065E92">
              <w:rPr>
                <w:color w:val="000000"/>
                <w:lang w:val="sv-SE"/>
              </w:rPr>
              <w:t>g</w:t>
            </w:r>
            <w:r w:rsidRPr="00065E92">
              <w:rPr>
                <w:color w:val="000000"/>
                <w:lang w:val="sv-SE"/>
              </w:rPr>
              <w:t xml:space="preserve"> bolus, IV): da</w:t>
            </w:r>
            <w:r w:rsidR="00DF6AF5" w:rsidRPr="005C1371">
              <w:rPr>
                <w:color w:val="000000"/>
                <w:lang w:val="sv-SE"/>
              </w:rPr>
              <w:t>gar</w:t>
            </w:r>
            <w:r w:rsidRPr="005C1371">
              <w:rPr>
                <w:color w:val="000000"/>
                <w:lang w:val="sv-SE"/>
              </w:rPr>
              <w:t xml:space="preserve"> 1 </w:t>
            </w:r>
            <w:r w:rsidR="00DF6AF5" w:rsidRPr="005C1371">
              <w:rPr>
                <w:color w:val="000000"/>
                <w:lang w:val="sv-SE"/>
              </w:rPr>
              <w:t>och</w:t>
            </w:r>
            <w:r w:rsidRPr="005C1371">
              <w:rPr>
                <w:color w:val="000000"/>
                <w:lang w:val="sv-SE"/>
              </w:rPr>
              <w:t xml:space="preserve"> 2</w:t>
            </w:r>
          </w:p>
          <w:p w14:paraId="7AC15CBB" w14:textId="77777777" w:rsidR="00663AC3" w:rsidRPr="00946267" w:rsidRDefault="00663AC3" w:rsidP="00463647">
            <w:pPr>
              <w:pStyle w:val="EndnoteText"/>
              <w:widowControl w:val="0"/>
              <w:rPr>
                <w:color w:val="000000"/>
                <w:lang w:val="sv-SE"/>
              </w:rPr>
            </w:pPr>
            <w:r w:rsidRPr="005C1371">
              <w:rPr>
                <w:color w:val="000000"/>
                <w:lang w:val="sv-SE"/>
              </w:rPr>
              <w:t>CPM (250 mg/m</w:t>
            </w:r>
            <w:r w:rsidRPr="008A1A8C">
              <w:rPr>
                <w:color w:val="000000"/>
                <w:vertAlign w:val="superscript"/>
                <w:lang w:val="sv-SE"/>
              </w:rPr>
              <w:t>2</w:t>
            </w:r>
            <w:r w:rsidRPr="008A1A8C">
              <w:rPr>
                <w:color w:val="000000"/>
                <w:lang w:val="sv-SE"/>
              </w:rPr>
              <w:t>/dos</w:t>
            </w:r>
            <w:r w:rsidR="00DF6AF5" w:rsidRPr="008A1A8C">
              <w:rPr>
                <w:color w:val="000000"/>
                <w:lang w:val="sv-SE"/>
              </w:rPr>
              <w:t xml:space="preserve"> q12tim</w:t>
            </w:r>
            <w:r w:rsidRPr="00946267">
              <w:rPr>
                <w:color w:val="000000"/>
                <w:lang w:val="sv-SE"/>
              </w:rPr>
              <w:t xml:space="preserve"> x 4 dose</w:t>
            </w:r>
            <w:r w:rsidR="00DF6AF5" w:rsidRPr="00946267">
              <w:rPr>
                <w:color w:val="000000"/>
                <w:lang w:val="sv-SE"/>
              </w:rPr>
              <w:t xml:space="preserve">r, iv): </w:t>
            </w:r>
            <w:r w:rsidR="00946267" w:rsidRPr="00946267">
              <w:rPr>
                <w:color w:val="000000"/>
                <w:lang w:val="sv-SE"/>
              </w:rPr>
              <w:t>d</w:t>
            </w:r>
            <w:r w:rsidR="00DF6AF5" w:rsidRPr="00946267">
              <w:rPr>
                <w:color w:val="000000"/>
                <w:lang w:val="sv-SE"/>
              </w:rPr>
              <w:t>agar</w:t>
            </w:r>
            <w:r w:rsidRPr="00946267">
              <w:rPr>
                <w:color w:val="000000"/>
                <w:lang w:val="sv-SE"/>
              </w:rPr>
              <w:t xml:space="preserve"> 3 </w:t>
            </w:r>
            <w:r w:rsidR="00DF6AF5" w:rsidRPr="00946267">
              <w:rPr>
                <w:color w:val="000000"/>
                <w:lang w:val="sv-SE"/>
              </w:rPr>
              <w:t>och</w:t>
            </w:r>
            <w:r w:rsidRPr="00946267">
              <w:rPr>
                <w:color w:val="000000"/>
                <w:lang w:val="sv-SE"/>
              </w:rPr>
              <w:t xml:space="preserve"> 4</w:t>
            </w:r>
          </w:p>
          <w:p w14:paraId="670F74AE" w14:textId="77777777" w:rsidR="00663AC3" w:rsidRPr="00946267" w:rsidRDefault="00663AC3" w:rsidP="00463647">
            <w:pPr>
              <w:pStyle w:val="EndnoteText"/>
              <w:widowControl w:val="0"/>
              <w:rPr>
                <w:color w:val="000000"/>
                <w:lang w:val="de-DE"/>
              </w:rPr>
            </w:pPr>
            <w:r w:rsidRPr="00946267">
              <w:rPr>
                <w:color w:val="000000"/>
                <w:lang w:val="de-DE"/>
              </w:rPr>
              <w:t>PEG-ASP (2500 </w:t>
            </w:r>
            <w:r w:rsidR="00B52C37" w:rsidRPr="00946267">
              <w:rPr>
                <w:color w:val="000000"/>
                <w:lang w:val="de-DE"/>
              </w:rPr>
              <w:t>IE/</w:t>
            </w:r>
            <w:r w:rsidRPr="00946267">
              <w:rPr>
                <w:color w:val="000000"/>
                <w:lang w:val="de-DE"/>
              </w:rPr>
              <w:t>m</w:t>
            </w:r>
            <w:r w:rsidRPr="00946267">
              <w:rPr>
                <w:color w:val="000000"/>
                <w:vertAlign w:val="superscript"/>
                <w:lang w:val="de-DE"/>
              </w:rPr>
              <w:t>2</w:t>
            </w:r>
            <w:r w:rsidRPr="00946267">
              <w:rPr>
                <w:color w:val="000000"/>
                <w:lang w:val="de-DE"/>
              </w:rPr>
              <w:t>, IM): da</w:t>
            </w:r>
            <w:r w:rsidR="00DF6AF5" w:rsidRPr="00946267">
              <w:rPr>
                <w:color w:val="000000"/>
                <w:lang w:val="de-DE"/>
              </w:rPr>
              <w:t>gar</w:t>
            </w:r>
            <w:r w:rsidRPr="00946267">
              <w:rPr>
                <w:color w:val="000000"/>
                <w:lang w:val="de-DE"/>
              </w:rPr>
              <w:t> 4</w:t>
            </w:r>
          </w:p>
          <w:p w14:paraId="56FC3610" w14:textId="77777777" w:rsidR="00663AC3" w:rsidRPr="009C3437" w:rsidRDefault="00DF6AF5" w:rsidP="00463647">
            <w:pPr>
              <w:pStyle w:val="EndnoteText"/>
              <w:widowControl w:val="0"/>
              <w:rPr>
                <w:color w:val="000000"/>
                <w:lang w:val="sv-SE"/>
              </w:rPr>
            </w:pPr>
            <w:r w:rsidRPr="00B52C37">
              <w:rPr>
                <w:color w:val="000000"/>
                <w:lang w:val="sv-SE"/>
              </w:rPr>
              <w:t>G-CSF (5 </w:t>
            </w:r>
            <w:r w:rsidRPr="00B52C37">
              <w:rPr>
                <w:color w:val="000000"/>
              </w:rPr>
              <w:t>μ</w:t>
            </w:r>
            <w:r w:rsidRPr="00B52C37">
              <w:rPr>
                <w:color w:val="000000"/>
                <w:lang w:val="sv-SE"/>
              </w:rPr>
              <w:t>g/kg, SC): dagar</w:t>
            </w:r>
            <w:r w:rsidR="00663AC3" w:rsidRPr="00B52C37">
              <w:rPr>
                <w:color w:val="000000"/>
                <w:lang w:val="sv-SE"/>
              </w:rPr>
              <w:t xml:space="preserve"> 5-14 </w:t>
            </w:r>
            <w:r w:rsidRPr="00B52C37">
              <w:rPr>
                <w:color w:val="000000"/>
                <w:lang w:val="sv-SE"/>
              </w:rPr>
              <w:t>eller tills</w:t>
            </w:r>
            <w:r w:rsidR="00663AC3" w:rsidRPr="00B52C37">
              <w:rPr>
                <w:color w:val="000000"/>
                <w:lang w:val="sv-SE"/>
              </w:rPr>
              <w:t xml:space="preserve"> ANC &gt; 1500</w:t>
            </w:r>
            <w:r w:rsidR="00116C97" w:rsidRPr="00946267">
              <w:rPr>
                <w:color w:val="000000"/>
                <w:lang w:val="sv-SE"/>
              </w:rPr>
              <w:t> </w:t>
            </w:r>
            <w:r w:rsidR="00116C97" w:rsidRPr="009C3437">
              <w:rPr>
                <w:color w:val="000000"/>
                <w:lang w:val="sv-SE"/>
              </w:rPr>
              <w:t>efter</w:t>
            </w:r>
            <w:r w:rsidR="00663AC3" w:rsidRPr="009C3437">
              <w:rPr>
                <w:color w:val="000000"/>
                <w:lang w:val="sv-SE"/>
              </w:rPr>
              <w:t xml:space="preserve"> nadir</w:t>
            </w:r>
          </w:p>
          <w:p w14:paraId="24B2F182" w14:textId="77777777" w:rsidR="00663AC3" w:rsidRPr="005C1371" w:rsidRDefault="00663AC3" w:rsidP="00463647">
            <w:pPr>
              <w:pStyle w:val="EndnoteText"/>
              <w:widowControl w:val="0"/>
              <w:rPr>
                <w:color w:val="000000"/>
                <w:lang w:val="sv-SE"/>
              </w:rPr>
            </w:pPr>
            <w:r w:rsidRPr="009C5490">
              <w:rPr>
                <w:color w:val="000000"/>
                <w:lang w:val="sv-SE"/>
              </w:rPr>
              <w:t>Trip</w:t>
            </w:r>
            <w:r w:rsidR="00DF6AF5" w:rsidRPr="009C5490">
              <w:rPr>
                <w:color w:val="000000"/>
                <w:lang w:val="sv-SE"/>
              </w:rPr>
              <w:t>pel</w:t>
            </w:r>
            <w:r w:rsidRPr="009C5490">
              <w:rPr>
                <w:color w:val="000000"/>
                <w:lang w:val="sv-SE"/>
              </w:rPr>
              <w:t xml:space="preserve"> IT t</w:t>
            </w:r>
            <w:r w:rsidR="00DF6AF5" w:rsidRPr="00065E92">
              <w:rPr>
                <w:color w:val="000000"/>
                <w:lang w:val="sv-SE"/>
              </w:rPr>
              <w:t>erapi</w:t>
            </w:r>
            <w:r w:rsidRPr="00065E92">
              <w:rPr>
                <w:color w:val="000000"/>
                <w:lang w:val="sv-SE"/>
              </w:rPr>
              <w:t xml:space="preserve"> (</w:t>
            </w:r>
            <w:r w:rsidR="00DF6AF5" w:rsidRPr="005C1371">
              <w:rPr>
                <w:color w:val="000000"/>
                <w:lang w:val="sv-SE"/>
              </w:rPr>
              <w:t>åldersjusterad</w:t>
            </w:r>
            <w:r w:rsidRPr="005C1371">
              <w:rPr>
                <w:color w:val="000000"/>
                <w:lang w:val="sv-SE"/>
              </w:rPr>
              <w:t>): da</w:t>
            </w:r>
            <w:r w:rsidR="00DF6AF5" w:rsidRPr="005C1371">
              <w:rPr>
                <w:color w:val="000000"/>
                <w:lang w:val="sv-SE"/>
              </w:rPr>
              <w:t>gar</w:t>
            </w:r>
            <w:r w:rsidRPr="005C1371">
              <w:rPr>
                <w:color w:val="000000"/>
                <w:lang w:val="sv-SE"/>
              </w:rPr>
              <w:t xml:space="preserve"> 1 </w:t>
            </w:r>
            <w:r w:rsidR="00DF6AF5" w:rsidRPr="005C1371">
              <w:rPr>
                <w:color w:val="000000"/>
                <w:lang w:val="sv-SE"/>
              </w:rPr>
              <w:t>och</w:t>
            </w:r>
            <w:r w:rsidRPr="005C1371">
              <w:rPr>
                <w:color w:val="000000"/>
                <w:lang w:val="sv-SE"/>
              </w:rPr>
              <w:t xml:space="preserve"> 15</w:t>
            </w:r>
          </w:p>
          <w:p w14:paraId="7FE7DF11" w14:textId="77777777" w:rsidR="00663AC3" w:rsidRPr="00B52C37" w:rsidRDefault="00663AC3" w:rsidP="00463647">
            <w:pPr>
              <w:pStyle w:val="EndnoteText"/>
              <w:widowControl w:val="0"/>
              <w:rPr>
                <w:color w:val="000000"/>
                <w:lang w:val="sv-SE"/>
              </w:rPr>
            </w:pPr>
            <w:r w:rsidRPr="005C1371">
              <w:rPr>
                <w:color w:val="000000"/>
                <w:lang w:val="sv-SE"/>
              </w:rPr>
              <w:t>DEX (6 mg/m</w:t>
            </w:r>
            <w:r w:rsidRPr="005C1371">
              <w:rPr>
                <w:color w:val="000000"/>
                <w:vertAlign w:val="superscript"/>
                <w:lang w:val="sv-SE"/>
              </w:rPr>
              <w:t>2</w:t>
            </w:r>
            <w:r w:rsidR="00DF6AF5" w:rsidRPr="005C1371">
              <w:rPr>
                <w:color w:val="000000"/>
                <w:lang w:val="sv-SE"/>
              </w:rPr>
              <w:t>/dag, PO): dagar</w:t>
            </w:r>
            <w:r w:rsidRPr="00B52C37">
              <w:rPr>
                <w:color w:val="000000"/>
                <w:lang w:val="sv-SE"/>
              </w:rPr>
              <w:t> 1</w:t>
            </w:r>
            <w:r w:rsidRPr="00B52C37">
              <w:rPr>
                <w:color w:val="000000"/>
                <w:lang w:val="sv-SE"/>
              </w:rPr>
              <w:noBreakHyphen/>
              <w:t xml:space="preserve">7 </w:t>
            </w:r>
            <w:r w:rsidR="00DF6AF5" w:rsidRPr="00B52C37">
              <w:rPr>
                <w:color w:val="000000"/>
                <w:lang w:val="sv-SE"/>
              </w:rPr>
              <w:t>och</w:t>
            </w:r>
            <w:r w:rsidRPr="00B52C37">
              <w:rPr>
                <w:color w:val="000000"/>
                <w:lang w:val="sv-SE"/>
              </w:rPr>
              <w:t xml:space="preserve"> 15</w:t>
            </w:r>
            <w:r w:rsidRPr="00B52C37">
              <w:rPr>
                <w:color w:val="000000"/>
                <w:lang w:val="sv-SE"/>
              </w:rPr>
              <w:noBreakHyphen/>
              <w:t>21</w:t>
            </w:r>
          </w:p>
        </w:tc>
      </w:tr>
      <w:tr w:rsidR="00B6645D" w:rsidRPr="00644A2E" w14:paraId="5C408998" w14:textId="77777777" w:rsidTr="00C81D6E">
        <w:trPr>
          <w:cantSplit/>
        </w:trPr>
        <w:tc>
          <w:tcPr>
            <w:tcW w:w="2358" w:type="dxa"/>
            <w:shd w:val="clear" w:color="auto" w:fill="auto"/>
          </w:tcPr>
          <w:p w14:paraId="397A0DBF" w14:textId="77777777" w:rsidR="00663AC3" w:rsidRDefault="00DF6AF5" w:rsidP="00463647">
            <w:pPr>
              <w:pStyle w:val="EndnoteText"/>
              <w:widowControl w:val="0"/>
              <w:rPr>
                <w:color w:val="000000"/>
              </w:rPr>
            </w:pPr>
            <w:r>
              <w:rPr>
                <w:color w:val="000000"/>
                <w:lang w:val="sv-SE"/>
              </w:rPr>
              <w:t>Intensifieringsblock</w:t>
            </w:r>
            <w:r w:rsidR="00663AC3">
              <w:rPr>
                <w:color w:val="000000"/>
              </w:rPr>
              <w:t> </w:t>
            </w:r>
            <w:r w:rsidR="00663AC3" w:rsidRPr="00240FD6">
              <w:rPr>
                <w:color w:val="000000"/>
              </w:rPr>
              <w:t>2</w:t>
            </w:r>
          </w:p>
          <w:p w14:paraId="1A6E25A4" w14:textId="77777777" w:rsidR="00663AC3" w:rsidRPr="00240FD6" w:rsidRDefault="00663AC3" w:rsidP="00463647">
            <w:pPr>
              <w:pStyle w:val="EndnoteText"/>
              <w:widowControl w:val="0"/>
              <w:rPr>
                <w:color w:val="000000"/>
              </w:rPr>
            </w:pPr>
            <w:r w:rsidRPr="00240FD6">
              <w:rPr>
                <w:color w:val="000000"/>
              </w:rPr>
              <w:t>(9</w:t>
            </w:r>
            <w:r>
              <w:rPr>
                <w:color w:val="000000"/>
              </w:rPr>
              <w:t> </w:t>
            </w:r>
            <w:r w:rsidR="00DF6AF5">
              <w:rPr>
                <w:color w:val="000000"/>
              </w:rPr>
              <w:t>veckor</w:t>
            </w:r>
            <w:r w:rsidRPr="00240FD6">
              <w:rPr>
                <w:color w:val="000000"/>
              </w:rPr>
              <w:t>)</w:t>
            </w:r>
          </w:p>
        </w:tc>
        <w:tc>
          <w:tcPr>
            <w:tcW w:w="6929" w:type="dxa"/>
            <w:shd w:val="clear" w:color="auto" w:fill="auto"/>
          </w:tcPr>
          <w:p w14:paraId="0EA6C279" w14:textId="77777777" w:rsidR="00663AC3" w:rsidRPr="009C5490" w:rsidRDefault="00DF6AF5" w:rsidP="00463647">
            <w:pPr>
              <w:pStyle w:val="EndnoteText"/>
              <w:widowControl w:val="0"/>
              <w:rPr>
                <w:color w:val="000000"/>
                <w:lang w:val="sv-SE"/>
              </w:rPr>
            </w:pPr>
            <w:r w:rsidRPr="009C3437">
              <w:rPr>
                <w:color w:val="000000"/>
                <w:lang w:val="sv-SE"/>
              </w:rPr>
              <w:t>Metotrexat</w:t>
            </w:r>
            <w:r w:rsidR="00663AC3" w:rsidRPr="009C3437">
              <w:rPr>
                <w:color w:val="000000"/>
                <w:lang w:val="sv-SE"/>
              </w:rPr>
              <w:t xml:space="preserve"> (5 g/m</w:t>
            </w:r>
            <w:r w:rsidR="00663AC3" w:rsidRPr="009C3437">
              <w:rPr>
                <w:color w:val="000000"/>
                <w:vertAlign w:val="superscript"/>
                <w:lang w:val="sv-SE"/>
              </w:rPr>
              <w:t>2</w:t>
            </w:r>
            <w:r w:rsidR="00663AC3" w:rsidRPr="009C3437">
              <w:rPr>
                <w:color w:val="000000"/>
                <w:lang w:val="sv-SE"/>
              </w:rPr>
              <w:t xml:space="preserve"> </w:t>
            </w:r>
            <w:r w:rsidRPr="009C3437">
              <w:rPr>
                <w:color w:val="000000"/>
                <w:lang w:val="sv-SE"/>
              </w:rPr>
              <w:t>över</w:t>
            </w:r>
            <w:r w:rsidR="00663AC3" w:rsidRPr="009C3437">
              <w:rPr>
                <w:color w:val="000000"/>
                <w:lang w:val="sv-SE"/>
              </w:rPr>
              <w:t xml:space="preserve"> 24 </w:t>
            </w:r>
            <w:r w:rsidRPr="009C3437">
              <w:rPr>
                <w:color w:val="000000"/>
                <w:lang w:val="sv-SE"/>
              </w:rPr>
              <w:t>timmar</w:t>
            </w:r>
            <w:r w:rsidR="00663AC3" w:rsidRPr="009C3437">
              <w:rPr>
                <w:color w:val="000000"/>
                <w:lang w:val="sv-SE"/>
              </w:rPr>
              <w:t>, IV): da</w:t>
            </w:r>
            <w:r w:rsidRPr="009C3437">
              <w:rPr>
                <w:color w:val="000000"/>
                <w:lang w:val="sv-SE"/>
              </w:rPr>
              <w:t>gar</w:t>
            </w:r>
            <w:r w:rsidR="00663AC3" w:rsidRPr="009C3437">
              <w:rPr>
                <w:color w:val="000000"/>
                <w:lang w:val="sv-SE"/>
              </w:rPr>
              <w:t xml:space="preserve"> 1 </w:t>
            </w:r>
            <w:r w:rsidRPr="009C3437">
              <w:rPr>
                <w:color w:val="000000"/>
                <w:lang w:val="sv-SE"/>
              </w:rPr>
              <w:t>och</w:t>
            </w:r>
            <w:r w:rsidR="00663AC3" w:rsidRPr="009C5490">
              <w:rPr>
                <w:color w:val="000000"/>
                <w:lang w:val="sv-SE"/>
              </w:rPr>
              <w:t xml:space="preserve"> 15</w:t>
            </w:r>
          </w:p>
          <w:p w14:paraId="2E7F50C8" w14:textId="77777777" w:rsidR="00663AC3" w:rsidRPr="00B52C37" w:rsidRDefault="00663AC3" w:rsidP="00463647">
            <w:pPr>
              <w:pStyle w:val="EndnoteText"/>
              <w:widowControl w:val="0"/>
              <w:rPr>
                <w:color w:val="000000"/>
                <w:lang w:val="sv-SE"/>
              </w:rPr>
            </w:pPr>
            <w:r w:rsidRPr="00065E92">
              <w:rPr>
                <w:color w:val="000000"/>
                <w:lang w:val="sv-SE"/>
              </w:rPr>
              <w:t>Leucovorin (75 mg/m</w:t>
            </w:r>
            <w:r w:rsidRPr="00065E92">
              <w:rPr>
                <w:color w:val="000000"/>
                <w:vertAlign w:val="superscript"/>
                <w:lang w:val="sv-SE"/>
              </w:rPr>
              <w:t>2</w:t>
            </w:r>
            <w:r w:rsidRPr="005C1371">
              <w:rPr>
                <w:color w:val="000000"/>
                <w:lang w:val="sv-SE"/>
              </w:rPr>
              <w:t xml:space="preserve"> </w:t>
            </w:r>
            <w:r w:rsidR="00DF6AF5" w:rsidRPr="005C1371">
              <w:rPr>
                <w:color w:val="000000"/>
                <w:lang w:val="sv-SE"/>
              </w:rPr>
              <w:t>vid timme</w:t>
            </w:r>
            <w:r w:rsidRPr="005C1371">
              <w:rPr>
                <w:color w:val="000000"/>
                <w:lang w:val="sv-SE"/>
              </w:rPr>
              <w:t> 36, IV; 15 mg/m</w:t>
            </w:r>
            <w:r w:rsidRPr="005C1371">
              <w:rPr>
                <w:color w:val="000000"/>
                <w:vertAlign w:val="superscript"/>
                <w:lang w:val="sv-SE"/>
              </w:rPr>
              <w:t>2</w:t>
            </w:r>
            <w:r w:rsidR="00DF6AF5" w:rsidRPr="005C1371">
              <w:rPr>
                <w:color w:val="000000"/>
                <w:lang w:val="sv-SE"/>
              </w:rPr>
              <w:t xml:space="preserve"> IV eller</w:t>
            </w:r>
            <w:r w:rsidRPr="005C1371">
              <w:rPr>
                <w:color w:val="000000"/>
                <w:lang w:val="sv-SE"/>
              </w:rPr>
              <w:t xml:space="preserve"> PO q6</w:t>
            </w:r>
            <w:r w:rsidR="00DF6AF5" w:rsidRPr="005C1371">
              <w:rPr>
                <w:color w:val="000000"/>
                <w:lang w:val="sv-SE"/>
              </w:rPr>
              <w:t>tim x 6 doser</w:t>
            </w:r>
            <w:r w:rsidRPr="005C1371">
              <w:rPr>
                <w:color w:val="000000"/>
                <w:lang w:val="sv-SE"/>
              </w:rPr>
              <w:t>)iii: da</w:t>
            </w:r>
            <w:r w:rsidR="00DF6AF5" w:rsidRPr="005C1371">
              <w:rPr>
                <w:color w:val="000000"/>
                <w:lang w:val="sv-SE"/>
              </w:rPr>
              <w:t>gar</w:t>
            </w:r>
            <w:r w:rsidRPr="005C1371">
              <w:rPr>
                <w:color w:val="000000"/>
                <w:lang w:val="sv-SE"/>
              </w:rPr>
              <w:t xml:space="preserve"> 2, 3, 16, </w:t>
            </w:r>
            <w:r w:rsidR="00DF6AF5" w:rsidRPr="005C1371">
              <w:rPr>
                <w:color w:val="000000"/>
                <w:lang w:val="sv-SE"/>
              </w:rPr>
              <w:t>och</w:t>
            </w:r>
            <w:r w:rsidRPr="00B52C37">
              <w:rPr>
                <w:color w:val="000000"/>
                <w:lang w:val="sv-SE"/>
              </w:rPr>
              <w:t xml:space="preserve"> 17</w:t>
            </w:r>
          </w:p>
          <w:p w14:paraId="654AE4AB" w14:textId="77777777" w:rsidR="00663AC3" w:rsidRPr="00946267" w:rsidRDefault="00663AC3" w:rsidP="00463647">
            <w:pPr>
              <w:pStyle w:val="EndnoteText"/>
              <w:widowControl w:val="0"/>
              <w:rPr>
                <w:color w:val="000000"/>
                <w:lang w:val="sv-SE"/>
              </w:rPr>
            </w:pPr>
            <w:r w:rsidRPr="00B52C37">
              <w:rPr>
                <w:color w:val="000000"/>
                <w:lang w:val="sv-SE"/>
              </w:rPr>
              <w:t>Trip</w:t>
            </w:r>
            <w:r w:rsidR="00DF6AF5" w:rsidRPr="004327DE">
              <w:rPr>
                <w:color w:val="000000"/>
                <w:lang w:val="sv-SE"/>
              </w:rPr>
              <w:t>pel</w:t>
            </w:r>
            <w:r w:rsidRPr="004327DE">
              <w:rPr>
                <w:color w:val="000000"/>
                <w:lang w:val="sv-SE"/>
              </w:rPr>
              <w:t xml:space="preserve"> IT t</w:t>
            </w:r>
            <w:r w:rsidR="00DF6AF5" w:rsidRPr="004327DE">
              <w:rPr>
                <w:color w:val="000000"/>
                <w:lang w:val="sv-SE"/>
              </w:rPr>
              <w:t>erapi</w:t>
            </w:r>
            <w:r w:rsidRPr="008A1A8C">
              <w:rPr>
                <w:color w:val="000000"/>
                <w:lang w:val="sv-SE"/>
              </w:rPr>
              <w:t xml:space="preserve"> (</w:t>
            </w:r>
            <w:r w:rsidR="00DF6AF5" w:rsidRPr="008A1A8C">
              <w:rPr>
                <w:color w:val="000000"/>
                <w:lang w:val="sv-SE"/>
              </w:rPr>
              <w:t>åldersjusterad</w:t>
            </w:r>
            <w:r w:rsidRPr="008A1A8C">
              <w:rPr>
                <w:color w:val="000000"/>
                <w:lang w:val="sv-SE"/>
              </w:rPr>
              <w:t>): da</w:t>
            </w:r>
            <w:r w:rsidR="00DF6AF5" w:rsidRPr="008A1A8C">
              <w:rPr>
                <w:color w:val="000000"/>
                <w:lang w:val="sv-SE"/>
              </w:rPr>
              <w:t>gar </w:t>
            </w:r>
            <w:r w:rsidRPr="00946267">
              <w:rPr>
                <w:color w:val="000000"/>
                <w:lang w:val="sv-SE"/>
              </w:rPr>
              <w:t xml:space="preserve">1 </w:t>
            </w:r>
            <w:r w:rsidR="00DF6AF5" w:rsidRPr="00946267">
              <w:rPr>
                <w:color w:val="000000"/>
                <w:lang w:val="sv-SE"/>
              </w:rPr>
              <w:t>och</w:t>
            </w:r>
            <w:r w:rsidRPr="00946267">
              <w:rPr>
                <w:color w:val="000000"/>
                <w:lang w:val="sv-SE"/>
              </w:rPr>
              <w:t xml:space="preserve"> 22</w:t>
            </w:r>
          </w:p>
          <w:p w14:paraId="05335010" w14:textId="77777777" w:rsidR="00663AC3" w:rsidRPr="00717594" w:rsidRDefault="00663AC3" w:rsidP="00463647">
            <w:pPr>
              <w:pStyle w:val="EndnoteText"/>
              <w:widowControl w:val="0"/>
              <w:rPr>
                <w:color w:val="000000"/>
                <w:lang w:val="sv-SE"/>
              </w:rPr>
            </w:pPr>
            <w:r w:rsidRPr="00717594">
              <w:rPr>
                <w:color w:val="000000"/>
                <w:lang w:val="sv-SE"/>
              </w:rPr>
              <w:t>VP-16 (100 mg/m</w:t>
            </w:r>
            <w:r w:rsidRPr="00717594">
              <w:rPr>
                <w:color w:val="000000"/>
                <w:vertAlign w:val="superscript"/>
                <w:lang w:val="sv-SE"/>
              </w:rPr>
              <w:t>2</w:t>
            </w:r>
            <w:r w:rsidRPr="00717594">
              <w:rPr>
                <w:color w:val="000000"/>
                <w:lang w:val="sv-SE"/>
              </w:rPr>
              <w:t>/da</w:t>
            </w:r>
            <w:r w:rsidR="00DF6AF5" w:rsidRPr="00717594">
              <w:rPr>
                <w:color w:val="000000"/>
                <w:lang w:val="sv-SE"/>
              </w:rPr>
              <w:t>g</w:t>
            </w:r>
            <w:r w:rsidRPr="00717594">
              <w:rPr>
                <w:color w:val="000000"/>
                <w:lang w:val="sv-SE"/>
              </w:rPr>
              <w:t>, IV): da</w:t>
            </w:r>
            <w:r w:rsidR="00DF6AF5" w:rsidRPr="00717594">
              <w:rPr>
                <w:color w:val="000000"/>
                <w:lang w:val="sv-SE"/>
              </w:rPr>
              <w:t>gar</w:t>
            </w:r>
            <w:r w:rsidRPr="00717594">
              <w:rPr>
                <w:color w:val="000000"/>
                <w:lang w:val="sv-SE"/>
              </w:rPr>
              <w:t> 22</w:t>
            </w:r>
            <w:r w:rsidRPr="00717594">
              <w:rPr>
                <w:color w:val="000000"/>
                <w:lang w:val="sv-SE"/>
              </w:rPr>
              <w:noBreakHyphen/>
              <w:t>26</w:t>
            </w:r>
          </w:p>
          <w:p w14:paraId="1C93246C" w14:textId="77777777" w:rsidR="00663AC3" w:rsidRPr="005E4B92" w:rsidRDefault="00663AC3" w:rsidP="00463647">
            <w:pPr>
              <w:pStyle w:val="EndnoteText"/>
              <w:widowControl w:val="0"/>
              <w:rPr>
                <w:color w:val="000000"/>
                <w:lang w:val="sv-SE"/>
              </w:rPr>
            </w:pPr>
            <w:r w:rsidRPr="005E4B92">
              <w:rPr>
                <w:color w:val="000000"/>
                <w:lang w:val="sv-SE"/>
              </w:rPr>
              <w:t>CPM (300 mg/m</w:t>
            </w:r>
            <w:r w:rsidRPr="005E4B92">
              <w:rPr>
                <w:color w:val="000000"/>
                <w:vertAlign w:val="superscript"/>
                <w:lang w:val="sv-SE"/>
              </w:rPr>
              <w:t>2</w:t>
            </w:r>
            <w:r w:rsidRPr="005E4B92">
              <w:rPr>
                <w:color w:val="000000"/>
                <w:lang w:val="sv-SE"/>
              </w:rPr>
              <w:t>/da</w:t>
            </w:r>
            <w:r w:rsidR="00DF6AF5" w:rsidRPr="005E4B92">
              <w:rPr>
                <w:color w:val="000000"/>
                <w:lang w:val="sv-SE"/>
              </w:rPr>
              <w:t>g</w:t>
            </w:r>
            <w:r w:rsidRPr="005E4B92">
              <w:rPr>
                <w:color w:val="000000"/>
                <w:lang w:val="sv-SE"/>
              </w:rPr>
              <w:t>, IV): da</w:t>
            </w:r>
            <w:r w:rsidR="00DF6AF5" w:rsidRPr="005E4B92">
              <w:rPr>
                <w:color w:val="000000"/>
                <w:lang w:val="sv-SE"/>
              </w:rPr>
              <w:t>gar</w:t>
            </w:r>
            <w:r w:rsidRPr="005E4B92">
              <w:rPr>
                <w:color w:val="000000"/>
                <w:lang w:val="sv-SE"/>
              </w:rPr>
              <w:t> 22</w:t>
            </w:r>
            <w:r w:rsidRPr="005E4B92">
              <w:rPr>
                <w:color w:val="000000"/>
                <w:lang w:val="sv-SE"/>
              </w:rPr>
              <w:noBreakHyphen/>
              <w:t>26</w:t>
            </w:r>
          </w:p>
          <w:p w14:paraId="53E8F5F6" w14:textId="77777777" w:rsidR="00663AC3" w:rsidRPr="009652FC" w:rsidRDefault="00663AC3" w:rsidP="00463647">
            <w:pPr>
              <w:pStyle w:val="EndnoteText"/>
              <w:widowControl w:val="0"/>
              <w:rPr>
                <w:color w:val="000000"/>
                <w:lang w:val="sv-SE"/>
              </w:rPr>
            </w:pPr>
            <w:r w:rsidRPr="00DE796E">
              <w:rPr>
                <w:color w:val="000000"/>
                <w:lang w:val="sv-SE"/>
              </w:rPr>
              <w:t>MESNA (150 mg/m</w:t>
            </w:r>
            <w:r w:rsidRPr="00203BEF">
              <w:rPr>
                <w:color w:val="000000"/>
                <w:vertAlign w:val="superscript"/>
                <w:lang w:val="sv-SE"/>
              </w:rPr>
              <w:t>2</w:t>
            </w:r>
            <w:r w:rsidRPr="003960FF">
              <w:rPr>
                <w:color w:val="000000"/>
                <w:lang w:val="sv-SE"/>
              </w:rPr>
              <w:t>/da</w:t>
            </w:r>
            <w:r w:rsidR="00DF6AF5" w:rsidRPr="003960FF">
              <w:rPr>
                <w:color w:val="000000"/>
                <w:lang w:val="sv-SE"/>
              </w:rPr>
              <w:t>g</w:t>
            </w:r>
            <w:r w:rsidRPr="009652FC">
              <w:rPr>
                <w:color w:val="000000"/>
                <w:lang w:val="sv-SE"/>
              </w:rPr>
              <w:t>, IV): da</w:t>
            </w:r>
            <w:r w:rsidR="00DF6AF5" w:rsidRPr="009652FC">
              <w:rPr>
                <w:color w:val="000000"/>
                <w:lang w:val="sv-SE"/>
              </w:rPr>
              <w:t>gar</w:t>
            </w:r>
            <w:r w:rsidRPr="009652FC">
              <w:rPr>
                <w:color w:val="000000"/>
                <w:lang w:val="sv-SE"/>
              </w:rPr>
              <w:t> 22</w:t>
            </w:r>
            <w:r w:rsidRPr="009652FC">
              <w:rPr>
                <w:color w:val="000000"/>
                <w:lang w:val="sv-SE"/>
              </w:rPr>
              <w:noBreakHyphen/>
              <w:t>26</w:t>
            </w:r>
          </w:p>
          <w:p w14:paraId="2B30B715" w14:textId="77777777" w:rsidR="00663AC3" w:rsidRPr="009C3437" w:rsidRDefault="00663AC3" w:rsidP="00463647">
            <w:pPr>
              <w:pStyle w:val="EndnoteText"/>
              <w:widowControl w:val="0"/>
              <w:rPr>
                <w:color w:val="000000"/>
                <w:lang w:val="sv-SE"/>
              </w:rPr>
            </w:pPr>
            <w:r w:rsidRPr="004E6EB6">
              <w:rPr>
                <w:color w:val="000000"/>
                <w:lang w:val="sv-SE"/>
              </w:rPr>
              <w:t>G-CSF (5 </w:t>
            </w:r>
            <w:r w:rsidRPr="004E6EB6">
              <w:rPr>
                <w:color w:val="000000"/>
              </w:rPr>
              <w:t>μ</w:t>
            </w:r>
            <w:r w:rsidRPr="004E6EB6">
              <w:rPr>
                <w:color w:val="000000"/>
                <w:lang w:val="sv-SE"/>
              </w:rPr>
              <w:t>g/kg, SC): da</w:t>
            </w:r>
            <w:r w:rsidR="00DF6AF5" w:rsidRPr="00DA7134">
              <w:rPr>
                <w:color w:val="000000"/>
                <w:lang w:val="sv-SE"/>
              </w:rPr>
              <w:t>gar</w:t>
            </w:r>
            <w:r w:rsidRPr="00DA7134">
              <w:rPr>
                <w:color w:val="000000"/>
                <w:lang w:val="sv-SE"/>
              </w:rPr>
              <w:t> 27</w:t>
            </w:r>
            <w:r w:rsidRPr="00DA7134">
              <w:rPr>
                <w:color w:val="000000"/>
                <w:lang w:val="sv-SE"/>
              </w:rPr>
              <w:noBreakHyphen/>
              <w:t xml:space="preserve">36 </w:t>
            </w:r>
            <w:r w:rsidR="00DF6AF5" w:rsidRPr="002B1538">
              <w:rPr>
                <w:color w:val="000000"/>
                <w:lang w:val="sv-SE"/>
              </w:rPr>
              <w:t>eller tills</w:t>
            </w:r>
            <w:r w:rsidRPr="00FD4105">
              <w:rPr>
                <w:color w:val="000000"/>
                <w:lang w:val="sv-SE"/>
              </w:rPr>
              <w:t xml:space="preserve"> ANC &gt; 1500 </w:t>
            </w:r>
            <w:r w:rsidR="00116C97" w:rsidRPr="009C3437">
              <w:rPr>
                <w:color w:val="000000"/>
                <w:lang w:val="sv-SE"/>
              </w:rPr>
              <w:t>efter</w:t>
            </w:r>
            <w:r w:rsidRPr="009C3437">
              <w:rPr>
                <w:color w:val="000000"/>
                <w:lang w:val="sv-SE"/>
              </w:rPr>
              <w:t xml:space="preserve"> nadir</w:t>
            </w:r>
          </w:p>
          <w:p w14:paraId="06EC7CDF" w14:textId="77777777" w:rsidR="00663AC3" w:rsidRPr="005C1371" w:rsidRDefault="00663AC3" w:rsidP="00463647">
            <w:pPr>
              <w:pStyle w:val="EndnoteText"/>
              <w:widowControl w:val="0"/>
              <w:rPr>
                <w:color w:val="000000"/>
                <w:lang w:val="sv-SE"/>
              </w:rPr>
            </w:pPr>
            <w:r w:rsidRPr="009C5490">
              <w:rPr>
                <w:color w:val="000000"/>
                <w:lang w:val="sv-SE"/>
              </w:rPr>
              <w:t>ARA-C (3 g/m</w:t>
            </w:r>
            <w:r w:rsidRPr="009C5490">
              <w:rPr>
                <w:color w:val="000000"/>
                <w:vertAlign w:val="superscript"/>
                <w:lang w:val="sv-SE"/>
              </w:rPr>
              <w:t>2</w:t>
            </w:r>
            <w:r w:rsidR="00DF6AF5" w:rsidRPr="009C5490">
              <w:rPr>
                <w:color w:val="000000"/>
                <w:lang w:val="sv-SE"/>
              </w:rPr>
              <w:t>, q12</w:t>
            </w:r>
            <w:r w:rsidR="00DF6AF5" w:rsidRPr="00065E92">
              <w:rPr>
                <w:color w:val="000000"/>
                <w:lang w:val="sv-SE"/>
              </w:rPr>
              <w:t>tim</w:t>
            </w:r>
            <w:r w:rsidRPr="00065E92">
              <w:rPr>
                <w:color w:val="000000"/>
                <w:lang w:val="sv-SE"/>
              </w:rPr>
              <w:t>, IV): da</w:t>
            </w:r>
            <w:r w:rsidR="00DF6AF5" w:rsidRPr="005C1371">
              <w:rPr>
                <w:color w:val="000000"/>
                <w:lang w:val="sv-SE"/>
              </w:rPr>
              <w:t>gar</w:t>
            </w:r>
            <w:r w:rsidRPr="005C1371">
              <w:rPr>
                <w:color w:val="000000"/>
                <w:lang w:val="sv-SE"/>
              </w:rPr>
              <w:t> 43, 44</w:t>
            </w:r>
          </w:p>
          <w:p w14:paraId="397F1B21" w14:textId="77777777" w:rsidR="00663AC3" w:rsidRPr="00946267" w:rsidRDefault="00663AC3" w:rsidP="00463647">
            <w:pPr>
              <w:pStyle w:val="EndnoteText"/>
              <w:widowControl w:val="0"/>
              <w:rPr>
                <w:color w:val="000000"/>
                <w:lang w:val="de-DE"/>
              </w:rPr>
            </w:pPr>
            <w:r w:rsidRPr="00946267">
              <w:rPr>
                <w:color w:val="000000"/>
                <w:lang w:val="de-DE"/>
              </w:rPr>
              <w:t>L-ASP (6000 </w:t>
            </w:r>
            <w:r w:rsidR="00B52C37" w:rsidRPr="00946267">
              <w:rPr>
                <w:color w:val="000000"/>
                <w:lang w:val="de-DE"/>
              </w:rPr>
              <w:t>IE/</w:t>
            </w:r>
            <w:r w:rsidRPr="00946267">
              <w:rPr>
                <w:color w:val="000000"/>
                <w:lang w:val="de-DE"/>
              </w:rPr>
              <w:t>m</w:t>
            </w:r>
            <w:r w:rsidRPr="00946267">
              <w:rPr>
                <w:color w:val="000000"/>
                <w:vertAlign w:val="superscript"/>
                <w:lang w:val="de-DE"/>
              </w:rPr>
              <w:t>2</w:t>
            </w:r>
            <w:r w:rsidRPr="00946267">
              <w:rPr>
                <w:color w:val="000000"/>
                <w:lang w:val="de-DE"/>
              </w:rPr>
              <w:t>, IM): da</w:t>
            </w:r>
            <w:r w:rsidR="00DF6AF5" w:rsidRPr="00946267">
              <w:rPr>
                <w:color w:val="000000"/>
                <w:lang w:val="de-DE"/>
              </w:rPr>
              <w:t>g</w:t>
            </w:r>
            <w:r w:rsidRPr="00946267">
              <w:rPr>
                <w:color w:val="000000"/>
                <w:lang w:val="de-DE"/>
              </w:rPr>
              <w:t> 44</w:t>
            </w:r>
          </w:p>
        </w:tc>
      </w:tr>
      <w:tr w:rsidR="00B6645D" w:rsidRPr="00644A2E" w14:paraId="7A8E67AF" w14:textId="77777777" w:rsidTr="00C81D6E">
        <w:trPr>
          <w:cantSplit/>
        </w:trPr>
        <w:tc>
          <w:tcPr>
            <w:tcW w:w="2358" w:type="dxa"/>
            <w:shd w:val="clear" w:color="auto" w:fill="auto"/>
          </w:tcPr>
          <w:p w14:paraId="32EB666F" w14:textId="77777777" w:rsidR="00DF6AF5" w:rsidRDefault="00DF6AF5" w:rsidP="00463647">
            <w:pPr>
              <w:pStyle w:val="EndnoteText"/>
              <w:widowControl w:val="0"/>
              <w:rPr>
                <w:color w:val="000000"/>
              </w:rPr>
            </w:pPr>
            <w:r>
              <w:rPr>
                <w:color w:val="000000"/>
              </w:rPr>
              <w:t>Underhållsbehandling</w:t>
            </w:r>
          </w:p>
          <w:p w14:paraId="0BC57E7A" w14:textId="77777777" w:rsidR="00663AC3" w:rsidRDefault="00663AC3" w:rsidP="00463647">
            <w:pPr>
              <w:pStyle w:val="EndnoteText"/>
              <w:widowControl w:val="0"/>
              <w:rPr>
                <w:color w:val="000000"/>
              </w:rPr>
            </w:pPr>
            <w:r w:rsidRPr="00240FD6">
              <w:rPr>
                <w:color w:val="000000"/>
              </w:rPr>
              <w:t>(8-</w:t>
            </w:r>
            <w:r w:rsidR="00DF6AF5">
              <w:rPr>
                <w:color w:val="000000"/>
              </w:rPr>
              <w:t>veckors cykler</w:t>
            </w:r>
            <w:r w:rsidRPr="00240FD6">
              <w:rPr>
                <w:color w:val="000000"/>
              </w:rPr>
              <w:t>)</w:t>
            </w:r>
          </w:p>
          <w:p w14:paraId="3291D31B" w14:textId="77777777" w:rsidR="00663AC3" w:rsidRPr="00240FD6" w:rsidRDefault="00DF6AF5" w:rsidP="00463647">
            <w:pPr>
              <w:pStyle w:val="EndnoteText"/>
              <w:widowControl w:val="0"/>
              <w:rPr>
                <w:color w:val="000000"/>
              </w:rPr>
            </w:pPr>
            <w:r>
              <w:rPr>
                <w:color w:val="000000"/>
              </w:rPr>
              <w:t>Cykler</w:t>
            </w:r>
            <w:r w:rsidR="00663AC3">
              <w:rPr>
                <w:color w:val="000000"/>
              </w:rPr>
              <w:t> </w:t>
            </w:r>
            <w:r w:rsidR="00663AC3" w:rsidRPr="00240FD6">
              <w:rPr>
                <w:color w:val="000000"/>
              </w:rPr>
              <w:t>1–4</w:t>
            </w:r>
          </w:p>
        </w:tc>
        <w:tc>
          <w:tcPr>
            <w:tcW w:w="6929" w:type="dxa"/>
            <w:shd w:val="clear" w:color="auto" w:fill="auto"/>
          </w:tcPr>
          <w:p w14:paraId="1F5C82E9" w14:textId="77777777" w:rsidR="00663AC3" w:rsidRPr="009C3437" w:rsidRDefault="00663AC3" w:rsidP="00463647">
            <w:pPr>
              <w:pStyle w:val="EndnoteText"/>
              <w:widowControl w:val="0"/>
              <w:rPr>
                <w:color w:val="000000"/>
                <w:lang w:val="sv-SE"/>
              </w:rPr>
            </w:pPr>
            <w:r w:rsidRPr="009C3437">
              <w:rPr>
                <w:color w:val="000000"/>
                <w:lang w:val="sv-SE"/>
              </w:rPr>
              <w:t>MTX (5 g/m</w:t>
            </w:r>
            <w:r w:rsidRPr="009C3437">
              <w:rPr>
                <w:color w:val="000000"/>
                <w:vertAlign w:val="superscript"/>
                <w:lang w:val="sv-SE"/>
              </w:rPr>
              <w:t>2</w:t>
            </w:r>
            <w:r w:rsidR="00DF6AF5" w:rsidRPr="009C3437">
              <w:rPr>
                <w:color w:val="000000"/>
                <w:lang w:val="sv-SE"/>
              </w:rPr>
              <w:t xml:space="preserve"> över 24 timmar</w:t>
            </w:r>
            <w:r w:rsidRPr="009C3437">
              <w:rPr>
                <w:color w:val="000000"/>
                <w:lang w:val="sv-SE"/>
              </w:rPr>
              <w:t>, IV): da</w:t>
            </w:r>
            <w:r w:rsidR="00DF6AF5" w:rsidRPr="009C3437">
              <w:rPr>
                <w:color w:val="000000"/>
                <w:lang w:val="sv-SE"/>
              </w:rPr>
              <w:t>g</w:t>
            </w:r>
            <w:r w:rsidRPr="009C3437">
              <w:rPr>
                <w:color w:val="000000"/>
                <w:lang w:val="sv-SE"/>
              </w:rPr>
              <w:t> 1</w:t>
            </w:r>
          </w:p>
          <w:p w14:paraId="3B16DECA" w14:textId="77777777" w:rsidR="00663AC3" w:rsidRPr="005C1371" w:rsidRDefault="00663AC3" w:rsidP="00463647">
            <w:pPr>
              <w:pStyle w:val="EndnoteText"/>
              <w:widowControl w:val="0"/>
              <w:rPr>
                <w:color w:val="000000"/>
                <w:lang w:val="sv-SE"/>
              </w:rPr>
            </w:pPr>
            <w:r w:rsidRPr="009C5490">
              <w:rPr>
                <w:color w:val="000000"/>
                <w:lang w:val="sv-SE"/>
              </w:rPr>
              <w:t>Leucovorin (75 mg/m</w:t>
            </w:r>
            <w:r w:rsidRPr="009C5490">
              <w:rPr>
                <w:color w:val="000000"/>
                <w:vertAlign w:val="superscript"/>
                <w:lang w:val="sv-SE"/>
              </w:rPr>
              <w:t>2</w:t>
            </w:r>
            <w:r w:rsidRPr="009C5490">
              <w:rPr>
                <w:color w:val="000000"/>
                <w:lang w:val="sv-SE"/>
              </w:rPr>
              <w:t xml:space="preserve"> </w:t>
            </w:r>
            <w:r w:rsidR="00DF6AF5" w:rsidRPr="00065E92">
              <w:rPr>
                <w:color w:val="000000"/>
                <w:lang w:val="sv-SE"/>
              </w:rPr>
              <w:t>vid timme</w:t>
            </w:r>
            <w:r w:rsidRPr="005C1371">
              <w:rPr>
                <w:color w:val="000000"/>
                <w:lang w:val="sv-SE"/>
              </w:rPr>
              <w:t> 36, IV; 15 mg/m</w:t>
            </w:r>
            <w:r w:rsidRPr="005C1371">
              <w:rPr>
                <w:color w:val="000000"/>
                <w:vertAlign w:val="superscript"/>
                <w:lang w:val="sv-SE"/>
              </w:rPr>
              <w:t>2</w:t>
            </w:r>
            <w:r w:rsidR="00DF6AF5" w:rsidRPr="005C1371">
              <w:rPr>
                <w:color w:val="000000"/>
                <w:lang w:val="sv-SE"/>
              </w:rPr>
              <w:t xml:space="preserve"> IV eller</w:t>
            </w:r>
            <w:r w:rsidRPr="005C1371">
              <w:rPr>
                <w:color w:val="000000"/>
                <w:lang w:val="sv-SE"/>
              </w:rPr>
              <w:t xml:space="preserve"> PO q6</w:t>
            </w:r>
            <w:r w:rsidR="00DF6AF5" w:rsidRPr="005C1371">
              <w:rPr>
                <w:color w:val="000000"/>
                <w:lang w:val="sv-SE"/>
              </w:rPr>
              <w:t>tim</w:t>
            </w:r>
            <w:r w:rsidRPr="005C1371">
              <w:rPr>
                <w:color w:val="000000"/>
                <w:lang w:val="sv-SE"/>
              </w:rPr>
              <w:t xml:space="preserve"> x 6 dose</w:t>
            </w:r>
            <w:r w:rsidR="00DF6AF5" w:rsidRPr="005C1371">
              <w:rPr>
                <w:color w:val="000000"/>
                <w:lang w:val="sv-SE"/>
              </w:rPr>
              <w:t>r</w:t>
            </w:r>
            <w:r w:rsidRPr="005C1371">
              <w:rPr>
                <w:color w:val="000000"/>
                <w:lang w:val="sv-SE"/>
              </w:rPr>
              <w:t>)iii: da</w:t>
            </w:r>
            <w:r w:rsidR="00DF6AF5" w:rsidRPr="005C1371">
              <w:rPr>
                <w:color w:val="000000"/>
                <w:lang w:val="sv-SE"/>
              </w:rPr>
              <w:t>gar</w:t>
            </w:r>
            <w:r w:rsidRPr="005C1371">
              <w:rPr>
                <w:color w:val="000000"/>
                <w:lang w:val="sv-SE"/>
              </w:rPr>
              <w:t xml:space="preserve"> 2 </w:t>
            </w:r>
            <w:r w:rsidR="00DF6AF5" w:rsidRPr="005C1371">
              <w:rPr>
                <w:color w:val="000000"/>
                <w:lang w:val="sv-SE"/>
              </w:rPr>
              <w:t>och</w:t>
            </w:r>
            <w:r w:rsidRPr="005C1371">
              <w:rPr>
                <w:color w:val="000000"/>
                <w:lang w:val="sv-SE"/>
              </w:rPr>
              <w:t xml:space="preserve"> 3</w:t>
            </w:r>
          </w:p>
          <w:p w14:paraId="776DC36C" w14:textId="77777777" w:rsidR="00663AC3" w:rsidRPr="00B52C37" w:rsidRDefault="00663AC3" w:rsidP="00463647">
            <w:pPr>
              <w:pStyle w:val="EndnoteText"/>
              <w:widowControl w:val="0"/>
              <w:rPr>
                <w:color w:val="000000"/>
                <w:lang w:val="sv-SE"/>
              </w:rPr>
            </w:pPr>
            <w:r w:rsidRPr="00B52C37">
              <w:rPr>
                <w:color w:val="000000"/>
                <w:lang w:val="sv-SE"/>
              </w:rPr>
              <w:t>Trip</w:t>
            </w:r>
            <w:r w:rsidR="00DF6AF5" w:rsidRPr="00B52C37">
              <w:rPr>
                <w:color w:val="000000"/>
                <w:lang w:val="sv-SE"/>
              </w:rPr>
              <w:t xml:space="preserve">pel </w:t>
            </w:r>
            <w:r w:rsidRPr="00B52C37">
              <w:rPr>
                <w:color w:val="000000"/>
                <w:lang w:val="sv-SE"/>
              </w:rPr>
              <w:t>IT t</w:t>
            </w:r>
            <w:r w:rsidR="00DF6AF5" w:rsidRPr="00B52C37">
              <w:rPr>
                <w:color w:val="000000"/>
                <w:lang w:val="sv-SE"/>
              </w:rPr>
              <w:t>erapi</w:t>
            </w:r>
            <w:r w:rsidRPr="00B52C37">
              <w:rPr>
                <w:color w:val="000000"/>
                <w:lang w:val="sv-SE"/>
              </w:rPr>
              <w:t xml:space="preserve"> (</w:t>
            </w:r>
            <w:r w:rsidR="00791CB5" w:rsidRPr="00B52C37">
              <w:rPr>
                <w:color w:val="000000"/>
                <w:lang w:val="sv-SE"/>
              </w:rPr>
              <w:t>åldersjusterad</w:t>
            </w:r>
            <w:r w:rsidRPr="00B52C37">
              <w:rPr>
                <w:color w:val="000000"/>
                <w:lang w:val="sv-SE"/>
              </w:rPr>
              <w:t>): da</w:t>
            </w:r>
            <w:r w:rsidR="00791CB5" w:rsidRPr="00B52C37">
              <w:rPr>
                <w:color w:val="000000"/>
                <w:lang w:val="sv-SE"/>
              </w:rPr>
              <w:t>gar</w:t>
            </w:r>
            <w:r w:rsidRPr="00B52C37">
              <w:rPr>
                <w:color w:val="000000"/>
                <w:lang w:val="sv-SE"/>
              </w:rPr>
              <w:t> 1, 29</w:t>
            </w:r>
          </w:p>
          <w:p w14:paraId="48EEF07C" w14:textId="77777777" w:rsidR="00663AC3" w:rsidRPr="008A1A8C" w:rsidRDefault="00663AC3" w:rsidP="00463647">
            <w:pPr>
              <w:pStyle w:val="EndnoteText"/>
              <w:widowControl w:val="0"/>
              <w:rPr>
                <w:color w:val="000000"/>
                <w:lang w:val="sv-SE"/>
              </w:rPr>
            </w:pPr>
            <w:r w:rsidRPr="00B52C37">
              <w:rPr>
                <w:color w:val="000000"/>
                <w:lang w:val="sv-SE"/>
              </w:rPr>
              <w:t>VCR (1.5 mg/m</w:t>
            </w:r>
            <w:r w:rsidRPr="008A1A8C">
              <w:rPr>
                <w:color w:val="000000"/>
                <w:vertAlign w:val="superscript"/>
                <w:lang w:val="sv-SE"/>
              </w:rPr>
              <w:t>2</w:t>
            </w:r>
            <w:r w:rsidRPr="008A1A8C">
              <w:rPr>
                <w:color w:val="000000"/>
                <w:lang w:val="sv-SE"/>
              </w:rPr>
              <w:t>, IV): da</w:t>
            </w:r>
            <w:r w:rsidR="00791CB5" w:rsidRPr="008A1A8C">
              <w:rPr>
                <w:color w:val="000000"/>
                <w:lang w:val="sv-SE"/>
              </w:rPr>
              <w:t>gar</w:t>
            </w:r>
            <w:r w:rsidRPr="008A1A8C">
              <w:rPr>
                <w:color w:val="000000"/>
                <w:lang w:val="sv-SE"/>
              </w:rPr>
              <w:t> 1, 29</w:t>
            </w:r>
          </w:p>
          <w:p w14:paraId="118C8E68" w14:textId="77777777" w:rsidR="00663AC3" w:rsidRPr="00946267" w:rsidRDefault="00663AC3" w:rsidP="00463647">
            <w:pPr>
              <w:pStyle w:val="EndnoteText"/>
              <w:widowControl w:val="0"/>
              <w:rPr>
                <w:color w:val="000000"/>
                <w:lang w:val="sv-SE"/>
              </w:rPr>
            </w:pPr>
            <w:r w:rsidRPr="00946267">
              <w:rPr>
                <w:color w:val="000000"/>
                <w:lang w:val="sv-SE"/>
              </w:rPr>
              <w:t>DEX (6 mg/m</w:t>
            </w:r>
            <w:r w:rsidRPr="00946267">
              <w:rPr>
                <w:color w:val="000000"/>
                <w:vertAlign w:val="superscript"/>
                <w:lang w:val="sv-SE"/>
              </w:rPr>
              <w:t>2</w:t>
            </w:r>
            <w:r w:rsidRPr="00946267">
              <w:rPr>
                <w:color w:val="000000"/>
                <w:lang w:val="sv-SE"/>
              </w:rPr>
              <w:t>/da</w:t>
            </w:r>
            <w:r w:rsidR="00791CB5" w:rsidRPr="00946267">
              <w:rPr>
                <w:color w:val="000000"/>
                <w:lang w:val="sv-SE"/>
              </w:rPr>
              <w:t>g</w:t>
            </w:r>
            <w:r w:rsidRPr="00946267">
              <w:rPr>
                <w:color w:val="000000"/>
                <w:lang w:val="sv-SE"/>
              </w:rPr>
              <w:t xml:space="preserve"> PO): da</w:t>
            </w:r>
            <w:r w:rsidR="00791CB5" w:rsidRPr="00946267">
              <w:rPr>
                <w:color w:val="000000"/>
                <w:lang w:val="sv-SE"/>
              </w:rPr>
              <w:t>gar</w:t>
            </w:r>
            <w:r w:rsidRPr="00946267">
              <w:rPr>
                <w:color w:val="000000"/>
                <w:lang w:val="sv-SE"/>
              </w:rPr>
              <w:t> 1</w:t>
            </w:r>
            <w:r w:rsidRPr="00946267">
              <w:rPr>
                <w:color w:val="000000"/>
                <w:lang w:val="sv-SE"/>
              </w:rPr>
              <w:noBreakHyphen/>
              <w:t>5; 29</w:t>
            </w:r>
            <w:r w:rsidRPr="00946267">
              <w:rPr>
                <w:color w:val="000000"/>
                <w:lang w:val="sv-SE"/>
              </w:rPr>
              <w:noBreakHyphen/>
              <w:t>33</w:t>
            </w:r>
          </w:p>
          <w:p w14:paraId="583FD896" w14:textId="77777777" w:rsidR="00663AC3" w:rsidRPr="00717594" w:rsidRDefault="00663AC3" w:rsidP="00463647">
            <w:pPr>
              <w:pStyle w:val="EndnoteText"/>
              <w:widowControl w:val="0"/>
              <w:rPr>
                <w:color w:val="000000"/>
                <w:lang w:val="sv-SE"/>
              </w:rPr>
            </w:pPr>
            <w:r w:rsidRPr="00717594">
              <w:rPr>
                <w:color w:val="000000"/>
                <w:lang w:val="sv-SE"/>
              </w:rPr>
              <w:t>6-MP (75 mg/m</w:t>
            </w:r>
            <w:r w:rsidRPr="00717594">
              <w:rPr>
                <w:color w:val="000000"/>
                <w:vertAlign w:val="superscript"/>
                <w:lang w:val="sv-SE"/>
              </w:rPr>
              <w:t>2</w:t>
            </w:r>
            <w:r w:rsidRPr="00717594">
              <w:rPr>
                <w:color w:val="000000"/>
                <w:lang w:val="sv-SE"/>
              </w:rPr>
              <w:t>/da</w:t>
            </w:r>
            <w:r w:rsidR="00791CB5" w:rsidRPr="00717594">
              <w:rPr>
                <w:color w:val="000000"/>
                <w:lang w:val="sv-SE"/>
              </w:rPr>
              <w:t>g</w:t>
            </w:r>
            <w:r w:rsidRPr="00717594">
              <w:rPr>
                <w:color w:val="000000"/>
                <w:lang w:val="sv-SE"/>
              </w:rPr>
              <w:t>, PO): da</w:t>
            </w:r>
            <w:r w:rsidR="00791CB5" w:rsidRPr="00717594">
              <w:rPr>
                <w:color w:val="000000"/>
                <w:lang w:val="sv-SE"/>
              </w:rPr>
              <w:t>gar</w:t>
            </w:r>
            <w:r w:rsidRPr="00717594">
              <w:rPr>
                <w:color w:val="000000"/>
                <w:lang w:val="sv-SE"/>
              </w:rPr>
              <w:t> 8-28</w:t>
            </w:r>
          </w:p>
          <w:p w14:paraId="2464E429" w14:textId="77777777" w:rsidR="00663AC3" w:rsidRPr="003960FF" w:rsidRDefault="00663AC3" w:rsidP="00463647">
            <w:pPr>
              <w:pStyle w:val="EndnoteText"/>
              <w:widowControl w:val="0"/>
              <w:rPr>
                <w:color w:val="000000"/>
                <w:lang w:val="sv-SE"/>
              </w:rPr>
            </w:pPr>
            <w:r w:rsidRPr="005E4B92">
              <w:rPr>
                <w:color w:val="000000"/>
                <w:lang w:val="sv-SE"/>
              </w:rPr>
              <w:t>Met</w:t>
            </w:r>
            <w:r w:rsidR="00791CB5" w:rsidRPr="005E4B92">
              <w:rPr>
                <w:color w:val="000000"/>
                <w:lang w:val="sv-SE"/>
              </w:rPr>
              <w:t>otrexat</w:t>
            </w:r>
            <w:r w:rsidRPr="005E4B92">
              <w:rPr>
                <w:color w:val="000000"/>
                <w:lang w:val="sv-SE"/>
              </w:rPr>
              <w:t xml:space="preserve"> (20 mg/m</w:t>
            </w:r>
            <w:r w:rsidRPr="005E4B92">
              <w:rPr>
                <w:color w:val="000000"/>
                <w:vertAlign w:val="superscript"/>
                <w:lang w:val="sv-SE"/>
              </w:rPr>
              <w:t>2</w:t>
            </w:r>
            <w:r w:rsidRPr="005E4B92">
              <w:rPr>
                <w:color w:val="000000"/>
                <w:lang w:val="sv-SE"/>
              </w:rPr>
              <w:t>/</w:t>
            </w:r>
            <w:r w:rsidR="00791CB5" w:rsidRPr="005E4B92">
              <w:rPr>
                <w:color w:val="000000"/>
                <w:lang w:val="sv-SE"/>
              </w:rPr>
              <w:t>vecka</w:t>
            </w:r>
            <w:r w:rsidRPr="005E4B92">
              <w:rPr>
                <w:color w:val="000000"/>
                <w:lang w:val="sv-SE"/>
              </w:rPr>
              <w:t>, PO): da</w:t>
            </w:r>
            <w:r w:rsidR="00791CB5" w:rsidRPr="00DE796E">
              <w:rPr>
                <w:color w:val="000000"/>
                <w:lang w:val="sv-SE"/>
              </w:rPr>
              <w:t>gar</w:t>
            </w:r>
            <w:r w:rsidRPr="00203BEF">
              <w:rPr>
                <w:color w:val="000000"/>
                <w:lang w:val="sv-SE"/>
              </w:rPr>
              <w:t> </w:t>
            </w:r>
            <w:r w:rsidRPr="003960FF">
              <w:rPr>
                <w:color w:val="000000"/>
                <w:lang w:val="sv-SE"/>
              </w:rPr>
              <w:t>8, 15, 22</w:t>
            </w:r>
          </w:p>
          <w:p w14:paraId="4D91C16D" w14:textId="77777777" w:rsidR="00663AC3" w:rsidRPr="004E6EB6" w:rsidRDefault="00663AC3" w:rsidP="00463647">
            <w:pPr>
              <w:pStyle w:val="EndnoteText"/>
              <w:widowControl w:val="0"/>
              <w:rPr>
                <w:color w:val="000000"/>
                <w:lang w:val="sv-SE"/>
              </w:rPr>
            </w:pPr>
            <w:r w:rsidRPr="003960FF">
              <w:rPr>
                <w:color w:val="000000"/>
                <w:lang w:val="sv-SE"/>
              </w:rPr>
              <w:t>VP-16 (100 mg/m</w:t>
            </w:r>
            <w:r w:rsidRPr="009652FC">
              <w:rPr>
                <w:color w:val="000000"/>
                <w:vertAlign w:val="superscript"/>
                <w:lang w:val="sv-SE"/>
              </w:rPr>
              <w:t>2</w:t>
            </w:r>
            <w:r w:rsidRPr="009652FC">
              <w:rPr>
                <w:color w:val="000000"/>
                <w:lang w:val="sv-SE"/>
              </w:rPr>
              <w:t>, IV): da</w:t>
            </w:r>
            <w:r w:rsidR="00791CB5" w:rsidRPr="009652FC">
              <w:rPr>
                <w:color w:val="000000"/>
                <w:lang w:val="sv-SE"/>
              </w:rPr>
              <w:t>gar</w:t>
            </w:r>
            <w:r w:rsidRPr="004E6EB6">
              <w:rPr>
                <w:color w:val="000000"/>
                <w:lang w:val="sv-SE"/>
              </w:rPr>
              <w:t> 29</w:t>
            </w:r>
            <w:r w:rsidRPr="004E6EB6">
              <w:rPr>
                <w:color w:val="000000"/>
                <w:lang w:val="sv-SE"/>
              </w:rPr>
              <w:noBreakHyphen/>
              <w:t>33</w:t>
            </w:r>
          </w:p>
          <w:p w14:paraId="6BB645D7" w14:textId="77777777" w:rsidR="00663AC3" w:rsidRPr="00FD4105" w:rsidRDefault="00663AC3" w:rsidP="00463647">
            <w:pPr>
              <w:pStyle w:val="EndnoteText"/>
              <w:widowControl w:val="0"/>
              <w:rPr>
                <w:color w:val="000000"/>
                <w:lang w:val="sv-SE"/>
              </w:rPr>
            </w:pPr>
            <w:r w:rsidRPr="00DA7134">
              <w:rPr>
                <w:color w:val="000000"/>
                <w:lang w:val="sv-SE"/>
              </w:rPr>
              <w:t>CPM (300 mg/m</w:t>
            </w:r>
            <w:r w:rsidRPr="00DA7134">
              <w:rPr>
                <w:color w:val="000000"/>
                <w:vertAlign w:val="superscript"/>
                <w:lang w:val="sv-SE"/>
              </w:rPr>
              <w:t>2</w:t>
            </w:r>
            <w:r w:rsidRPr="002B1538">
              <w:rPr>
                <w:color w:val="000000"/>
                <w:lang w:val="sv-SE"/>
              </w:rPr>
              <w:t>, IV): da</w:t>
            </w:r>
            <w:r w:rsidR="00791CB5" w:rsidRPr="00FD4105">
              <w:rPr>
                <w:color w:val="000000"/>
                <w:lang w:val="sv-SE"/>
              </w:rPr>
              <w:t>gar</w:t>
            </w:r>
            <w:r w:rsidRPr="00FD4105">
              <w:rPr>
                <w:color w:val="000000"/>
                <w:lang w:val="sv-SE"/>
              </w:rPr>
              <w:t> 29</w:t>
            </w:r>
            <w:r w:rsidRPr="00FD4105">
              <w:rPr>
                <w:color w:val="000000"/>
                <w:lang w:val="sv-SE"/>
              </w:rPr>
              <w:noBreakHyphen/>
              <w:t>33</w:t>
            </w:r>
          </w:p>
          <w:p w14:paraId="4AA241BD" w14:textId="77777777" w:rsidR="00663AC3" w:rsidRPr="00717594" w:rsidRDefault="00663AC3" w:rsidP="00463647">
            <w:pPr>
              <w:pStyle w:val="EndnoteText"/>
              <w:widowControl w:val="0"/>
              <w:rPr>
                <w:color w:val="000000"/>
                <w:lang w:val="sv-SE"/>
              </w:rPr>
            </w:pPr>
            <w:r w:rsidRPr="0043720A">
              <w:rPr>
                <w:color w:val="000000"/>
                <w:lang w:val="sv-SE"/>
              </w:rPr>
              <w:t>M</w:t>
            </w:r>
            <w:r w:rsidR="00717594">
              <w:rPr>
                <w:color w:val="000000"/>
                <w:lang w:val="sv-SE"/>
              </w:rPr>
              <w:t>ESNA</w:t>
            </w:r>
            <w:r w:rsidRPr="00717594">
              <w:rPr>
                <w:color w:val="000000"/>
                <w:lang w:val="sv-SE"/>
              </w:rPr>
              <w:t xml:space="preserve"> IV da</w:t>
            </w:r>
            <w:r w:rsidR="00791CB5" w:rsidRPr="00717594">
              <w:rPr>
                <w:color w:val="000000"/>
                <w:lang w:val="sv-SE"/>
              </w:rPr>
              <w:t>gar</w:t>
            </w:r>
            <w:r w:rsidRPr="00717594">
              <w:rPr>
                <w:color w:val="000000"/>
                <w:lang w:val="sv-SE"/>
              </w:rPr>
              <w:t> 29</w:t>
            </w:r>
            <w:r w:rsidRPr="00717594">
              <w:rPr>
                <w:color w:val="000000"/>
                <w:lang w:val="sv-SE"/>
              </w:rPr>
              <w:noBreakHyphen/>
              <w:t>33</w:t>
            </w:r>
          </w:p>
          <w:p w14:paraId="4DC0DA95" w14:textId="77777777" w:rsidR="00663AC3" w:rsidRPr="00717594" w:rsidRDefault="00663AC3" w:rsidP="00463647">
            <w:pPr>
              <w:pStyle w:val="EndnoteText"/>
              <w:widowControl w:val="0"/>
              <w:rPr>
                <w:color w:val="000000"/>
                <w:lang w:val="sv-SE"/>
              </w:rPr>
            </w:pPr>
            <w:r w:rsidRPr="00717594">
              <w:rPr>
                <w:color w:val="000000"/>
                <w:lang w:val="sv-SE"/>
              </w:rPr>
              <w:t>G-CSF (5 </w:t>
            </w:r>
            <w:r w:rsidR="00791CB5" w:rsidRPr="00717594">
              <w:rPr>
                <w:color w:val="000000"/>
              </w:rPr>
              <w:t>μ</w:t>
            </w:r>
            <w:r w:rsidR="00791CB5" w:rsidRPr="00717594">
              <w:rPr>
                <w:color w:val="000000"/>
                <w:lang w:val="sv-SE"/>
              </w:rPr>
              <w:t>g/kg, SC): dagar</w:t>
            </w:r>
            <w:r w:rsidRPr="00717594">
              <w:rPr>
                <w:color w:val="000000"/>
                <w:lang w:val="sv-SE"/>
              </w:rPr>
              <w:t> 34</w:t>
            </w:r>
            <w:r w:rsidRPr="00717594">
              <w:rPr>
                <w:color w:val="000000"/>
                <w:lang w:val="sv-SE"/>
              </w:rPr>
              <w:noBreakHyphen/>
              <w:t>43</w:t>
            </w:r>
          </w:p>
        </w:tc>
      </w:tr>
      <w:tr w:rsidR="00B6645D" w:rsidRPr="00644A2E" w14:paraId="3F421AA0" w14:textId="77777777" w:rsidTr="00C81D6E">
        <w:trPr>
          <w:cantSplit/>
        </w:trPr>
        <w:tc>
          <w:tcPr>
            <w:tcW w:w="2358" w:type="dxa"/>
            <w:shd w:val="clear" w:color="auto" w:fill="auto"/>
          </w:tcPr>
          <w:p w14:paraId="442C9172" w14:textId="77777777" w:rsidR="00663AC3" w:rsidRDefault="00791CB5" w:rsidP="00463647">
            <w:pPr>
              <w:pStyle w:val="EndnoteText"/>
              <w:widowControl w:val="0"/>
              <w:rPr>
                <w:color w:val="000000"/>
              </w:rPr>
            </w:pPr>
            <w:r>
              <w:rPr>
                <w:color w:val="000000"/>
              </w:rPr>
              <w:t>Underhållsbehandling</w:t>
            </w:r>
          </w:p>
          <w:p w14:paraId="7CD49967" w14:textId="77777777" w:rsidR="00663AC3" w:rsidRDefault="00663AC3" w:rsidP="00463647">
            <w:pPr>
              <w:pStyle w:val="EndnoteText"/>
              <w:widowControl w:val="0"/>
              <w:rPr>
                <w:color w:val="000000"/>
              </w:rPr>
            </w:pPr>
            <w:r w:rsidRPr="00240FD6">
              <w:rPr>
                <w:color w:val="000000"/>
              </w:rPr>
              <w:t>(8-</w:t>
            </w:r>
            <w:r w:rsidR="00791CB5">
              <w:rPr>
                <w:color w:val="000000"/>
              </w:rPr>
              <w:t>veckors cykler</w:t>
            </w:r>
            <w:r w:rsidRPr="00240FD6">
              <w:rPr>
                <w:color w:val="000000"/>
              </w:rPr>
              <w:t>)</w:t>
            </w:r>
          </w:p>
          <w:p w14:paraId="030E0034" w14:textId="77777777" w:rsidR="00663AC3" w:rsidRPr="00240FD6" w:rsidRDefault="00791CB5" w:rsidP="00463647">
            <w:pPr>
              <w:pStyle w:val="EndnoteText"/>
              <w:widowControl w:val="0"/>
              <w:rPr>
                <w:color w:val="000000"/>
              </w:rPr>
            </w:pPr>
            <w:r>
              <w:rPr>
                <w:color w:val="000000"/>
              </w:rPr>
              <w:t>Cykel</w:t>
            </w:r>
            <w:r w:rsidR="00663AC3">
              <w:rPr>
                <w:color w:val="000000"/>
              </w:rPr>
              <w:t> </w:t>
            </w:r>
            <w:r w:rsidR="00663AC3" w:rsidRPr="00240FD6">
              <w:rPr>
                <w:color w:val="000000"/>
              </w:rPr>
              <w:t>5</w:t>
            </w:r>
          </w:p>
        </w:tc>
        <w:tc>
          <w:tcPr>
            <w:tcW w:w="6929" w:type="dxa"/>
            <w:shd w:val="clear" w:color="auto" w:fill="auto"/>
          </w:tcPr>
          <w:p w14:paraId="4B2A8110" w14:textId="77777777" w:rsidR="00663AC3" w:rsidRPr="00791CB5" w:rsidRDefault="00791CB5" w:rsidP="00463647">
            <w:pPr>
              <w:pStyle w:val="EndnoteText"/>
              <w:widowControl w:val="0"/>
              <w:rPr>
                <w:color w:val="000000"/>
                <w:lang w:val="sv-SE"/>
              </w:rPr>
            </w:pPr>
            <w:r w:rsidRPr="00791CB5">
              <w:rPr>
                <w:color w:val="000000"/>
                <w:lang w:val="sv-SE"/>
              </w:rPr>
              <w:t xml:space="preserve">Kraniell </w:t>
            </w:r>
            <w:r w:rsidR="00B25894">
              <w:rPr>
                <w:color w:val="000000"/>
                <w:lang w:val="sv-SE"/>
              </w:rPr>
              <w:t>bestrålning</w:t>
            </w:r>
            <w:r w:rsidR="00663AC3" w:rsidRPr="00791CB5">
              <w:rPr>
                <w:color w:val="000000"/>
                <w:lang w:val="sv-SE"/>
              </w:rPr>
              <w:t xml:space="preserve"> (Block 5 </w:t>
            </w:r>
            <w:r w:rsidRPr="00791CB5">
              <w:rPr>
                <w:color w:val="000000"/>
                <w:lang w:val="sv-SE"/>
              </w:rPr>
              <w:t>enbart</w:t>
            </w:r>
            <w:r w:rsidR="00663AC3" w:rsidRPr="00791CB5">
              <w:rPr>
                <w:color w:val="000000"/>
                <w:lang w:val="sv-SE"/>
              </w:rPr>
              <w:t>)</w:t>
            </w:r>
          </w:p>
          <w:p w14:paraId="38A6292B" w14:textId="77777777" w:rsidR="00663AC3" w:rsidRPr="00791CB5" w:rsidRDefault="00663AC3" w:rsidP="00463647">
            <w:pPr>
              <w:pStyle w:val="EndnoteText"/>
              <w:widowControl w:val="0"/>
              <w:rPr>
                <w:color w:val="000000"/>
                <w:lang w:val="sv-SE"/>
              </w:rPr>
            </w:pPr>
            <w:r w:rsidRPr="00791CB5">
              <w:rPr>
                <w:color w:val="000000"/>
                <w:lang w:val="sv-SE"/>
              </w:rPr>
              <w:t>12 Gy i 8 fra</w:t>
            </w:r>
            <w:r w:rsidR="00791CB5" w:rsidRPr="00791CB5">
              <w:rPr>
                <w:color w:val="000000"/>
                <w:lang w:val="sv-SE"/>
              </w:rPr>
              <w:t>ktioner för alla patienter som är</w:t>
            </w:r>
            <w:r w:rsidRPr="00791CB5">
              <w:rPr>
                <w:color w:val="000000"/>
                <w:lang w:val="sv-SE"/>
              </w:rPr>
              <w:t xml:space="preserve"> CNS1 </w:t>
            </w:r>
            <w:r w:rsidR="00791CB5" w:rsidRPr="00791CB5">
              <w:rPr>
                <w:color w:val="000000"/>
                <w:lang w:val="sv-SE"/>
              </w:rPr>
              <w:t>och</w:t>
            </w:r>
            <w:r w:rsidRPr="00791CB5">
              <w:rPr>
                <w:color w:val="000000"/>
                <w:lang w:val="sv-SE"/>
              </w:rPr>
              <w:t xml:space="preserve"> CNS2 </w:t>
            </w:r>
            <w:r w:rsidR="00791CB5" w:rsidRPr="00791CB5">
              <w:rPr>
                <w:color w:val="000000"/>
                <w:lang w:val="sv-SE"/>
              </w:rPr>
              <w:t>vid diagnos</w:t>
            </w:r>
          </w:p>
          <w:p w14:paraId="598625BE" w14:textId="77777777" w:rsidR="00663AC3" w:rsidRPr="00791CB5" w:rsidRDefault="00663AC3" w:rsidP="00463647">
            <w:pPr>
              <w:pStyle w:val="EndnoteText"/>
              <w:widowControl w:val="0"/>
              <w:rPr>
                <w:color w:val="000000"/>
                <w:lang w:val="sv-SE"/>
              </w:rPr>
            </w:pPr>
            <w:r w:rsidRPr="00791CB5">
              <w:rPr>
                <w:color w:val="000000"/>
                <w:lang w:val="sv-SE"/>
              </w:rPr>
              <w:t>18 Gy i 10 fra</w:t>
            </w:r>
            <w:r w:rsidR="00791CB5" w:rsidRPr="00791CB5">
              <w:rPr>
                <w:color w:val="000000"/>
                <w:lang w:val="sv-SE"/>
              </w:rPr>
              <w:t>ktioner för patienter som är</w:t>
            </w:r>
            <w:r w:rsidRPr="00791CB5">
              <w:rPr>
                <w:color w:val="000000"/>
                <w:lang w:val="sv-SE"/>
              </w:rPr>
              <w:t xml:space="preserve"> CNS3 </w:t>
            </w:r>
            <w:r w:rsidR="00791CB5" w:rsidRPr="00791CB5">
              <w:rPr>
                <w:color w:val="000000"/>
                <w:lang w:val="sv-SE"/>
              </w:rPr>
              <w:t>vid diagnos</w:t>
            </w:r>
          </w:p>
          <w:p w14:paraId="0A62E309" w14:textId="77777777" w:rsidR="00663AC3" w:rsidRPr="00B6645D" w:rsidRDefault="00663AC3" w:rsidP="00463647">
            <w:pPr>
              <w:pStyle w:val="EndnoteText"/>
              <w:widowControl w:val="0"/>
              <w:rPr>
                <w:color w:val="000000"/>
                <w:lang w:val="sv-SE"/>
              </w:rPr>
            </w:pPr>
            <w:r w:rsidRPr="00B6645D">
              <w:rPr>
                <w:color w:val="000000"/>
                <w:lang w:val="sv-SE"/>
              </w:rPr>
              <w:t>VCR (1.5 mg/m</w:t>
            </w:r>
            <w:r w:rsidRPr="00B6645D">
              <w:rPr>
                <w:color w:val="000000"/>
                <w:vertAlign w:val="superscript"/>
                <w:lang w:val="sv-SE"/>
              </w:rPr>
              <w:t>2</w:t>
            </w:r>
            <w:r w:rsidR="00791CB5" w:rsidRPr="00B6645D">
              <w:rPr>
                <w:color w:val="000000"/>
                <w:lang w:val="sv-SE"/>
              </w:rPr>
              <w:t>/dag</w:t>
            </w:r>
            <w:r w:rsidRPr="00B6645D">
              <w:rPr>
                <w:color w:val="000000"/>
                <w:lang w:val="sv-SE"/>
              </w:rPr>
              <w:t xml:space="preserve">, IV): </w:t>
            </w:r>
            <w:r w:rsidR="00791CB5" w:rsidRPr="00B6645D">
              <w:rPr>
                <w:color w:val="000000"/>
                <w:lang w:val="sv-SE"/>
              </w:rPr>
              <w:t>dagar</w:t>
            </w:r>
            <w:r w:rsidRPr="00B6645D">
              <w:rPr>
                <w:color w:val="000000"/>
                <w:lang w:val="sv-SE"/>
              </w:rPr>
              <w:t> 1, 29</w:t>
            </w:r>
          </w:p>
          <w:p w14:paraId="0EAC9129" w14:textId="77777777" w:rsidR="00663AC3" w:rsidRPr="00B6645D" w:rsidRDefault="00663AC3" w:rsidP="00463647">
            <w:pPr>
              <w:pStyle w:val="EndnoteText"/>
              <w:widowControl w:val="0"/>
              <w:rPr>
                <w:color w:val="000000"/>
                <w:lang w:val="sv-SE"/>
              </w:rPr>
            </w:pPr>
            <w:r w:rsidRPr="00B6645D">
              <w:rPr>
                <w:color w:val="000000"/>
                <w:lang w:val="sv-SE"/>
              </w:rPr>
              <w:t>DEX (6 mg/m</w:t>
            </w:r>
            <w:r w:rsidRPr="00B6645D">
              <w:rPr>
                <w:color w:val="000000"/>
                <w:vertAlign w:val="superscript"/>
                <w:lang w:val="sv-SE"/>
              </w:rPr>
              <w:t>2</w:t>
            </w:r>
            <w:r w:rsidRPr="00B6645D">
              <w:rPr>
                <w:color w:val="000000"/>
                <w:lang w:val="sv-SE"/>
              </w:rPr>
              <w:t>/da</w:t>
            </w:r>
            <w:r w:rsidR="00791CB5" w:rsidRPr="00B6645D">
              <w:rPr>
                <w:color w:val="000000"/>
                <w:lang w:val="sv-SE"/>
              </w:rPr>
              <w:t>g</w:t>
            </w:r>
            <w:r w:rsidRPr="00B6645D">
              <w:rPr>
                <w:color w:val="000000"/>
                <w:lang w:val="sv-SE"/>
              </w:rPr>
              <w:t>, PO): da</w:t>
            </w:r>
            <w:r w:rsidR="00791CB5" w:rsidRPr="00B6645D">
              <w:rPr>
                <w:color w:val="000000"/>
                <w:lang w:val="sv-SE"/>
              </w:rPr>
              <w:t>gar</w:t>
            </w:r>
            <w:r w:rsidRPr="00B6645D">
              <w:rPr>
                <w:color w:val="000000"/>
                <w:lang w:val="sv-SE"/>
              </w:rPr>
              <w:t> 1</w:t>
            </w:r>
            <w:r w:rsidRPr="00B6645D">
              <w:rPr>
                <w:color w:val="000000"/>
                <w:lang w:val="sv-SE"/>
              </w:rPr>
              <w:noBreakHyphen/>
              <w:t>5; 29</w:t>
            </w:r>
            <w:r w:rsidRPr="00B6645D">
              <w:rPr>
                <w:color w:val="000000"/>
                <w:lang w:val="sv-SE"/>
              </w:rPr>
              <w:noBreakHyphen/>
              <w:t>33</w:t>
            </w:r>
          </w:p>
          <w:p w14:paraId="0D4990EA" w14:textId="77777777" w:rsidR="00663AC3" w:rsidRPr="00B6645D" w:rsidRDefault="00663AC3" w:rsidP="00463647">
            <w:pPr>
              <w:pStyle w:val="EndnoteText"/>
              <w:widowControl w:val="0"/>
              <w:rPr>
                <w:color w:val="000000"/>
                <w:lang w:val="sv-SE"/>
              </w:rPr>
            </w:pPr>
            <w:r w:rsidRPr="00B6645D">
              <w:rPr>
                <w:color w:val="000000"/>
                <w:lang w:val="sv-SE"/>
              </w:rPr>
              <w:t>6-MP (75 mg/m</w:t>
            </w:r>
            <w:r w:rsidRPr="00B6645D">
              <w:rPr>
                <w:color w:val="000000"/>
                <w:vertAlign w:val="superscript"/>
                <w:lang w:val="sv-SE"/>
              </w:rPr>
              <w:t>2</w:t>
            </w:r>
            <w:r w:rsidRPr="00B6645D">
              <w:rPr>
                <w:color w:val="000000"/>
                <w:lang w:val="sv-SE"/>
              </w:rPr>
              <w:t>/da</w:t>
            </w:r>
            <w:r w:rsidR="00791CB5" w:rsidRPr="00B6645D">
              <w:rPr>
                <w:color w:val="000000"/>
                <w:lang w:val="sv-SE"/>
              </w:rPr>
              <w:t>g</w:t>
            </w:r>
            <w:r w:rsidRPr="00B6645D">
              <w:rPr>
                <w:color w:val="000000"/>
                <w:lang w:val="sv-SE"/>
              </w:rPr>
              <w:t>, PO): da</w:t>
            </w:r>
            <w:r w:rsidR="00791CB5" w:rsidRPr="00B6645D">
              <w:rPr>
                <w:color w:val="000000"/>
                <w:lang w:val="sv-SE"/>
              </w:rPr>
              <w:t>gar</w:t>
            </w:r>
            <w:r w:rsidRPr="00B6645D">
              <w:rPr>
                <w:color w:val="000000"/>
                <w:lang w:val="sv-SE"/>
              </w:rPr>
              <w:t> 11</w:t>
            </w:r>
            <w:r w:rsidRPr="00B6645D">
              <w:rPr>
                <w:color w:val="000000"/>
                <w:lang w:val="sv-SE"/>
              </w:rPr>
              <w:noBreakHyphen/>
              <w:t>56 (</w:t>
            </w:r>
            <w:r w:rsidR="008A1A8C">
              <w:rPr>
                <w:color w:val="000000"/>
                <w:lang w:val="sv-SE"/>
              </w:rPr>
              <w:t>Avvakta med</w:t>
            </w:r>
            <w:r w:rsidRPr="00B6645D">
              <w:rPr>
                <w:color w:val="000000"/>
                <w:lang w:val="sv-SE"/>
              </w:rPr>
              <w:t xml:space="preserve"> 6-MP </w:t>
            </w:r>
            <w:r w:rsidR="00791CB5" w:rsidRPr="00B6645D">
              <w:rPr>
                <w:color w:val="000000"/>
                <w:lang w:val="sv-SE"/>
              </w:rPr>
              <w:t>under de</w:t>
            </w:r>
            <w:r w:rsidRPr="00B6645D">
              <w:rPr>
                <w:color w:val="000000"/>
                <w:lang w:val="sv-SE"/>
              </w:rPr>
              <w:t xml:space="preserve"> 6</w:t>
            </w:r>
            <w:r w:rsidRPr="00B6645D">
              <w:rPr>
                <w:color w:val="000000"/>
                <w:lang w:val="sv-SE"/>
              </w:rPr>
              <w:noBreakHyphen/>
              <w:t>10 da</w:t>
            </w:r>
            <w:r w:rsidR="00791CB5" w:rsidRPr="00B6645D">
              <w:rPr>
                <w:color w:val="000000"/>
                <w:lang w:val="sv-SE"/>
              </w:rPr>
              <w:t>gar</w:t>
            </w:r>
            <w:r w:rsidRPr="00B6645D">
              <w:rPr>
                <w:color w:val="000000"/>
                <w:lang w:val="sv-SE"/>
              </w:rPr>
              <w:t xml:space="preserve"> </w:t>
            </w:r>
            <w:r w:rsidR="00791CB5" w:rsidRPr="00B6645D">
              <w:rPr>
                <w:color w:val="000000"/>
                <w:lang w:val="sv-SE"/>
              </w:rPr>
              <w:t>av kraniell</w:t>
            </w:r>
            <w:r w:rsidRPr="00B6645D">
              <w:rPr>
                <w:color w:val="000000"/>
                <w:lang w:val="sv-SE"/>
              </w:rPr>
              <w:t xml:space="preserve"> </w:t>
            </w:r>
            <w:r w:rsidR="00B25894">
              <w:rPr>
                <w:color w:val="000000"/>
                <w:lang w:val="sv-SE"/>
              </w:rPr>
              <w:t>bestrålning</w:t>
            </w:r>
            <w:r w:rsidRPr="00B6645D">
              <w:rPr>
                <w:color w:val="000000"/>
                <w:lang w:val="sv-SE"/>
              </w:rPr>
              <w:t xml:space="preserve"> </w:t>
            </w:r>
            <w:r w:rsidR="00791CB5" w:rsidRPr="00B6645D">
              <w:rPr>
                <w:color w:val="000000"/>
                <w:lang w:val="sv-SE"/>
              </w:rPr>
              <w:t>som startar på dag</w:t>
            </w:r>
            <w:r w:rsidRPr="00B6645D">
              <w:rPr>
                <w:color w:val="000000"/>
                <w:lang w:val="sv-SE"/>
              </w:rPr>
              <w:t xml:space="preserve"> 1 </w:t>
            </w:r>
            <w:r w:rsidR="00791CB5" w:rsidRPr="00B6645D">
              <w:rPr>
                <w:color w:val="000000"/>
                <w:lang w:val="sv-SE"/>
              </w:rPr>
              <w:t>av</w:t>
            </w:r>
            <w:r w:rsidRPr="00B6645D">
              <w:rPr>
                <w:color w:val="000000"/>
                <w:lang w:val="sv-SE"/>
              </w:rPr>
              <w:t xml:space="preserve"> Cy</w:t>
            </w:r>
            <w:r w:rsidR="00791CB5" w:rsidRPr="00B6645D">
              <w:rPr>
                <w:color w:val="000000"/>
                <w:lang w:val="sv-SE"/>
              </w:rPr>
              <w:t>kel</w:t>
            </w:r>
            <w:r w:rsidRPr="00B6645D">
              <w:rPr>
                <w:color w:val="000000"/>
                <w:lang w:val="sv-SE"/>
              </w:rPr>
              <w:t xml:space="preserve"> 5. </w:t>
            </w:r>
            <w:r w:rsidRPr="00894BFB">
              <w:rPr>
                <w:color w:val="000000"/>
                <w:lang w:val="sv-SE"/>
              </w:rPr>
              <w:t>Start</w:t>
            </w:r>
            <w:r w:rsidR="008A1A8C">
              <w:rPr>
                <w:color w:val="000000"/>
                <w:lang w:val="sv-SE"/>
              </w:rPr>
              <w:t>a</w:t>
            </w:r>
            <w:r w:rsidRPr="00894BFB">
              <w:rPr>
                <w:color w:val="000000"/>
                <w:lang w:val="sv-SE"/>
              </w:rPr>
              <w:t xml:space="preserve"> 6-MP </w:t>
            </w:r>
            <w:r w:rsidR="00791CB5" w:rsidRPr="00B6645D">
              <w:rPr>
                <w:color w:val="000000"/>
                <w:lang w:val="sv-SE"/>
              </w:rPr>
              <w:t>på första dagen efter</w:t>
            </w:r>
            <w:r w:rsidR="00065E92">
              <w:rPr>
                <w:color w:val="000000"/>
                <w:lang w:val="sv-SE"/>
              </w:rPr>
              <w:t xml:space="preserve"> fullföljd</w:t>
            </w:r>
            <w:r w:rsidR="00791CB5" w:rsidRPr="00B6645D">
              <w:rPr>
                <w:color w:val="000000"/>
                <w:lang w:val="sv-SE"/>
              </w:rPr>
              <w:t xml:space="preserve"> kraniell </w:t>
            </w:r>
            <w:r w:rsidR="00B25894">
              <w:rPr>
                <w:color w:val="000000"/>
                <w:lang w:val="sv-SE"/>
              </w:rPr>
              <w:t>bestrålning</w:t>
            </w:r>
            <w:r w:rsidRPr="00B6645D">
              <w:rPr>
                <w:color w:val="000000"/>
                <w:lang w:val="sv-SE"/>
              </w:rPr>
              <w:t>.)</w:t>
            </w:r>
          </w:p>
          <w:p w14:paraId="5A490B44" w14:textId="7155DB15" w:rsidR="00663AC3" w:rsidRPr="00B6645D" w:rsidRDefault="00663AC3" w:rsidP="00463647">
            <w:pPr>
              <w:pStyle w:val="EndnoteText"/>
              <w:widowControl w:val="0"/>
              <w:rPr>
                <w:color w:val="000000"/>
                <w:lang w:val="sv-SE"/>
              </w:rPr>
            </w:pPr>
            <w:r w:rsidRPr="00B6645D">
              <w:rPr>
                <w:color w:val="000000"/>
                <w:lang w:val="sv-SE"/>
              </w:rPr>
              <w:t>Metotrexat (20 mg/m</w:t>
            </w:r>
            <w:r w:rsidRPr="00B6645D">
              <w:rPr>
                <w:color w:val="000000"/>
                <w:vertAlign w:val="superscript"/>
                <w:lang w:val="sv-SE"/>
              </w:rPr>
              <w:t>2</w:t>
            </w:r>
            <w:r w:rsidRPr="00B6645D">
              <w:rPr>
                <w:color w:val="000000"/>
                <w:lang w:val="sv-SE"/>
              </w:rPr>
              <w:t>/</w:t>
            </w:r>
            <w:r w:rsidR="00B6645D" w:rsidRPr="00B6645D">
              <w:rPr>
                <w:color w:val="000000"/>
                <w:lang w:val="sv-SE"/>
              </w:rPr>
              <w:t>vecka</w:t>
            </w:r>
            <w:r w:rsidRPr="00B6645D">
              <w:rPr>
                <w:color w:val="000000"/>
                <w:lang w:val="sv-SE"/>
              </w:rPr>
              <w:t>, PO): da</w:t>
            </w:r>
            <w:r w:rsidR="00B6645D" w:rsidRPr="00B6645D">
              <w:rPr>
                <w:color w:val="000000"/>
                <w:lang w:val="sv-SE"/>
              </w:rPr>
              <w:t>gar</w:t>
            </w:r>
            <w:r w:rsidRPr="00B6645D">
              <w:rPr>
                <w:color w:val="000000"/>
                <w:lang w:val="sv-SE"/>
              </w:rPr>
              <w:t> 8, 15, 22, 29, 36, 43, 50</w:t>
            </w:r>
          </w:p>
        </w:tc>
      </w:tr>
      <w:tr w:rsidR="00B6645D" w:rsidRPr="00644A2E" w14:paraId="4AFC06F3" w14:textId="77777777" w:rsidTr="00C81D6E">
        <w:trPr>
          <w:cantSplit/>
          <w:trHeight w:val="1297"/>
        </w:trPr>
        <w:tc>
          <w:tcPr>
            <w:tcW w:w="2358" w:type="dxa"/>
            <w:shd w:val="clear" w:color="auto" w:fill="auto"/>
          </w:tcPr>
          <w:p w14:paraId="66044DAE" w14:textId="77777777" w:rsidR="00663AC3" w:rsidRDefault="00B6645D" w:rsidP="00463647">
            <w:pPr>
              <w:pStyle w:val="EndnoteText"/>
              <w:keepNext/>
              <w:keepLines/>
              <w:widowControl w:val="0"/>
              <w:rPr>
                <w:color w:val="000000"/>
              </w:rPr>
            </w:pPr>
            <w:r>
              <w:rPr>
                <w:color w:val="000000"/>
                <w:lang w:val="sv-SE"/>
              </w:rPr>
              <w:lastRenderedPageBreak/>
              <w:t>Underhållsbehandling</w:t>
            </w:r>
          </w:p>
          <w:p w14:paraId="4E24F915" w14:textId="77777777" w:rsidR="00663AC3" w:rsidRDefault="00663AC3" w:rsidP="00463647">
            <w:pPr>
              <w:pStyle w:val="EndnoteText"/>
              <w:keepNext/>
              <w:keepLines/>
              <w:widowControl w:val="0"/>
              <w:rPr>
                <w:color w:val="000000"/>
              </w:rPr>
            </w:pPr>
            <w:r w:rsidRPr="00240FD6">
              <w:rPr>
                <w:color w:val="000000"/>
              </w:rPr>
              <w:t>(8</w:t>
            </w:r>
            <w:r>
              <w:rPr>
                <w:color w:val="000000"/>
              </w:rPr>
              <w:t>-</w:t>
            </w:r>
            <w:r w:rsidR="00B6645D">
              <w:rPr>
                <w:color w:val="000000"/>
              </w:rPr>
              <w:t>veckors cykler</w:t>
            </w:r>
            <w:r w:rsidRPr="00240FD6">
              <w:rPr>
                <w:color w:val="000000"/>
              </w:rPr>
              <w:t>)</w:t>
            </w:r>
          </w:p>
          <w:p w14:paraId="7B74718B" w14:textId="77777777" w:rsidR="00663AC3" w:rsidRPr="00240FD6" w:rsidRDefault="00663AC3" w:rsidP="00463647">
            <w:pPr>
              <w:pStyle w:val="EndnoteText"/>
              <w:keepNext/>
              <w:keepLines/>
              <w:widowControl w:val="0"/>
              <w:rPr>
                <w:color w:val="000000"/>
              </w:rPr>
            </w:pPr>
            <w:r w:rsidRPr="00240FD6">
              <w:rPr>
                <w:color w:val="000000"/>
              </w:rPr>
              <w:t>Cy</w:t>
            </w:r>
            <w:r w:rsidR="00B6645D">
              <w:rPr>
                <w:color w:val="000000"/>
              </w:rPr>
              <w:t>kler</w:t>
            </w:r>
            <w:r>
              <w:rPr>
                <w:color w:val="000000"/>
              </w:rPr>
              <w:t> </w:t>
            </w:r>
            <w:r w:rsidRPr="00240FD6">
              <w:rPr>
                <w:color w:val="000000"/>
              </w:rPr>
              <w:t>6</w:t>
            </w:r>
            <w:r>
              <w:rPr>
                <w:color w:val="000000"/>
              </w:rPr>
              <w:noBreakHyphen/>
            </w:r>
            <w:r w:rsidRPr="00240FD6">
              <w:rPr>
                <w:color w:val="000000"/>
              </w:rPr>
              <w:t>12</w:t>
            </w:r>
          </w:p>
        </w:tc>
        <w:tc>
          <w:tcPr>
            <w:tcW w:w="6929" w:type="dxa"/>
            <w:shd w:val="clear" w:color="auto" w:fill="auto"/>
          </w:tcPr>
          <w:p w14:paraId="3D34D64F" w14:textId="77777777" w:rsidR="00663AC3" w:rsidRPr="00B6645D" w:rsidRDefault="00663AC3" w:rsidP="00463647">
            <w:pPr>
              <w:pStyle w:val="EndnoteText"/>
              <w:keepNext/>
              <w:keepLines/>
              <w:widowControl w:val="0"/>
              <w:rPr>
                <w:color w:val="000000"/>
                <w:lang w:val="sv-SE"/>
              </w:rPr>
            </w:pPr>
            <w:r w:rsidRPr="00894BFB">
              <w:rPr>
                <w:color w:val="000000"/>
                <w:lang w:val="sv-SE"/>
              </w:rPr>
              <w:t>VCR (1.5 mg/m</w:t>
            </w:r>
            <w:r w:rsidRPr="00B6645D">
              <w:rPr>
                <w:color w:val="000000"/>
                <w:vertAlign w:val="superscript"/>
                <w:lang w:val="sv-SE"/>
              </w:rPr>
              <w:t>2</w:t>
            </w:r>
            <w:r w:rsidRPr="00B6645D">
              <w:rPr>
                <w:color w:val="000000"/>
                <w:lang w:val="sv-SE"/>
              </w:rPr>
              <w:t>/da</w:t>
            </w:r>
            <w:r w:rsidR="00B6645D" w:rsidRPr="00B6645D">
              <w:rPr>
                <w:color w:val="000000"/>
                <w:lang w:val="sv-SE"/>
              </w:rPr>
              <w:t>g</w:t>
            </w:r>
            <w:r w:rsidRPr="00B6645D">
              <w:rPr>
                <w:color w:val="000000"/>
                <w:lang w:val="sv-SE"/>
              </w:rPr>
              <w:t>, IV): da</w:t>
            </w:r>
            <w:r w:rsidR="00B6645D" w:rsidRPr="00B6645D">
              <w:rPr>
                <w:color w:val="000000"/>
                <w:lang w:val="sv-SE"/>
              </w:rPr>
              <w:t>gar</w:t>
            </w:r>
            <w:r w:rsidRPr="00B6645D">
              <w:rPr>
                <w:color w:val="000000"/>
                <w:lang w:val="sv-SE"/>
              </w:rPr>
              <w:t> 1, 29</w:t>
            </w:r>
          </w:p>
          <w:p w14:paraId="2F0E756F" w14:textId="77777777" w:rsidR="00663AC3" w:rsidRPr="00B6645D" w:rsidRDefault="00663AC3" w:rsidP="00463647">
            <w:pPr>
              <w:pStyle w:val="EndnoteText"/>
              <w:keepNext/>
              <w:keepLines/>
              <w:widowControl w:val="0"/>
              <w:rPr>
                <w:color w:val="000000"/>
                <w:lang w:val="sv-SE"/>
              </w:rPr>
            </w:pPr>
            <w:r w:rsidRPr="00B6645D">
              <w:rPr>
                <w:color w:val="000000"/>
                <w:lang w:val="sv-SE"/>
              </w:rPr>
              <w:t>DEX (6 mg/m</w:t>
            </w:r>
            <w:r w:rsidRPr="00B6645D">
              <w:rPr>
                <w:color w:val="000000"/>
                <w:vertAlign w:val="superscript"/>
                <w:lang w:val="sv-SE"/>
              </w:rPr>
              <w:t>2</w:t>
            </w:r>
            <w:r w:rsidR="00B6645D" w:rsidRPr="00B6645D">
              <w:rPr>
                <w:color w:val="000000"/>
                <w:lang w:val="sv-SE"/>
              </w:rPr>
              <w:t>/dag</w:t>
            </w:r>
            <w:r w:rsidRPr="00B6645D">
              <w:rPr>
                <w:color w:val="000000"/>
                <w:lang w:val="sv-SE"/>
              </w:rPr>
              <w:t>, PO): da</w:t>
            </w:r>
            <w:r w:rsidR="00B6645D" w:rsidRPr="00B6645D">
              <w:rPr>
                <w:color w:val="000000"/>
                <w:lang w:val="sv-SE"/>
              </w:rPr>
              <w:t>gar</w:t>
            </w:r>
            <w:r w:rsidRPr="00B6645D">
              <w:rPr>
                <w:color w:val="000000"/>
                <w:lang w:val="sv-SE"/>
              </w:rPr>
              <w:t> 1</w:t>
            </w:r>
            <w:r w:rsidRPr="00B6645D">
              <w:rPr>
                <w:color w:val="000000"/>
                <w:lang w:val="sv-SE"/>
              </w:rPr>
              <w:noBreakHyphen/>
              <w:t>5; 29</w:t>
            </w:r>
            <w:r w:rsidRPr="00B6645D">
              <w:rPr>
                <w:color w:val="000000"/>
                <w:lang w:val="sv-SE"/>
              </w:rPr>
              <w:noBreakHyphen/>
              <w:t>33</w:t>
            </w:r>
          </w:p>
          <w:p w14:paraId="58BBE9E8" w14:textId="77777777" w:rsidR="00663AC3" w:rsidRPr="00B6645D" w:rsidRDefault="00663AC3" w:rsidP="00463647">
            <w:pPr>
              <w:pStyle w:val="EndnoteText"/>
              <w:keepNext/>
              <w:keepLines/>
              <w:widowControl w:val="0"/>
              <w:rPr>
                <w:color w:val="000000"/>
                <w:lang w:val="sv-SE"/>
              </w:rPr>
            </w:pPr>
            <w:r w:rsidRPr="00B6645D">
              <w:rPr>
                <w:color w:val="000000"/>
                <w:lang w:val="sv-SE"/>
              </w:rPr>
              <w:t>6-MP (75 mg/m</w:t>
            </w:r>
            <w:r w:rsidRPr="00B6645D">
              <w:rPr>
                <w:color w:val="000000"/>
                <w:vertAlign w:val="superscript"/>
                <w:lang w:val="sv-SE"/>
              </w:rPr>
              <w:t>2</w:t>
            </w:r>
            <w:r w:rsidRPr="00B6645D">
              <w:rPr>
                <w:color w:val="000000"/>
                <w:lang w:val="sv-SE"/>
              </w:rPr>
              <w:t>/da</w:t>
            </w:r>
            <w:r w:rsidR="00B6645D" w:rsidRPr="00B6645D">
              <w:rPr>
                <w:color w:val="000000"/>
                <w:lang w:val="sv-SE"/>
              </w:rPr>
              <w:t>g</w:t>
            </w:r>
            <w:r w:rsidRPr="00B6645D">
              <w:rPr>
                <w:color w:val="000000"/>
                <w:lang w:val="sv-SE"/>
              </w:rPr>
              <w:t>, PO): da</w:t>
            </w:r>
            <w:r w:rsidR="00B6645D" w:rsidRPr="00B6645D">
              <w:rPr>
                <w:color w:val="000000"/>
                <w:lang w:val="sv-SE"/>
              </w:rPr>
              <w:t>gar</w:t>
            </w:r>
            <w:r w:rsidRPr="00B6645D">
              <w:rPr>
                <w:color w:val="000000"/>
                <w:lang w:val="sv-SE"/>
              </w:rPr>
              <w:t> 1</w:t>
            </w:r>
            <w:r w:rsidRPr="00B6645D">
              <w:rPr>
                <w:color w:val="000000"/>
                <w:lang w:val="sv-SE"/>
              </w:rPr>
              <w:noBreakHyphen/>
              <w:t>56</w:t>
            </w:r>
          </w:p>
          <w:p w14:paraId="3C09472B" w14:textId="77777777" w:rsidR="00663AC3" w:rsidRPr="00B6645D" w:rsidRDefault="00663AC3" w:rsidP="00463647">
            <w:pPr>
              <w:pStyle w:val="EndnoteText"/>
              <w:keepNext/>
              <w:keepLines/>
              <w:widowControl w:val="0"/>
              <w:rPr>
                <w:color w:val="000000"/>
                <w:lang w:val="sv-SE"/>
              </w:rPr>
            </w:pPr>
            <w:r w:rsidRPr="00B6645D">
              <w:rPr>
                <w:color w:val="000000"/>
                <w:lang w:val="sv-SE"/>
              </w:rPr>
              <w:t>Metotrexat (20 mg/m</w:t>
            </w:r>
            <w:r w:rsidRPr="00B6645D">
              <w:rPr>
                <w:color w:val="000000"/>
                <w:vertAlign w:val="superscript"/>
                <w:lang w:val="sv-SE"/>
              </w:rPr>
              <w:t>2</w:t>
            </w:r>
            <w:r w:rsidRPr="00B6645D">
              <w:rPr>
                <w:color w:val="000000"/>
                <w:lang w:val="sv-SE"/>
              </w:rPr>
              <w:t>/</w:t>
            </w:r>
            <w:r w:rsidR="00B6645D" w:rsidRPr="00B6645D">
              <w:rPr>
                <w:color w:val="000000"/>
                <w:lang w:val="sv-SE"/>
              </w:rPr>
              <w:t>vecka</w:t>
            </w:r>
            <w:r w:rsidRPr="00B6645D">
              <w:rPr>
                <w:color w:val="000000"/>
                <w:lang w:val="sv-SE"/>
              </w:rPr>
              <w:t>, PO): da</w:t>
            </w:r>
            <w:r w:rsidR="00B6645D" w:rsidRPr="00B6645D">
              <w:rPr>
                <w:color w:val="000000"/>
                <w:lang w:val="sv-SE"/>
              </w:rPr>
              <w:t>gar</w:t>
            </w:r>
            <w:r w:rsidRPr="00B6645D">
              <w:rPr>
                <w:color w:val="000000"/>
                <w:lang w:val="sv-SE"/>
              </w:rPr>
              <w:t> 1, 8, 15, 22, 29, 36, 43, 50</w:t>
            </w:r>
          </w:p>
        </w:tc>
      </w:tr>
    </w:tbl>
    <w:p w14:paraId="41A3794F" w14:textId="77777777" w:rsidR="00663AC3" w:rsidRPr="00894BFB" w:rsidRDefault="00663AC3" w:rsidP="00463647">
      <w:pPr>
        <w:pStyle w:val="EndnoteText"/>
        <w:keepNext/>
        <w:keepLines/>
        <w:widowControl w:val="0"/>
        <w:rPr>
          <w:color w:val="000000"/>
          <w:szCs w:val="22"/>
          <w:lang w:val="sv-SE"/>
        </w:rPr>
      </w:pPr>
      <w:r w:rsidRPr="009C5490">
        <w:rPr>
          <w:color w:val="000000"/>
          <w:szCs w:val="22"/>
          <w:lang w:val="sv-SE"/>
        </w:rPr>
        <w:t>G-CSF = granulocyte colony stimulating factor, VP-16 = etoposid, MTX = metotrexat, IV = intraven</w:t>
      </w:r>
      <w:r w:rsidR="00B6645D" w:rsidRPr="009C5490">
        <w:rPr>
          <w:color w:val="000000"/>
          <w:szCs w:val="22"/>
          <w:lang w:val="sv-SE"/>
        </w:rPr>
        <w:t>ö</w:t>
      </w:r>
      <w:r w:rsidRPr="009C5490">
        <w:rPr>
          <w:color w:val="000000"/>
          <w:szCs w:val="22"/>
          <w:lang w:val="sv-SE"/>
        </w:rPr>
        <w:t>s, SC = sub</w:t>
      </w:r>
      <w:r w:rsidR="00B6645D" w:rsidRPr="00065E92">
        <w:rPr>
          <w:color w:val="000000"/>
          <w:szCs w:val="22"/>
          <w:lang w:val="sv-SE"/>
        </w:rPr>
        <w:t>k</w:t>
      </w:r>
      <w:r w:rsidRPr="00065E92">
        <w:rPr>
          <w:color w:val="000000"/>
          <w:szCs w:val="22"/>
          <w:lang w:val="sv-SE"/>
        </w:rPr>
        <w:t>utan, IT = intrat</w:t>
      </w:r>
      <w:r w:rsidR="00B6645D" w:rsidRPr="00065E92">
        <w:rPr>
          <w:color w:val="000000"/>
          <w:szCs w:val="22"/>
          <w:lang w:val="sv-SE"/>
        </w:rPr>
        <w:t>ek</w:t>
      </w:r>
      <w:r w:rsidRPr="00065E92">
        <w:rPr>
          <w:color w:val="000000"/>
          <w:szCs w:val="22"/>
          <w:lang w:val="sv-SE"/>
        </w:rPr>
        <w:t>al, PO = oral, IM = intramus</w:t>
      </w:r>
      <w:r w:rsidR="00B6645D" w:rsidRPr="00065E92">
        <w:rPr>
          <w:color w:val="000000"/>
          <w:szCs w:val="22"/>
          <w:lang w:val="sv-SE"/>
        </w:rPr>
        <w:t>kulär</w:t>
      </w:r>
      <w:r w:rsidRPr="00065E92">
        <w:rPr>
          <w:color w:val="000000"/>
          <w:szCs w:val="22"/>
          <w:lang w:val="sv-SE"/>
        </w:rPr>
        <w:t>, ARA-C = cytarabin, CPM = cyclo</w:t>
      </w:r>
      <w:r w:rsidR="00B6645D" w:rsidRPr="00065E92">
        <w:rPr>
          <w:color w:val="000000"/>
          <w:szCs w:val="22"/>
          <w:lang w:val="sv-SE"/>
        </w:rPr>
        <w:t>fosfoamid</w:t>
      </w:r>
      <w:r w:rsidR="00B6645D" w:rsidRPr="005C1371">
        <w:rPr>
          <w:color w:val="000000"/>
          <w:szCs w:val="22"/>
          <w:lang w:val="sv-SE"/>
        </w:rPr>
        <w:t>, VCR = vink</w:t>
      </w:r>
      <w:r w:rsidRPr="00B52C37">
        <w:rPr>
          <w:color w:val="000000"/>
          <w:szCs w:val="22"/>
          <w:lang w:val="sv-SE"/>
        </w:rPr>
        <w:t>ristin, DEX = dexametason, DA</w:t>
      </w:r>
      <w:r w:rsidR="00B6645D" w:rsidRPr="00B52C37">
        <w:rPr>
          <w:color w:val="000000"/>
          <w:szCs w:val="22"/>
          <w:lang w:val="sv-SE"/>
        </w:rPr>
        <w:t>UN = daunorubicin, 6-MP = 6-merkaptopurin, E.Coli L-ASP = L-asparaginas, PEG-ASP = PEG asparaginas, MESNA= 2-</w:t>
      </w:r>
      <w:r w:rsidR="00B6645D" w:rsidRPr="009C5490">
        <w:rPr>
          <w:color w:val="000000"/>
          <w:szCs w:val="22"/>
          <w:lang w:val="sv-SE"/>
        </w:rPr>
        <w:t>merk</w:t>
      </w:r>
      <w:r w:rsidRPr="009C5490">
        <w:rPr>
          <w:color w:val="000000"/>
          <w:szCs w:val="22"/>
          <w:lang w:val="sv-SE"/>
        </w:rPr>
        <w:t>aptoe</w:t>
      </w:r>
      <w:r w:rsidR="00B6645D" w:rsidRPr="009C5490">
        <w:rPr>
          <w:color w:val="000000"/>
          <w:szCs w:val="22"/>
          <w:lang w:val="sv-SE"/>
        </w:rPr>
        <w:t>tan sulfonat</w:t>
      </w:r>
      <w:r w:rsidRPr="009C5490">
        <w:rPr>
          <w:color w:val="000000"/>
          <w:szCs w:val="22"/>
          <w:lang w:val="sv-SE"/>
        </w:rPr>
        <w:t xml:space="preserve"> </w:t>
      </w:r>
      <w:r w:rsidR="00894BFB" w:rsidRPr="009C5490">
        <w:rPr>
          <w:color w:val="000000"/>
          <w:szCs w:val="22"/>
          <w:lang w:val="sv-SE"/>
        </w:rPr>
        <w:t>natrium</w:t>
      </w:r>
      <w:r w:rsidRPr="009C5490">
        <w:rPr>
          <w:color w:val="000000"/>
          <w:szCs w:val="22"/>
          <w:lang w:val="sv-SE"/>
        </w:rPr>
        <w:t>,</w:t>
      </w:r>
      <w:r w:rsidRPr="00894BFB">
        <w:rPr>
          <w:color w:val="000000"/>
          <w:szCs w:val="22"/>
          <w:lang w:val="sv-SE"/>
        </w:rPr>
        <w:t xml:space="preserve"> iii= </w:t>
      </w:r>
      <w:r w:rsidR="00894BFB">
        <w:rPr>
          <w:color w:val="000000"/>
          <w:szCs w:val="22"/>
          <w:lang w:val="sv-SE"/>
        </w:rPr>
        <w:t>eller tills</w:t>
      </w:r>
      <w:r w:rsidRPr="00894BFB">
        <w:rPr>
          <w:color w:val="000000"/>
          <w:szCs w:val="22"/>
          <w:lang w:val="sv-SE"/>
        </w:rPr>
        <w:t xml:space="preserve"> MTX </w:t>
      </w:r>
      <w:r w:rsidR="00894BFB">
        <w:rPr>
          <w:color w:val="000000"/>
          <w:szCs w:val="22"/>
          <w:lang w:val="sv-SE"/>
        </w:rPr>
        <w:t>nivå är</w:t>
      </w:r>
      <w:r w:rsidRPr="00894BFB">
        <w:rPr>
          <w:color w:val="000000"/>
          <w:szCs w:val="22"/>
          <w:lang w:val="sv-SE"/>
        </w:rPr>
        <w:t xml:space="preserve"> &lt; 0</w:t>
      </w:r>
      <w:r w:rsidR="00946267">
        <w:rPr>
          <w:color w:val="000000"/>
          <w:szCs w:val="22"/>
          <w:lang w:val="sv-SE"/>
        </w:rPr>
        <w:t>,</w:t>
      </w:r>
      <w:r w:rsidRPr="00894BFB">
        <w:rPr>
          <w:color w:val="000000"/>
          <w:szCs w:val="22"/>
          <w:lang w:val="sv-SE"/>
        </w:rPr>
        <w:t>1 µM, q6</w:t>
      </w:r>
      <w:r w:rsidR="00894BFB">
        <w:rPr>
          <w:color w:val="000000"/>
          <w:szCs w:val="22"/>
          <w:lang w:val="sv-SE"/>
        </w:rPr>
        <w:t>tim</w:t>
      </w:r>
      <w:r w:rsidRPr="00894BFB">
        <w:rPr>
          <w:color w:val="000000"/>
          <w:szCs w:val="22"/>
          <w:lang w:val="sv-SE"/>
        </w:rPr>
        <w:t xml:space="preserve"> = </w:t>
      </w:r>
      <w:r w:rsidR="00894BFB">
        <w:rPr>
          <w:color w:val="000000"/>
          <w:szCs w:val="22"/>
          <w:lang w:val="sv-SE"/>
        </w:rPr>
        <w:t>var</w:t>
      </w:r>
      <w:r w:rsidRPr="00894BFB">
        <w:rPr>
          <w:color w:val="000000"/>
          <w:szCs w:val="22"/>
          <w:lang w:val="sv-SE"/>
        </w:rPr>
        <w:t xml:space="preserve"> 6</w:t>
      </w:r>
      <w:r w:rsidR="00E963C5">
        <w:rPr>
          <w:color w:val="000000"/>
          <w:szCs w:val="22"/>
          <w:lang w:val="sv-SE"/>
        </w:rPr>
        <w:t>:e</w:t>
      </w:r>
      <w:r w:rsidRPr="00894BFB">
        <w:rPr>
          <w:color w:val="000000"/>
          <w:szCs w:val="22"/>
          <w:lang w:val="sv-SE"/>
        </w:rPr>
        <w:t> </w:t>
      </w:r>
      <w:r w:rsidR="00894BFB">
        <w:rPr>
          <w:color w:val="000000"/>
          <w:szCs w:val="22"/>
          <w:lang w:val="sv-SE"/>
        </w:rPr>
        <w:t>timm</w:t>
      </w:r>
      <w:r w:rsidR="00E963C5">
        <w:rPr>
          <w:color w:val="000000"/>
          <w:szCs w:val="22"/>
          <w:lang w:val="sv-SE"/>
        </w:rPr>
        <w:t>e</w:t>
      </w:r>
      <w:r w:rsidRPr="00894BFB">
        <w:rPr>
          <w:color w:val="000000"/>
          <w:szCs w:val="22"/>
          <w:lang w:val="sv-SE"/>
        </w:rPr>
        <w:t>, Gy= Gray</w:t>
      </w:r>
    </w:p>
    <w:p w14:paraId="3771AE28" w14:textId="77777777" w:rsidR="00663AC3" w:rsidRPr="00894BFB" w:rsidRDefault="00663AC3" w:rsidP="00463647">
      <w:pPr>
        <w:pStyle w:val="EndnoteText"/>
        <w:widowControl w:val="0"/>
        <w:jc w:val="both"/>
        <w:rPr>
          <w:color w:val="000000"/>
          <w:sz w:val="20"/>
          <w:lang w:val="sv-SE"/>
        </w:rPr>
      </w:pPr>
    </w:p>
    <w:p w14:paraId="1F3301EF" w14:textId="77777777" w:rsidR="00663AC3" w:rsidRPr="00894BFB" w:rsidRDefault="00663AC3" w:rsidP="00463647">
      <w:pPr>
        <w:pStyle w:val="EndnoteText"/>
        <w:widowControl w:val="0"/>
        <w:rPr>
          <w:color w:val="000000"/>
          <w:lang w:val="sv-SE"/>
        </w:rPr>
      </w:pPr>
      <w:r w:rsidRPr="00894BFB">
        <w:rPr>
          <w:color w:val="000000"/>
          <w:szCs w:val="22"/>
          <w:lang w:val="sv-SE"/>
        </w:rPr>
        <w:t>Stud</w:t>
      </w:r>
      <w:r w:rsidR="00894BFB" w:rsidRPr="00894BFB">
        <w:rPr>
          <w:color w:val="000000"/>
          <w:szCs w:val="22"/>
          <w:lang w:val="sv-SE"/>
        </w:rPr>
        <w:t>ie</w:t>
      </w:r>
      <w:r w:rsidRPr="00894BFB">
        <w:rPr>
          <w:color w:val="000000"/>
          <w:szCs w:val="22"/>
          <w:lang w:val="sv-SE"/>
        </w:rPr>
        <w:t xml:space="preserve"> AIT07 </w:t>
      </w:r>
      <w:r w:rsidR="00894BFB" w:rsidRPr="00894BFB">
        <w:rPr>
          <w:color w:val="000000"/>
          <w:szCs w:val="22"/>
          <w:lang w:val="sv-SE"/>
        </w:rPr>
        <w:t>var en multicente</w:t>
      </w:r>
      <w:r w:rsidR="00E963C5">
        <w:rPr>
          <w:color w:val="000000"/>
          <w:szCs w:val="22"/>
          <w:lang w:val="sv-SE"/>
        </w:rPr>
        <w:t>r</w:t>
      </w:r>
      <w:r w:rsidR="00894BFB" w:rsidRPr="00894BFB">
        <w:rPr>
          <w:color w:val="000000"/>
          <w:szCs w:val="22"/>
          <w:lang w:val="sv-SE"/>
        </w:rPr>
        <w:t>, öppen, randomiserad, fas II/III studie som inkluderade 128 patienter (1 till</w:t>
      </w:r>
      <w:r w:rsidR="00E963C5">
        <w:rPr>
          <w:color w:val="000000"/>
          <w:szCs w:val="22"/>
          <w:lang w:val="sv-SE"/>
        </w:rPr>
        <w:t xml:space="preserve"> </w:t>
      </w:r>
      <w:r w:rsidR="00894BFB" w:rsidRPr="00894BFB">
        <w:rPr>
          <w:color w:val="000000"/>
          <w:szCs w:val="22"/>
          <w:lang w:val="sv-SE"/>
        </w:rPr>
        <w:t>&lt; 18 år)</w:t>
      </w:r>
      <w:r w:rsidRPr="00894BFB">
        <w:rPr>
          <w:color w:val="000000"/>
          <w:szCs w:val="22"/>
          <w:lang w:val="sv-SE"/>
        </w:rPr>
        <w:t xml:space="preserve"> </w:t>
      </w:r>
      <w:r w:rsidR="00E963C5">
        <w:rPr>
          <w:color w:val="000000"/>
          <w:szCs w:val="22"/>
          <w:lang w:val="sv-SE"/>
        </w:rPr>
        <w:t>som behandlats med imatinib i k</w:t>
      </w:r>
      <w:r w:rsidR="00894BFB" w:rsidRPr="00894BFB">
        <w:rPr>
          <w:color w:val="000000"/>
          <w:szCs w:val="22"/>
          <w:lang w:val="sv-SE"/>
        </w:rPr>
        <w:t>ombination med kemoterapi</w:t>
      </w:r>
      <w:r w:rsidRPr="00894BFB">
        <w:rPr>
          <w:color w:val="000000"/>
          <w:szCs w:val="22"/>
          <w:lang w:val="sv-SE"/>
        </w:rPr>
        <w:t xml:space="preserve">. </w:t>
      </w:r>
      <w:r w:rsidR="00894BFB" w:rsidRPr="00894BFB">
        <w:rPr>
          <w:color w:val="000000"/>
          <w:szCs w:val="22"/>
          <w:lang w:val="sv-SE"/>
        </w:rPr>
        <w:t xml:space="preserve">Säkerhetsdata från denna studie </w:t>
      </w:r>
      <w:r w:rsidR="00717594">
        <w:rPr>
          <w:color w:val="000000"/>
          <w:szCs w:val="22"/>
          <w:lang w:val="sv-SE"/>
        </w:rPr>
        <w:t xml:space="preserve">förefaller vara i enlighet med </w:t>
      </w:r>
      <w:r w:rsidR="00894BFB" w:rsidRPr="00894BFB">
        <w:rPr>
          <w:color w:val="000000"/>
          <w:szCs w:val="22"/>
          <w:lang w:val="sv-SE"/>
        </w:rPr>
        <w:t>säkerhetsprofilen för imatinib hos Ph+ ALL patienter.</w:t>
      </w:r>
    </w:p>
    <w:p w14:paraId="02DDF9A8" w14:textId="77777777" w:rsidR="00663AC3" w:rsidRPr="00894BFB" w:rsidRDefault="00663AC3" w:rsidP="00463647">
      <w:pPr>
        <w:pStyle w:val="EndnoteText"/>
        <w:widowControl w:val="0"/>
        <w:rPr>
          <w:color w:val="000000"/>
          <w:szCs w:val="22"/>
          <w:lang w:val="sv-SE"/>
        </w:rPr>
      </w:pPr>
    </w:p>
    <w:p w14:paraId="18BF4E9E" w14:textId="77777777" w:rsidR="00502E12" w:rsidRPr="000E7AE9" w:rsidRDefault="00620ABA" w:rsidP="00463647">
      <w:pPr>
        <w:pStyle w:val="EndnoteText"/>
        <w:widowControl w:val="0"/>
        <w:tabs>
          <w:tab w:val="clear" w:pos="567"/>
        </w:tabs>
        <w:rPr>
          <w:color w:val="000000"/>
          <w:szCs w:val="22"/>
          <w:lang w:val="sv-SE"/>
        </w:rPr>
      </w:pPr>
      <w:r w:rsidRPr="000E7AE9">
        <w:rPr>
          <w:i/>
          <w:color w:val="000000"/>
          <w:szCs w:val="22"/>
          <w:lang w:val="sv-SE"/>
        </w:rPr>
        <w:t>Recidiverande/refraktära Ph+ ALL:</w:t>
      </w:r>
      <w:r w:rsidRPr="000E7AE9">
        <w:rPr>
          <w:color w:val="000000"/>
          <w:szCs w:val="22"/>
          <w:lang w:val="sv-SE"/>
        </w:rPr>
        <w:t xml:space="preserve"> När imatinib användes som monoterapi för patienter med recidiverande/refraktär Ph+ ALL, ledde det till en frekvens på 30</w:t>
      </w:r>
      <w:r w:rsidR="00EE4765">
        <w:rPr>
          <w:color w:val="000000"/>
          <w:szCs w:val="22"/>
          <w:lang w:val="sv-SE"/>
        </w:rPr>
        <w:t> </w:t>
      </w:r>
      <w:r w:rsidRPr="000E7AE9">
        <w:rPr>
          <w:color w:val="000000"/>
          <w:szCs w:val="22"/>
          <w:lang w:val="sv-SE"/>
        </w:rPr>
        <w:t>% för hematologiskt svar (9</w:t>
      </w:r>
      <w:r w:rsidR="00EE4765">
        <w:rPr>
          <w:color w:val="000000"/>
          <w:szCs w:val="22"/>
          <w:lang w:val="sv-SE"/>
        </w:rPr>
        <w:t> </w:t>
      </w:r>
      <w:r w:rsidRPr="000E7AE9">
        <w:rPr>
          <w:color w:val="000000"/>
          <w:szCs w:val="22"/>
          <w:lang w:val="sv-SE"/>
        </w:rPr>
        <w:t>% fullständig) och en frekvens på 23</w:t>
      </w:r>
      <w:r w:rsidR="00EE4765">
        <w:rPr>
          <w:color w:val="000000"/>
          <w:szCs w:val="22"/>
          <w:lang w:val="sv-SE"/>
        </w:rPr>
        <w:t> </w:t>
      </w:r>
      <w:r w:rsidRPr="000E7AE9">
        <w:rPr>
          <w:color w:val="000000"/>
          <w:szCs w:val="22"/>
          <w:lang w:val="sv-SE"/>
        </w:rPr>
        <w:t>% för betydande cytogenetiskt svar för 53 av de 411 patienter som var utvärderbara för svar. (Obs! Av de 411 patienterna behandlades 353 i ett utvidgat accessprogram utan insamlande av primära svarsdata). Mediantiden till progression i den totala populationen på 411 patienter med recidiverande/refraktär Ph+ ALL varierade mellan 2,6 och 3,1 månader. Mediantiden för totalöverlevnad var mellan 4,9 och 9 månader för de 401 utvärderbara patienterna. Data var likartade vid reanalys av enbart patienter vid ålder 55 år eller äldre.</w:t>
      </w:r>
    </w:p>
    <w:p w14:paraId="7E37B9CC" w14:textId="77777777" w:rsidR="00502E12" w:rsidRPr="000E7AE9" w:rsidRDefault="00502E12" w:rsidP="00463647">
      <w:pPr>
        <w:pStyle w:val="EndnoteText"/>
        <w:widowControl w:val="0"/>
        <w:tabs>
          <w:tab w:val="clear" w:pos="567"/>
        </w:tabs>
        <w:rPr>
          <w:color w:val="000000"/>
          <w:szCs w:val="22"/>
          <w:lang w:val="sv-SE"/>
        </w:rPr>
      </w:pPr>
    </w:p>
    <w:p w14:paraId="3ADFB302" w14:textId="77777777" w:rsidR="00915126" w:rsidRPr="000E7AE9" w:rsidRDefault="00915126" w:rsidP="00463647">
      <w:pPr>
        <w:pStyle w:val="EndnoteText"/>
        <w:keepNext/>
        <w:widowControl w:val="0"/>
        <w:tabs>
          <w:tab w:val="clear" w:pos="567"/>
        </w:tabs>
        <w:rPr>
          <w:color w:val="000000"/>
          <w:szCs w:val="22"/>
          <w:u w:val="single"/>
          <w:lang w:val="sv-SE"/>
        </w:rPr>
      </w:pPr>
      <w:r w:rsidRPr="000E7AE9">
        <w:rPr>
          <w:color w:val="000000"/>
          <w:szCs w:val="22"/>
          <w:u w:val="single"/>
          <w:lang w:val="sv-SE"/>
        </w:rPr>
        <w:t>Kliniska studier vid MDS/MPD</w:t>
      </w:r>
    </w:p>
    <w:p w14:paraId="32E31CC8" w14:textId="77777777" w:rsidR="008F0D5D" w:rsidRDefault="00915126" w:rsidP="00463647">
      <w:pPr>
        <w:pStyle w:val="EndnoteText"/>
        <w:widowControl w:val="0"/>
        <w:tabs>
          <w:tab w:val="clear" w:pos="567"/>
        </w:tabs>
        <w:rPr>
          <w:color w:val="000000"/>
          <w:szCs w:val="22"/>
          <w:lang w:val="sv-SE"/>
        </w:rPr>
      </w:pPr>
      <w:r w:rsidRPr="000E7AE9">
        <w:rPr>
          <w:color w:val="000000"/>
          <w:szCs w:val="22"/>
          <w:lang w:val="sv-SE"/>
        </w:rPr>
        <w:t xml:space="preserve">Erfarenhet med Glivec vid denna indikation är mycket </w:t>
      </w:r>
      <w:r w:rsidR="006E4CA2" w:rsidRPr="000E7AE9">
        <w:rPr>
          <w:color w:val="000000"/>
          <w:szCs w:val="22"/>
          <w:lang w:val="sv-SE"/>
        </w:rPr>
        <w:t>begränsad</w:t>
      </w:r>
      <w:r w:rsidRPr="000E7AE9">
        <w:rPr>
          <w:color w:val="000000"/>
          <w:szCs w:val="22"/>
          <w:lang w:val="sv-SE"/>
        </w:rPr>
        <w:t xml:space="preserve"> och baseras på hematologiska och cytogenetiska svarsfrekvenser. Det finns inga kontrollerade studier som uppvisa en klinisk nytta eller ökad överlevnad. En öppen multicenter</w:t>
      </w:r>
      <w:r w:rsidR="00502E12" w:rsidRPr="000E7AE9">
        <w:rPr>
          <w:color w:val="000000"/>
          <w:szCs w:val="22"/>
          <w:lang w:val="sv-SE"/>
        </w:rPr>
        <w:t>-</w:t>
      </w:r>
      <w:r w:rsidRPr="000E7AE9">
        <w:rPr>
          <w:color w:val="000000"/>
          <w:szCs w:val="22"/>
          <w:lang w:val="sv-SE"/>
        </w:rPr>
        <w:t>, fas-</w:t>
      </w:r>
      <w:r w:rsidR="00502E12" w:rsidRPr="000E7AE9">
        <w:rPr>
          <w:color w:val="000000"/>
          <w:szCs w:val="22"/>
          <w:lang w:val="sv-SE"/>
        </w:rPr>
        <w:t>II</w:t>
      </w:r>
      <w:r w:rsidRPr="000E7AE9">
        <w:rPr>
          <w:color w:val="000000"/>
          <w:szCs w:val="22"/>
          <w:lang w:val="sv-SE"/>
        </w:rPr>
        <w:t xml:space="preserve">, klinisk studie (studie B2225) </w:t>
      </w:r>
      <w:r w:rsidR="00502E12" w:rsidRPr="000E7AE9">
        <w:rPr>
          <w:rFonts w:eastAsia="MS Mincho"/>
          <w:color w:val="000000"/>
          <w:lang w:val="sv-SE" w:eastAsia="ja-JP"/>
        </w:rPr>
        <w:t>utfördes där Glivec testades på olika populationer av patienter med livshotande sjukdomar sammankopplade med Abl-, Kit- eller PDGFR-proteintyrosinkinaser</w:t>
      </w:r>
      <w:r w:rsidRPr="000E7AE9">
        <w:rPr>
          <w:color w:val="000000"/>
          <w:szCs w:val="22"/>
          <w:lang w:val="sv-SE"/>
        </w:rPr>
        <w:t xml:space="preserve">. Denna studie </w:t>
      </w:r>
      <w:r w:rsidR="006E4CA2" w:rsidRPr="000E7AE9">
        <w:rPr>
          <w:color w:val="000000"/>
          <w:szCs w:val="22"/>
          <w:lang w:val="sv-SE"/>
        </w:rPr>
        <w:t>inkluderade</w:t>
      </w:r>
      <w:r w:rsidRPr="000E7AE9">
        <w:rPr>
          <w:color w:val="000000"/>
          <w:szCs w:val="22"/>
          <w:lang w:val="sv-SE"/>
        </w:rPr>
        <w:t xml:space="preserve"> 7</w:t>
      </w:r>
      <w:r w:rsidR="00C9040C" w:rsidRPr="000E7AE9">
        <w:rPr>
          <w:color w:val="000000"/>
          <w:szCs w:val="22"/>
          <w:lang w:val="sv-SE"/>
        </w:rPr>
        <w:t> </w:t>
      </w:r>
      <w:r w:rsidRPr="000E7AE9">
        <w:rPr>
          <w:color w:val="000000"/>
          <w:szCs w:val="22"/>
          <w:lang w:val="sv-SE"/>
        </w:rPr>
        <w:t>patienter med MDS/MPD, som behandlades med Glivec 400</w:t>
      </w:r>
      <w:r w:rsidR="00377C43" w:rsidRPr="000E7AE9">
        <w:rPr>
          <w:color w:val="000000"/>
          <w:szCs w:val="22"/>
          <w:lang w:val="sv-SE"/>
        </w:rPr>
        <w:t xml:space="preserve"> mg dagligen. Tre patienter uppvisade ett fullständigt hematologiskt svar (FHS) och en patient hade ett partiellt hematologiskt svar (PHS). Vid tiden för originalanalysen utvecklade tre av fyra patienter med klarlagt </w:t>
      </w:r>
      <w:r w:rsidR="006E4CA2" w:rsidRPr="000E7AE9">
        <w:rPr>
          <w:color w:val="000000"/>
          <w:szCs w:val="22"/>
          <w:lang w:val="sv-SE"/>
        </w:rPr>
        <w:t>rearrangemang</w:t>
      </w:r>
      <w:r w:rsidR="00377C43" w:rsidRPr="000E7AE9">
        <w:rPr>
          <w:color w:val="000000"/>
          <w:szCs w:val="22"/>
          <w:lang w:val="sv-SE"/>
        </w:rPr>
        <w:t xml:space="preserve"> av PDGFR-genen ett </w:t>
      </w:r>
      <w:r w:rsidR="006E4CA2" w:rsidRPr="000E7AE9">
        <w:rPr>
          <w:color w:val="000000"/>
          <w:szCs w:val="22"/>
          <w:lang w:val="sv-SE"/>
        </w:rPr>
        <w:t>hematologiskt</w:t>
      </w:r>
      <w:r w:rsidR="00377C43" w:rsidRPr="000E7AE9">
        <w:rPr>
          <w:color w:val="000000"/>
          <w:szCs w:val="22"/>
          <w:lang w:val="sv-SE"/>
        </w:rPr>
        <w:t xml:space="preserve"> svar (2</w:t>
      </w:r>
      <w:r w:rsidR="00C9040C" w:rsidRPr="000E7AE9">
        <w:rPr>
          <w:color w:val="000000"/>
          <w:szCs w:val="22"/>
          <w:lang w:val="sv-SE"/>
        </w:rPr>
        <w:t> </w:t>
      </w:r>
      <w:r w:rsidR="00377C43" w:rsidRPr="000E7AE9">
        <w:rPr>
          <w:color w:val="000000"/>
          <w:szCs w:val="22"/>
          <w:lang w:val="sv-SE"/>
        </w:rPr>
        <w:t>FHS och 1</w:t>
      </w:r>
      <w:r w:rsidR="00C9040C" w:rsidRPr="000E7AE9">
        <w:rPr>
          <w:color w:val="000000"/>
          <w:szCs w:val="22"/>
          <w:lang w:val="sv-SE"/>
        </w:rPr>
        <w:t> </w:t>
      </w:r>
      <w:r w:rsidR="00377C43" w:rsidRPr="000E7AE9">
        <w:rPr>
          <w:color w:val="000000"/>
          <w:szCs w:val="22"/>
          <w:lang w:val="sv-SE"/>
        </w:rPr>
        <w:t>PHS). Åldern på dessa patiente</w:t>
      </w:r>
      <w:r w:rsidR="0040304A">
        <w:rPr>
          <w:color w:val="000000"/>
          <w:szCs w:val="22"/>
          <w:lang w:val="sv-SE"/>
        </w:rPr>
        <w:t>r varierade från 20 till 72 år.</w:t>
      </w:r>
    </w:p>
    <w:p w14:paraId="4DD40251" w14:textId="77777777" w:rsidR="008F0D5D" w:rsidRDefault="008F0D5D" w:rsidP="00463647">
      <w:pPr>
        <w:pStyle w:val="EndnoteText"/>
        <w:widowControl w:val="0"/>
        <w:tabs>
          <w:tab w:val="clear" w:pos="567"/>
        </w:tabs>
        <w:rPr>
          <w:color w:val="000000"/>
          <w:szCs w:val="22"/>
          <w:lang w:val="sv-SE"/>
        </w:rPr>
      </w:pPr>
    </w:p>
    <w:p w14:paraId="5969B936" w14:textId="77777777" w:rsidR="008F0D5D" w:rsidRDefault="008F0D5D" w:rsidP="00463647">
      <w:pPr>
        <w:pStyle w:val="EndnoteText"/>
        <w:widowControl w:val="0"/>
        <w:tabs>
          <w:tab w:val="clear" w:pos="567"/>
        </w:tabs>
        <w:rPr>
          <w:color w:val="000000"/>
          <w:szCs w:val="22"/>
          <w:lang w:val="sv-SE"/>
        </w:rPr>
      </w:pPr>
      <w:r>
        <w:rPr>
          <w:color w:val="000000"/>
          <w:szCs w:val="22"/>
          <w:lang w:val="sv-SE"/>
        </w:rPr>
        <w:t xml:space="preserve">En observationell registerstudie (L2401) genomfördes för att samla in långsiktiga data om säkerhet och effekt hos patienter med myeloproliferativa neoplasier med </w:t>
      </w:r>
      <w:r w:rsidR="00C36B3F">
        <w:rPr>
          <w:color w:val="000000"/>
          <w:szCs w:val="22"/>
          <w:lang w:val="sv-SE"/>
        </w:rPr>
        <w:t xml:space="preserve">rearrangemang av </w:t>
      </w:r>
      <w:r>
        <w:rPr>
          <w:color w:val="000000"/>
          <w:szCs w:val="22"/>
          <w:lang w:val="sv-SE"/>
        </w:rPr>
        <w:t>PDGFR-</w:t>
      </w:r>
      <w:r w:rsidRPr="00E04387">
        <w:rPr>
          <w:color w:val="000000"/>
          <w:szCs w:val="22"/>
          <w:lang w:val="sv-SE"/>
        </w:rPr>
        <w:t xml:space="preserve"> </w:t>
      </w:r>
      <w:r w:rsidRPr="008F0D5D">
        <w:rPr>
          <w:color w:val="000000"/>
          <w:szCs w:val="22"/>
          <w:lang w:val="en-US"/>
        </w:rPr>
        <w:t>β</w:t>
      </w:r>
      <w:r w:rsidR="00C36B3F" w:rsidRPr="00C36B3F">
        <w:rPr>
          <w:color w:val="000000"/>
          <w:szCs w:val="22"/>
          <w:lang w:val="sv-SE"/>
        </w:rPr>
        <w:t xml:space="preserve"> </w:t>
      </w:r>
      <w:r w:rsidR="00C36B3F" w:rsidRPr="008A2839">
        <w:rPr>
          <w:color w:val="000000"/>
          <w:szCs w:val="22"/>
          <w:lang w:val="sv-SE"/>
        </w:rPr>
        <w:t>som behandlades med Glivec.</w:t>
      </w:r>
      <w:r w:rsidRPr="008A2839">
        <w:rPr>
          <w:color w:val="000000"/>
          <w:szCs w:val="22"/>
          <w:lang w:val="sv-SE"/>
        </w:rPr>
        <w:t xml:space="preserve"> </w:t>
      </w:r>
      <w:r w:rsidR="00C36B3F">
        <w:rPr>
          <w:color w:val="000000"/>
          <w:szCs w:val="22"/>
          <w:lang w:val="sv-SE"/>
        </w:rPr>
        <w:t>De 23</w:t>
      </w:r>
      <w:r w:rsidR="008A2839">
        <w:rPr>
          <w:color w:val="000000"/>
          <w:szCs w:val="22"/>
          <w:lang w:val="sv-SE"/>
        </w:rPr>
        <w:t> </w:t>
      </w:r>
      <w:r w:rsidR="00C36B3F">
        <w:rPr>
          <w:color w:val="000000"/>
          <w:szCs w:val="22"/>
          <w:lang w:val="sv-SE"/>
        </w:rPr>
        <w:t xml:space="preserve">patienter som ingick i detta register fick Glivec i en </w:t>
      </w:r>
      <w:r w:rsidR="00393068">
        <w:rPr>
          <w:color w:val="000000"/>
          <w:szCs w:val="22"/>
          <w:lang w:val="sv-SE"/>
        </w:rPr>
        <w:t>d</w:t>
      </w:r>
      <w:r w:rsidR="00C36B3F">
        <w:rPr>
          <w:color w:val="000000"/>
          <w:szCs w:val="22"/>
          <w:lang w:val="sv-SE"/>
        </w:rPr>
        <w:t xml:space="preserve">aglig dos om 264 mg </w:t>
      </w:r>
      <w:r w:rsidR="00393068">
        <w:rPr>
          <w:color w:val="000000"/>
          <w:szCs w:val="22"/>
          <w:lang w:val="sv-SE"/>
        </w:rPr>
        <w:t xml:space="preserve">i median </w:t>
      </w:r>
      <w:r w:rsidR="00C36B3F">
        <w:rPr>
          <w:color w:val="000000"/>
          <w:szCs w:val="22"/>
          <w:lang w:val="sv-SE"/>
        </w:rPr>
        <w:t xml:space="preserve">(intervall: 100 till 400 mg) under en </w:t>
      </w:r>
      <w:r w:rsidR="00D360A8">
        <w:rPr>
          <w:color w:val="000000"/>
          <w:szCs w:val="22"/>
          <w:lang w:val="sv-SE"/>
        </w:rPr>
        <w:t xml:space="preserve">medianduration om 7,2 år (intervall 0,1 till 12,7 år). På grund av registrets observationella karaktär fanns hematologiska, cytogenetiska och molekylära data tillgängliga för 22, 9 respektive 17 av de 23 patienter som inkluderats. Vid konservativt antagande att </w:t>
      </w:r>
      <w:r w:rsidR="00886250">
        <w:rPr>
          <w:color w:val="000000"/>
          <w:szCs w:val="22"/>
          <w:lang w:val="sv-SE"/>
        </w:rPr>
        <w:t xml:space="preserve">patienter där data saknades inte svarat på behandlingen observerades </w:t>
      </w:r>
      <w:r w:rsidR="00A87EC7">
        <w:rPr>
          <w:color w:val="000000"/>
          <w:szCs w:val="22"/>
          <w:lang w:val="sv-SE"/>
        </w:rPr>
        <w:t xml:space="preserve">FHS hos 20 av </w:t>
      </w:r>
      <w:r w:rsidR="00886250">
        <w:rPr>
          <w:color w:val="000000"/>
          <w:szCs w:val="22"/>
          <w:lang w:val="sv-SE"/>
        </w:rPr>
        <w:t>23 (87 %) patienter, FCyS hos 9</w:t>
      </w:r>
      <w:r w:rsidR="00A87EC7">
        <w:rPr>
          <w:color w:val="000000"/>
          <w:szCs w:val="22"/>
          <w:lang w:val="sv-SE"/>
        </w:rPr>
        <w:t xml:space="preserve"> av </w:t>
      </w:r>
      <w:r w:rsidR="00886250">
        <w:rPr>
          <w:color w:val="000000"/>
          <w:szCs w:val="22"/>
          <w:lang w:val="sv-SE"/>
        </w:rPr>
        <w:t>23 (39,1 %</w:t>
      </w:r>
      <w:r w:rsidR="00FE6BF1">
        <w:rPr>
          <w:color w:val="000000"/>
          <w:szCs w:val="22"/>
          <w:lang w:val="sv-SE"/>
        </w:rPr>
        <w:t xml:space="preserve">) patienter </w:t>
      </w:r>
      <w:r w:rsidR="00393068">
        <w:rPr>
          <w:color w:val="000000"/>
          <w:szCs w:val="22"/>
          <w:lang w:val="sv-SE"/>
        </w:rPr>
        <w:t>respektive</w:t>
      </w:r>
      <w:r w:rsidR="00FE6BF1">
        <w:rPr>
          <w:color w:val="000000"/>
          <w:szCs w:val="22"/>
          <w:lang w:val="sv-SE"/>
        </w:rPr>
        <w:t xml:space="preserve"> molekylärt svar hos 11</w:t>
      </w:r>
      <w:r w:rsidR="00A87EC7">
        <w:rPr>
          <w:color w:val="000000"/>
          <w:szCs w:val="22"/>
          <w:lang w:val="sv-SE"/>
        </w:rPr>
        <w:t xml:space="preserve"> av </w:t>
      </w:r>
      <w:r w:rsidR="00FE6BF1">
        <w:rPr>
          <w:color w:val="000000"/>
          <w:szCs w:val="22"/>
          <w:lang w:val="sv-SE"/>
        </w:rPr>
        <w:t xml:space="preserve">23 (47,8 %) patienter. </w:t>
      </w:r>
      <w:r w:rsidR="00035415">
        <w:rPr>
          <w:color w:val="000000"/>
          <w:szCs w:val="22"/>
          <w:lang w:val="sv-SE"/>
        </w:rPr>
        <w:t>Beräknat</w:t>
      </w:r>
      <w:r w:rsidR="00FE6BF1">
        <w:rPr>
          <w:color w:val="000000"/>
          <w:szCs w:val="22"/>
          <w:lang w:val="sv-SE"/>
        </w:rPr>
        <w:t xml:space="preserve"> </w:t>
      </w:r>
      <w:r w:rsidR="00393068">
        <w:rPr>
          <w:color w:val="000000"/>
          <w:szCs w:val="22"/>
          <w:lang w:val="sv-SE"/>
        </w:rPr>
        <w:t>uti</w:t>
      </w:r>
      <w:r w:rsidR="00FE6BF1">
        <w:rPr>
          <w:color w:val="000000"/>
          <w:szCs w:val="22"/>
          <w:lang w:val="sv-SE"/>
        </w:rPr>
        <w:t xml:space="preserve">från patienter med minst en giltig </w:t>
      </w:r>
      <w:r w:rsidR="00B517C2">
        <w:rPr>
          <w:color w:val="000000"/>
          <w:szCs w:val="22"/>
          <w:lang w:val="sv-SE"/>
        </w:rPr>
        <w:t>utvärdering var</w:t>
      </w:r>
      <w:r w:rsidR="00035415">
        <w:rPr>
          <w:color w:val="000000"/>
          <w:szCs w:val="22"/>
          <w:lang w:val="sv-SE"/>
        </w:rPr>
        <w:t xml:space="preserve"> svarsfrekvensen </w:t>
      </w:r>
      <w:r w:rsidR="00393068">
        <w:rPr>
          <w:color w:val="000000"/>
          <w:szCs w:val="22"/>
          <w:lang w:val="sv-SE"/>
        </w:rPr>
        <w:t>för FHS</w:t>
      </w:r>
      <w:r w:rsidR="00B517C2">
        <w:rPr>
          <w:color w:val="000000"/>
          <w:szCs w:val="22"/>
          <w:lang w:val="sv-SE"/>
        </w:rPr>
        <w:t>, FCyS och molekylärt svar</w:t>
      </w:r>
      <w:r w:rsidR="00E04387">
        <w:rPr>
          <w:color w:val="000000"/>
          <w:szCs w:val="22"/>
          <w:lang w:val="sv-SE"/>
        </w:rPr>
        <w:t xml:space="preserve"> </w:t>
      </w:r>
      <w:r w:rsidR="008A2839">
        <w:rPr>
          <w:color w:val="000000"/>
          <w:szCs w:val="22"/>
          <w:lang w:val="sv-SE"/>
        </w:rPr>
        <w:t>20</w:t>
      </w:r>
      <w:r w:rsidR="00223CC7">
        <w:rPr>
          <w:color w:val="000000"/>
          <w:szCs w:val="22"/>
          <w:lang w:val="sv-SE"/>
        </w:rPr>
        <w:t>/</w:t>
      </w:r>
      <w:r w:rsidR="00E04387">
        <w:rPr>
          <w:color w:val="000000"/>
          <w:szCs w:val="22"/>
          <w:lang w:val="sv-SE"/>
        </w:rPr>
        <w:t>22 (90,9 %), 9</w:t>
      </w:r>
      <w:r w:rsidR="00223CC7">
        <w:rPr>
          <w:color w:val="000000"/>
          <w:szCs w:val="22"/>
          <w:lang w:val="sv-SE"/>
        </w:rPr>
        <w:t>/</w:t>
      </w:r>
      <w:r w:rsidR="00393068">
        <w:rPr>
          <w:color w:val="000000"/>
          <w:szCs w:val="22"/>
          <w:lang w:val="sv-SE"/>
        </w:rPr>
        <w:t>9 (100 %) respektive 11/17 (64,7 %).</w:t>
      </w:r>
    </w:p>
    <w:p w14:paraId="47F33A03" w14:textId="77777777" w:rsidR="00C36B3F" w:rsidRDefault="00C36B3F" w:rsidP="00463647">
      <w:pPr>
        <w:pStyle w:val="EndnoteText"/>
        <w:widowControl w:val="0"/>
        <w:tabs>
          <w:tab w:val="clear" w:pos="567"/>
        </w:tabs>
        <w:rPr>
          <w:color w:val="000000"/>
          <w:szCs w:val="22"/>
          <w:lang w:val="sv-SE"/>
        </w:rPr>
      </w:pPr>
    </w:p>
    <w:p w14:paraId="5905666C" w14:textId="77777777" w:rsidR="00915126" w:rsidRPr="000E7AE9" w:rsidRDefault="00377C43" w:rsidP="00463647">
      <w:pPr>
        <w:pStyle w:val="EndnoteText"/>
        <w:widowControl w:val="0"/>
        <w:tabs>
          <w:tab w:val="clear" w:pos="567"/>
        </w:tabs>
        <w:rPr>
          <w:color w:val="000000"/>
          <w:szCs w:val="22"/>
          <w:lang w:val="sv-SE"/>
        </w:rPr>
      </w:pPr>
      <w:r w:rsidRPr="000E7AE9">
        <w:rPr>
          <w:color w:val="000000"/>
          <w:szCs w:val="22"/>
          <w:lang w:val="sv-SE"/>
        </w:rPr>
        <w:t>Ytterligare 24</w:t>
      </w:r>
      <w:r w:rsidR="00C9040C" w:rsidRPr="000E7AE9">
        <w:rPr>
          <w:color w:val="000000"/>
          <w:szCs w:val="22"/>
          <w:lang w:val="sv-SE"/>
        </w:rPr>
        <w:t> </w:t>
      </w:r>
      <w:r w:rsidRPr="000E7AE9">
        <w:rPr>
          <w:color w:val="000000"/>
          <w:szCs w:val="22"/>
          <w:lang w:val="sv-SE"/>
        </w:rPr>
        <w:t>patienter med MDS/MPD rapporterades i 13</w:t>
      </w:r>
      <w:r w:rsidR="00C9040C" w:rsidRPr="000E7AE9">
        <w:rPr>
          <w:color w:val="000000"/>
          <w:szCs w:val="22"/>
          <w:lang w:val="sv-SE"/>
        </w:rPr>
        <w:t> </w:t>
      </w:r>
      <w:r w:rsidRPr="000E7AE9">
        <w:rPr>
          <w:color w:val="000000"/>
          <w:szCs w:val="22"/>
          <w:lang w:val="sv-SE"/>
        </w:rPr>
        <w:t>publikationer.</w:t>
      </w:r>
      <w:r w:rsidR="006F23EE" w:rsidRPr="000E7AE9">
        <w:rPr>
          <w:color w:val="000000"/>
          <w:szCs w:val="22"/>
          <w:lang w:val="sv-SE"/>
        </w:rPr>
        <w:t xml:space="preserve"> 21</w:t>
      </w:r>
      <w:r w:rsidR="00C9040C" w:rsidRPr="000E7AE9">
        <w:rPr>
          <w:color w:val="000000"/>
          <w:szCs w:val="22"/>
          <w:lang w:val="sv-SE"/>
        </w:rPr>
        <w:t> </w:t>
      </w:r>
      <w:r w:rsidR="006F23EE" w:rsidRPr="000E7AE9">
        <w:rPr>
          <w:color w:val="000000"/>
          <w:szCs w:val="22"/>
          <w:lang w:val="sv-SE"/>
        </w:rPr>
        <w:t>patienter behandlades med 400 mg dagligen, medan de 3</w:t>
      </w:r>
      <w:r w:rsidR="00C9040C" w:rsidRPr="000E7AE9">
        <w:rPr>
          <w:color w:val="000000"/>
          <w:szCs w:val="22"/>
          <w:lang w:val="sv-SE"/>
        </w:rPr>
        <w:t> </w:t>
      </w:r>
      <w:r w:rsidR="006F23EE" w:rsidRPr="000E7AE9">
        <w:rPr>
          <w:color w:val="000000"/>
          <w:szCs w:val="22"/>
          <w:lang w:val="sv-SE"/>
        </w:rPr>
        <w:t>andra patienterna erhöll lägre doser. Hos elva patienter upptäcktes rearrangemang av PDGFR-genen, varav 9 av dem nådde FHS och 1</w:t>
      </w:r>
      <w:r w:rsidR="00C9040C" w:rsidRPr="000E7AE9">
        <w:rPr>
          <w:color w:val="000000"/>
          <w:szCs w:val="22"/>
          <w:lang w:val="sv-SE"/>
        </w:rPr>
        <w:t> </w:t>
      </w:r>
      <w:r w:rsidR="006F23EE" w:rsidRPr="000E7AE9">
        <w:rPr>
          <w:color w:val="000000"/>
          <w:szCs w:val="22"/>
          <w:lang w:val="sv-SE"/>
        </w:rPr>
        <w:t>PHS. Åldern på dessa patienter varierade från 2 till 79 år.</w:t>
      </w:r>
      <w:r w:rsidR="00D07F2E" w:rsidRPr="000E7AE9">
        <w:rPr>
          <w:color w:val="000000"/>
          <w:szCs w:val="22"/>
          <w:lang w:val="sv-SE"/>
        </w:rPr>
        <w:t xml:space="preserve"> I en nyligen publicerad artikel med uppdaterad information från 6 av dessa 11</w:t>
      </w:r>
      <w:r w:rsidR="00C9040C" w:rsidRPr="000E7AE9">
        <w:rPr>
          <w:color w:val="000000"/>
          <w:szCs w:val="22"/>
          <w:lang w:val="sv-SE"/>
        </w:rPr>
        <w:t> </w:t>
      </w:r>
      <w:r w:rsidR="00D07F2E" w:rsidRPr="000E7AE9">
        <w:rPr>
          <w:color w:val="000000"/>
          <w:szCs w:val="22"/>
          <w:lang w:val="sv-SE"/>
        </w:rPr>
        <w:t>patienter klarlades att alla dessa patienter förblev i cytogenetisk remission (intervall 32</w:t>
      </w:r>
      <w:r w:rsidR="00C9040C" w:rsidRPr="000E7AE9">
        <w:rPr>
          <w:color w:val="000000"/>
          <w:szCs w:val="22"/>
          <w:lang w:val="sv-SE"/>
        </w:rPr>
        <w:noBreakHyphen/>
      </w:r>
      <w:r w:rsidR="00D07F2E" w:rsidRPr="000E7AE9">
        <w:rPr>
          <w:color w:val="000000"/>
          <w:szCs w:val="22"/>
          <w:lang w:val="sv-SE"/>
        </w:rPr>
        <w:t>38</w:t>
      </w:r>
      <w:r w:rsidR="00D7477A" w:rsidRPr="000E7AE9">
        <w:rPr>
          <w:color w:val="000000"/>
          <w:szCs w:val="22"/>
          <w:lang w:val="sv-SE"/>
        </w:rPr>
        <w:t> månader).</w:t>
      </w:r>
      <w:r w:rsidR="00311786" w:rsidRPr="000E7AE9">
        <w:rPr>
          <w:color w:val="000000"/>
          <w:szCs w:val="22"/>
          <w:lang w:val="sv-SE"/>
        </w:rPr>
        <w:t xml:space="preserve"> Samma publikation rapporterade om data från långtidsuppföljning av 12</w:t>
      </w:r>
      <w:r w:rsidR="00C9040C" w:rsidRPr="000E7AE9">
        <w:rPr>
          <w:color w:val="000000"/>
          <w:szCs w:val="22"/>
          <w:lang w:val="sv-SE"/>
        </w:rPr>
        <w:t> </w:t>
      </w:r>
      <w:r w:rsidR="00311786" w:rsidRPr="000E7AE9">
        <w:rPr>
          <w:color w:val="000000"/>
          <w:szCs w:val="22"/>
          <w:lang w:val="sv-SE"/>
        </w:rPr>
        <w:t>MDS/MPD-patienter med rearrangemang av PDGFR-genen (5</w:t>
      </w:r>
      <w:r w:rsidR="00C9040C" w:rsidRPr="000E7AE9">
        <w:rPr>
          <w:color w:val="000000"/>
          <w:szCs w:val="22"/>
          <w:lang w:val="sv-SE"/>
        </w:rPr>
        <w:t> </w:t>
      </w:r>
      <w:r w:rsidR="00311786" w:rsidRPr="000E7AE9">
        <w:rPr>
          <w:color w:val="000000"/>
          <w:szCs w:val="22"/>
          <w:lang w:val="sv-SE"/>
        </w:rPr>
        <w:t xml:space="preserve">patienter från studie B2225). </w:t>
      </w:r>
      <w:r w:rsidR="006E4CA2" w:rsidRPr="000E7AE9">
        <w:rPr>
          <w:color w:val="000000"/>
          <w:szCs w:val="22"/>
          <w:lang w:val="sv-SE"/>
        </w:rPr>
        <w:t xml:space="preserve">Dessa patienter erhöll Glivec under en median av 47 månader (intervall 24 dagar – 60 månader). </w:t>
      </w:r>
      <w:r w:rsidR="00311786" w:rsidRPr="000E7AE9">
        <w:rPr>
          <w:color w:val="000000"/>
          <w:szCs w:val="22"/>
          <w:lang w:val="sv-SE"/>
        </w:rPr>
        <w:t>Hos 6 av dessa patienter överstiger nu uppföljningen 4 år. Elva patienter uppnådde snabbt FHS, 10</w:t>
      </w:r>
      <w:r w:rsidR="00C9040C" w:rsidRPr="000E7AE9">
        <w:rPr>
          <w:color w:val="000000"/>
          <w:szCs w:val="22"/>
          <w:lang w:val="sv-SE"/>
        </w:rPr>
        <w:t> </w:t>
      </w:r>
      <w:r w:rsidR="00311786" w:rsidRPr="000E7AE9">
        <w:rPr>
          <w:color w:val="000000"/>
          <w:szCs w:val="22"/>
          <w:lang w:val="sv-SE"/>
        </w:rPr>
        <w:t xml:space="preserve">hade fullständig utläkning </w:t>
      </w:r>
      <w:r w:rsidR="00311786" w:rsidRPr="000E7AE9">
        <w:rPr>
          <w:color w:val="000000"/>
          <w:szCs w:val="22"/>
          <w:lang w:val="sv-SE"/>
        </w:rPr>
        <w:lastRenderedPageBreak/>
        <w:t xml:space="preserve">av cytogenetiska abnormiteter och en minskning eller försvinnande av fusionstranskript bestämt med RT-PCR. </w:t>
      </w:r>
      <w:r w:rsidR="006E4CA2" w:rsidRPr="000E7AE9">
        <w:rPr>
          <w:color w:val="000000"/>
          <w:szCs w:val="22"/>
          <w:lang w:val="sv-SE"/>
        </w:rPr>
        <w:t>Hematologiskt och cytogenetiskt svar har kvarstått i median 49 månader (intervall 19</w:t>
      </w:r>
      <w:r w:rsidR="00C9040C" w:rsidRPr="000E7AE9">
        <w:rPr>
          <w:color w:val="000000"/>
          <w:szCs w:val="22"/>
          <w:lang w:val="sv-SE"/>
        </w:rPr>
        <w:noBreakHyphen/>
      </w:r>
      <w:r w:rsidR="006E4CA2" w:rsidRPr="000E7AE9">
        <w:rPr>
          <w:color w:val="000000"/>
          <w:szCs w:val="22"/>
          <w:lang w:val="sv-SE"/>
        </w:rPr>
        <w:t>60) respektive 47 månader (intervall 16</w:t>
      </w:r>
      <w:r w:rsidR="00C9040C" w:rsidRPr="000E7AE9">
        <w:rPr>
          <w:color w:val="000000"/>
          <w:szCs w:val="22"/>
          <w:lang w:val="sv-SE"/>
        </w:rPr>
        <w:noBreakHyphen/>
      </w:r>
      <w:r w:rsidR="006E4CA2" w:rsidRPr="000E7AE9">
        <w:rPr>
          <w:color w:val="000000"/>
          <w:szCs w:val="22"/>
          <w:lang w:val="sv-SE"/>
        </w:rPr>
        <w:t xml:space="preserve">59). </w:t>
      </w:r>
      <w:r w:rsidR="00311786" w:rsidRPr="000E7AE9">
        <w:rPr>
          <w:color w:val="000000"/>
          <w:szCs w:val="22"/>
          <w:lang w:val="sv-SE"/>
        </w:rPr>
        <w:t xml:space="preserve">Den sammantagna </w:t>
      </w:r>
      <w:r w:rsidR="006E4CA2" w:rsidRPr="000E7AE9">
        <w:rPr>
          <w:color w:val="000000"/>
          <w:szCs w:val="22"/>
          <w:lang w:val="sv-SE"/>
        </w:rPr>
        <w:t>överlevnaden</w:t>
      </w:r>
      <w:r w:rsidR="00311786" w:rsidRPr="000E7AE9">
        <w:rPr>
          <w:color w:val="000000"/>
          <w:szCs w:val="22"/>
          <w:lang w:val="sv-SE"/>
        </w:rPr>
        <w:t xml:space="preserve"> är 65 månader sedan diagnos (intervall 25</w:t>
      </w:r>
      <w:r w:rsidR="00C9040C" w:rsidRPr="000E7AE9">
        <w:rPr>
          <w:color w:val="000000"/>
          <w:szCs w:val="22"/>
          <w:lang w:val="sv-SE"/>
        </w:rPr>
        <w:noBreakHyphen/>
      </w:r>
      <w:r w:rsidR="00311786" w:rsidRPr="000E7AE9">
        <w:rPr>
          <w:color w:val="000000"/>
          <w:szCs w:val="22"/>
          <w:lang w:val="sv-SE"/>
        </w:rPr>
        <w:t>234). Glivec givet till patienter utan den genetiska translokationen resulterar vanligen inte i någon förbättring.</w:t>
      </w:r>
    </w:p>
    <w:p w14:paraId="3F371533" w14:textId="77777777" w:rsidR="00502E12" w:rsidRDefault="00502E12" w:rsidP="00463647">
      <w:pPr>
        <w:pStyle w:val="EndnoteText"/>
        <w:widowControl w:val="0"/>
        <w:tabs>
          <w:tab w:val="clear" w:pos="567"/>
        </w:tabs>
        <w:rPr>
          <w:color w:val="000000"/>
          <w:szCs w:val="22"/>
          <w:lang w:val="sv-SE"/>
        </w:rPr>
      </w:pPr>
    </w:p>
    <w:p w14:paraId="3F3528CF" w14:textId="77777777" w:rsidR="00134EC1" w:rsidRPr="00134EC1" w:rsidRDefault="00134EC1" w:rsidP="00463647">
      <w:pPr>
        <w:pStyle w:val="EndnoteText"/>
        <w:widowControl w:val="0"/>
        <w:tabs>
          <w:tab w:val="clear" w:pos="567"/>
        </w:tabs>
        <w:rPr>
          <w:color w:val="000000"/>
          <w:szCs w:val="22"/>
          <w:lang w:val="sv-SE"/>
        </w:rPr>
      </w:pPr>
      <w:r>
        <w:rPr>
          <w:color w:val="000000"/>
          <w:szCs w:val="22"/>
          <w:lang w:val="sv-SE"/>
        </w:rPr>
        <w:t xml:space="preserve">Det finns inga kliniska studier </w:t>
      </w:r>
      <w:r w:rsidR="002B3DC3">
        <w:rPr>
          <w:color w:val="000000"/>
          <w:szCs w:val="22"/>
          <w:lang w:val="sv-SE"/>
        </w:rPr>
        <w:t>hos</w:t>
      </w:r>
      <w:r>
        <w:rPr>
          <w:color w:val="000000"/>
          <w:szCs w:val="22"/>
          <w:lang w:val="sv-SE"/>
        </w:rPr>
        <w:t xml:space="preserve"> barnpatienter med MDS/MPD. </w:t>
      </w:r>
      <w:r w:rsidR="00892D5C">
        <w:rPr>
          <w:color w:val="000000"/>
          <w:szCs w:val="22"/>
          <w:lang w:val="sv-SE"/>
        </w:rPr>
        <w:t>Fem (</w:t>
      </w:r>
      <w:r>
        <w:rPr>
          <w:color w:val="000000"/>
          <w:szCs w:val="22"/>
          <w:lang w:val="sv-SE"/>
        </w:rPr>
        <w:t>5</w:t>
      </w:r>
      <w:r w:rsidR="00892D5C">
        <w:rPr>
          <w:color w:val="000000"/>
          <w:szCs w:val="22"/>
          <w:lang w:val="sv-SE"/>
        </w:rPr>
        <w:t>)</w:t>
      </w:r>
      <w:r>
        <w:rPr>
          <w:color w:val="000000"/>
          <w:szCs w:val="22"/>
          <w:lang w:val="sv-SE"/>
        </w:rPr>
        <w:t xml:space="preserve"> patienter med MDS/MPD associerat </w:t>
      </w:r>
      <w:r w:rsidR="00AC20BE">
        <w:rPr>
          <w:color w:val="000000"/>
          <w:szCs w:val="22"/>
          <w:lang w:val="sv-SE"/>
        </w:rPr>
        <w:t xml:space="preserve">med </w:t>
      </w:r>
      <w:r>
        <w:rPr>
          <w:color w:val="000000"/>
          <w:szCs w:val="22"/>
          <w:lang w:val="sv-SE"/>
        </w:rPr>
        <w:t xml:space="preserve">rearrangemang av PDGFR-genen </w:t>
      </w:r>
      <w:r w:rsidR="002B3DC3">
        <w:rPr>
          <w:color w:val="000000"/>
          <w:szCs w:val="22"/>
          <w:lang w:val="sv-SE"/>
        </w:rPr>
        <w:t xml:space="preserve">har </w:t>
      </w:r>
      <w:r>
        <w:rPr>
          <w:color w:val="000000"/>
          <w:szCs w:val="22"/>
          <w:lang w:val="sv-SE"/>
        </w:rPr>
        <w:t>rapportera</w:t>
      </w:r>
      <w:r w:rsidR="002B3DC3">
        <w:rPr>
          <w:color w:val="000000"/>
          <w:szCs w:val="22"/>
          <w:lang w:val="sv-SE"/>
        </w:rPr>
        <w:t>t</w:t>
      </w:r>
      <w:r>
        <w:rPr>
          <w:color w:val="000000"/>
          <w:szCs w:val="22"/>
          <w:lang w:val="sv-SE"/>
        </w:rPr>
        <w:t xml:space="preserve">s i 4 publikationer. Åldern på dessa patienter sträckte sig från 3 månader till 4 år och imatinib gavs i </w:t>
      </w:r>
      <w:r w:rsidR="0018362B">
        <w:rPr>
          <w:color w:val="000000"/>
          <w:szCs w:val="22"/>
          <w:lang w:val="sv-SE"/>
        </w:rPr>
        <w:t xml:space="preserve">en </w:t>
      </w:r>
      <w:r w:rsidR="000B2E0C">
        <w:rPr>
          <w:color w:val="000000"/>
          <w:szCs w:val="22"/>
          <w:lang w:val="sv-SE"/>
        </w:rPr>
        <w:t xml:space="preserve">dos </w:t>
      </w:r>
      <w:r w:rsidR="008D3B3E">
        <w:rPr>
          <w:color w:val="000000"/>
          <w:szCs w:val="22"/>
          <w:lang w:val="sv-SE"/>
        </w:rPr>
        <w:t xml:space="preserve">om </w:t>
      </w:r>
      <w:r w:rsidR="000B2E0C">
        <w:rPr>
          <w:color w:val="000000"/>
          <w:szCs w:val="22"/>
          <w:lang w:val="sv-SE"/>
        </w:rPr>
        <w:t xml:space="preserve">50 mg dagligen eller </w:t>
      </w:r>
      <w:r>
        <w:rPr>
          <w:color w:val="000000"/>
          <w:szCs w:val="22"/>
          <w:lang w:val="sv-SE"/>
        </w:rPr>
        <w:t>doser från 92</w:t>
      </w:r>
      <w:r w:rsidR="008D3B3E">
        <w:rPr>
          <w:color w:val="000000"/>
          <w:szCs w:val="22"/>
          <w:lang w:val="sv-SE"/>
        </w:rPr>
        <w:t>,</w:t>
      </w:r>
      <w:r>
        <w:rPr>
          <w:color w:val="000000"/>
          <w:szCs w:val="22"/>
          <w:lang w:val="sv-SE"/>
        </w:rPr>
        <w:t>5 till 340 mg/m</w:t>
      </w:r>
      <w:r w:rsidRPr="00134EC1">
        <w:rPr>
          <w:color w:val="000000"/>
          <w:szCs w:val="22"/>
          <w:vertAlign w:val="superscript"/>
          <w:lang w:val="sv-SE"/>
        </w:rPr>
        <w:t>2</w:t>
      </w:r>
      <w:r>
        <w:rPr>
          <w:color w:val="000000"/>
          <w:szCs w:val="22"/>
          <w:lang w:val="sv-SE"/>
        </w:rPr>
        <w:t xml:space="preserve"> dagligen. Alla patienter uppnådde fullständigt hematologiskt svar, cytogenetiskt svar och/eller kliniskt svar.</w:t>
      </w:r>
    </w:p>
    <w:p w14:paraId="756B5A86" w14:textId="77777777" w:rsidR="00134EC1" w:rsidRPr="000E7AE9" w:rsidRDefault="00134EC1" w:rsidP="00463647">
      <w:pPr>
        <w:pStyle w:val="EndnoteText"/>
        <w:widowControl w:val="0"/>
        <w:tabs>
          <w:tab w:val="clear" w:pos="567"/>
        </w:tabs>
        <w:rPr>
          <w:color w:val="000000"/>
          <w:szCs w:val="22"/>
          <w:lang w:val="sv-SE"/>
        </w:rPr>
      </w:pPr>
    </w:p>
    <w:p w14:paraId="327CB1E7" w14:textId="77777777" w:rsidR="00502E12" w:rsidRPr="000E7AE9" w:rsidRDefault="00502E12" w:rsidP="00463647">
      <w:pPr>
        <w:pStyle w:val="EndnoteText"/>
        <w:keepNext/>
        <w:widowControl w:val="0"/>
        <w:tabs>
          <w:tab w:val="clear" w:pos="567"/>
        </w:tabs>
        <w:rPr>
          <w:color w:val="000000"/>
          <w:szCs w:val="22"/>
          <w:u w:val="single"/>
          <w:lang w:val="sv-SE"/>
        </w:rPr>
      </w:pPr>
      <w:r w:rsidRPr="000E7AE9">
        <w:rPr>
          <w:color w:val="000000"/>
          <w:szCs w:val="22"/>
          <w:u w:val="single"/>
          <w:lang w:val="sv-SE"/>
        </w:rPr>
        <w:t>Kliniska studier vid HES/CEL</w:t>
      </w:r>
    </w:p>
    <w:p w14:paraId="74C1C20F" w14:textId="77777777" w:rsidR="00D73F38" w:rsidRPr="000E7AE9" w:rsidRDefault="00502E12" w:rsidP="00463647">
      <w:pPr>
        <w:pStyle w:val="EndnoteText"/>
        <w:widowControl w:val="0"/>
        <w:tabs>
          <w:tab w:val="clear" w:pos="567"/>
        </w:tabs>
        <w:rPr>
          <w:color w:val="000000"/>
          <w:szCs w:val="22"/>
          <w:lang w:val="sv-SE"/>
        </w:rPr>
      </w:pPr>
      <w:r w:rsidRPr="000E7AE9">
        <w:rPr>
          <w:color w:val="000000"/>
          <w:szCs w:val="22"/>
          <w:lang w:val="sv-SE"/>
        </w:rPr>
        <w:t>En öppen, multicenter, fas-II klinisk studie (studie B2225) som testade Glivec hos olika populationer av patienter med livshotande sjukdomar förknippade med Abl, Kit eller PDGFR-protein-tyrosinkinaser genomfördes. I denna studie behandlades 14 patienter med HES/CEL med 100 mg till 1 000 mg Glivec dagligen. Ytterligare 162 patienter med HES/CEL</w:t>
      </w:r>
      <w:r w:rsidR="0059014E" w:rsidRPr="000E7AE9">
        <w:rPr>
          <w:color w:val="000000"/>
          <w:szCs w:val="22"/>
          <w:lang w:val="sv-SE"/>
        </w:rPr>
        <w:t>,</w:t>
      </w:r>
      <w:r w:rsidRPr="000E7AE9">
        <w:rPr>
          <w:color w:val="000000"/>
          <w:szCs w:val="22"/>
          <w:lang w:val="sv-SE"/>
        </w:rPr>
        <w:t xml:space="preserve"> rapporterade i 35 publicerade fallrapporter och fallserier erhöll Glivec i doser om 75 mg till 800 mg dagligen. Cytogenetiska abnormiteter utvärderades hos 117 av de</w:t>
      </w:r>
      <w:r w:rsidR="0059014E" w:rsidRPr="000E7AE9">
        <w:rPr>
          <w:color w:val="000000"/>
          <w:szCs w:val="22"/>
          <w:lang w:val="sv-SE"/>
        </w:rPr>
        <w:t xml:space="preserve">n </w:t>
      </w:r>
      <w:r w:rsidR="00E54A8F" w:rsidRPr="000E7AE9">
        <w:rPr>
          <w:color w:val="000000"/>
          <w:szCs w:val="22"/>
          <w:lang w:val="sv-SE"/>
        </w:rPr>
        <w:t>totala</w:t>
      </w:r>
      <w:r w:rsidR="0059014E" w:rsidRPr="000E7AE9">
        <w:rPr>
          <w:color w:val="000000"/>
          <w:szCs w:val="22"/>
          <w:lang w:val="sv-SE"/>
        </w:rPr>
        <w:t xml:space="preserve"> populationen om</w:t>
      </w:r>
      <w:r w:rsidRPr="000E7AE9">
        <w:rPr>
          <w:color w:val="000000"/>
          <w:szCs w:val="22"/>
          <w:lang w:val="sv-SE"/>
        </w:rPr>
        <w:t xml:space="preserve"> 176 patienter. </w:t>
      </w:r>
      <w:r w:rsidR="0059014E" w:rsidRPr="000E7AE9">
        <w:rPr>
          <w:color w:val="000000"/>
          <w:szCs w:val="22"/>
          <w:lang w:val="sv-SE"/>
        </w:rPr>
        <w:t>Hos 61 av</w:t>
      </w:r>
      <w:r w:rsidRPr="000E7AE9">
        <w:rPr>
          <w:color w:val="000000"/>
          <w:szCs w:val="22"/>
          <w:lang w:val="sv-SE"/>
        </w:rPr>
        <w:t xml:space="preserve"> dessa 117 patienter </w:t>
      </w:r>
      <w:r w:rsidR="0059014E" w:rsidRPr="000E7AE9">
        <w:rPr>
          <w:color w:val="000000"/>
          <w:szCs w:val="22"/>
          <w:lang w:val="sv-SE"/>
        </w:rPr>
        <w:t>identifierades</w:t>
      </w:r>
      <w:r w:rsidRPr="000E7AE9">
        <w:rPr>
          <w:color w:val="000000"/>
          <w:szCs w:val="22"/>
          <w:lang w:val="sv-SE"/>
        </w:rPr>
        <w:t xml:space="preserve"> FIP1L1-PDGFRα-fusionskinas. </w:t>
      </w:r>
      <w:r w:rsidR="0059014E" w:rsidRPr="000E7AE9">
        <w:rPr>
          <w:color w:val="000000"/>
          <w:szCs w:val="22"/>
          <w:lang w:val="sv-SE"/>
        </w:rPr>
        <w:t xml:space="preserve">Ytterligare fyra patienter med HES var positiva för FIP1L1-PDGFRα-fusionskinas </w:t>
      </w:r>
      <w:r w:rsidR="002068A9" w:rsidRPr="000E7AE9">
        <w:rPr>
          <w:color w:val="000000"/>
          <w:szCs w:val="22"/>
          <w:lang w:val="sv-SE"/>
        </w:rPr>
        <w:t>i 3 andra publicerade rapporter</w:t>
      </w:r>
      <w:r w:rsidR="0059014E" w:rsidRPr="000E7AE9">
        <w:rPr>
          <w:color w:val="000000"/>
          <w:szCs w:val="22"/>
          <w:lang w:val="sv-SE"/>
        </w:rPr>
        <w:t>.</w:t>
      </w:r>
      <w:r w:rsidR="002068A9" w:rsidRPr="000E7AE9">
        <w:rPr>
          <w:color w:val="000000"/>
          <w:szCs w:val="22"/>
          <w:lang w:val="sv-SE"/>
        </w:rPr>
        <w:t xml:space="preserve"> </w:t>
      </w:r>
      <w:r w:rsidRPr="000E7AE9">
        <w:rPr>
          <w:color w:val="000000"/>
          <w:szCs w:val="22"/>
          <w:lang w:val="sv-SE"/>
        </w:rPr>
        <w:t xml:space="preserve">Alla </w:t>
      </w:r>
      <w:r w:rsidR="002068A9" w:rsidRPr="000E7AE9">
        <w:rPr>
          <w:color w:val="000000"/>
          <w:szCs w:val="22"/>
          <w:lang w:val="sv-SE"/>
        </w:rPr>
        <w:t>65</w:t>
      </w:r>
      <w:r w:rsidRPr="000E7AE9">
        <w:rPr>
          <w:color w:val="000000"/>
          <w:szCs w:val="22"/>
          <w:lang w:val="sv-SE"/>
        </w:rPr>
        <w:t xml:space="preserve"> patienter som var positiva för FIP1L1-PDGFRα-fusionskinas uppnådde ett fullständigt hematologiskt svar</w:t>
      </w:r>
      <w:r w:rsidR="002068A9" w:rsidRPr="000E7AE9">
        <w:rPr>
          <w:color w:val="000000"/>
          <w:szCs w:val="22"/>
          <w:lang w:val="sv-SE"/>
        </w:rPr>
        <w:t xml:space="preserve"> (FHS) som bibehölls i månader (intervall från 1+ till 44+ månader </w:t>
      </w:r>
      <w:r w:rsidR="002068A9" w:rsidRPr="000E7AE9">
        <w:rPr>
          <w:bCs/>
          <w:color w:val="000000"/>
          <w:szCs w:val="22"/>
          <w:lang w:val="sv-SE"/>
        </w:rPr>
        <w:t>uteslutna</w:t>
      </w:r>
      <w:r w:rsidR="002068A9" w:rsidRPr="000E7AE9">
        <w:rPr>
          <w:color w:val="000000"/>
          <w:szCs w:val="22"/>
          <w:lang w:val="sv-SE"/>
        </w:rPr>
        <w:t xml:space="preserve"> vid datum för rapportering). Som rapporterats i en nyligen utgiven publikation, uppnådde 21 av dessa 65 patienter</w:t>
      </w:r>
      <w:r w:rsidR="00D73F38" w:rsidRPr="000E7AE9">
        <w:rPr>
          <w:color w:val="000000"/>
          <w:szCs w:val="22"/>
          <w:lang w:val="sv-SE"/>
        </w:rPr>
        <w:t xml:space="preserve"> en fullständig cytogenetisk remission med en medianuppföljning på 28 månader (intervall 13</w:t>
      </w:r>
      <w:r w:rsidR="00C9040C" w:rsidRPr="000E7AE9">
        <w:rPr>
          <w:color w:val="000000"/>
          <w:szCs w:val="22"/>
          <w:lang w:val="sv-SE"/>
        </w:rPr>
        <w:noBreakHyphen/>
      </w:r>
      <w:r w:rsidR="00D73F38" w:rsidRPr="000E7AE9">
        <w:rPr>
          <w:color w:val="000000"/>
          <w:szCs w:val="22"/>
          <w:lang w:val="sv-SE"/>
        </w:rPr>
        <w:t>67 månader)</w:t>
      </w:r>
      <w:r w:rsidR="00064AC0" w:rsidRPr="000E7AE9">
        <w:rPr>
          <w:color w:val="000000"/>
          <w:szCs w:val="22"/>
          <w:lang w:val="sv-SE"/>
        </w:rPr>
        <w:t>. Åldern på dessa patienter varierade från 25 till 72 </w:t>
      </w:r>
      <w:r w:rsidR="00E54A8F" w:rsidRPr="000E7AE9">
        <w:rPr>
          <w:color w:val="000000"/>
          <w:szCs w:val="22"/>
          <w:lang w:val="sv-SE"/>
        </w:rPr>
        <w:t>år. Dessutom</w:t>
      </w:r>
      <w:r w:rsidR="00064AC0" w:rsidRPr="000E7AE9">
        <w:rPr>
          <w:color w:val="000000"/>
          <w:szCs w:val="22"/>
          <w:lang w:val="sv-SE"/>
        </w:rPr>
        <w:t xml:space="preserve"> rapporterade prövarna i fallrapporterna om förbättringar i symtomatologi och andra abnorma organdysfunktioner. Förbättringar i organsystemen rapporterades för hjärta, nervsystemet, hud/subkutan vävnad, andningsvägar/bröstkorg/mediastinum/muskuloskeletala </w:t>
      </w:r>
      <w:r w:rsidR="00E54A8F" w:rsidRPr="000E7AE9">
        <w:rPr>
          <w:color w:val="000000"/>
          <w:szCs w:val="22"/>
          <w:lang w:val="sv-SE"/>
        </w:rPr>
        <w:t>systemet</w:t>
      </w:r>
      <w:r w:rsidR="00064AC0" w:rsidRPr="000E7AE9">
        <w:rPr>
          <w:color w:val="000000"/>
          <w:szCs w:val="22"/>
          <w:lang w:val="sv-SE"/>
        </w:rPr>
        <w:t>/bindväv/blodkärl och magtarmkanalen.</w:t>
      </w:r>
    </w:p>
    <w:p w14:paraId="483E9CCE" w14:textId="77777777" w:rsidR="00502E12" w:rsidRDefault="00502E12" w:rsidP="00463647">
      <w:pPr>
        <w:pStyle w:val="EndnoteText"/>
        <w:widowControl w:val="0"/>
        <w:tabs>
          <w:tab w:val="clear" w:pos="567"/>
        </w:tabs>
        <w:rPr>
          <w:color w:val="000000"/>
          <w:szCs w:val="22"/>
          <w:lang w:val="sv-SE"/>
        </w:rPr>
      </w:pPr>
    </w:p>
    <w:p w14:paraId="25125F48" w14:textId="77777777" w:rsidR="00452EF8" w:rsidRPr="00134EC1" w:rsidRDefault="00452EF8" w:rsidP="00463647">
      <w:pPr>
        <w:pStyle w:val="EndnoteText"/>
        <w:widowControl w:val="0"/>
        <w:tabs>
          <w:tab w:val="clear" w:pos="567"/>
        </w:tabs>
        <w:rPr>
          <w:color w:val="000000"/>
          <w:szCs w:val="22"/>
          <w:lang w:val="sv-SE"/>
        </w:rPr>
      </w:pPr>
      <w:r>
        <w:rPr>
          <w:color w:val="000000"/>
          <w:szCs w:val="22"/>
          <w:lang w:val="sv-SE"/>
        </w:rPr>
        <w:t>Det fi</w:t>
      </w:r>
      <w:r w:rsidR="002B4654">
        <w:rPr>
          <w:color w:val="000000"/>
          <w:szCs w:val="22"/>
          <w:lang w:val="sv-SE"/>
        </w:rPr>
        <w:t>nns inga kontrollerade studier hos</w:t>
      </w:r>
      <w:r>
        <w:rPr>
          <w:color w:val="000000"/>
          <w:szCs w:val="22"/>
          <w:lang w:val="sv-SE"/>
        </w:rPr>
        <w:t xml:space="preserve"> barnpatienter med HES/CEL. </w:t>
      </w:r>
      <w:r w:rsidR="008135A9">
        <w:rPr>
          <w:color w:val="000000"/>
          <w:szCs w:val="22"/>
          <w:lang w:val="sv-SE"/>
        </w:rPr>
        <w:t>Tre (</w:t>
      </w:r>
      <w:r>
        <w:rPr>
          <w:color w:val="000000"/>
          <w:szCs w:val="22"/>
          <w:lang w:val="sv-SE"/>
        </w:rPr>
        <w:t>3</w:t>
      </w:r>
      <w:r w:rsidR="008135A9">
        <w:rPr>
          <w:color w:val="000000"/>
          <w:szCs w:val="22"/>
          <w:lang w:val="sv-SE"/>
        </w:rPr>
        <w:t>)</w:t>
      </w:r>
      <w:r>
        <w:rPr>
          <w:color w:val="000000"/>
          <w:szCs w:val="22"/>
          <w:lang w:val="sv-SE"/>
        </w:rPr>
        <w:t xml:space="preserve"> patienter med HES/CEL associerat med rearrangemang av PDGFR-genen </w:t>
      </w:r>
      <w:r w:rsidR="002B3DC3">
        <w:rPr>
          <w:color w:val="000000"/>
          <w:szCs w:val="22"/>
          <w:lang w:val="sv-SE"/>
        </w:rPr>
        <w:t xml:space="preserve">har </w:t>
      </w:r>
      <w:r>
        <w:rPr>
          <w:color w:val="000000"/>
          <w:szCs w:val="22"/>
          <w:lang w:val="sv-SE"/>
        </w:rPr>
        <w:t>rapportera</w:t>
      </w:r>
      <w:r w:rsidR="002B3DC3">
        <w:rPr>
          <w:color w:val="000000"/>
          <w:szCs w:val="22"/>
          <w:lang w:val="sv-SE"/>
        </w:rPr>
        <w:t>t</w:t>
      </w:r>
      <w:r>
        <w:rPr>
          <w:color w:val="000000"/>
          <w:szCs w:val="22"/>
          <w:lang w:val="sv-SE"/>
        </w:rPr>
        <w:t xml:space="preserve">s i 3 publikationer. Åldern på dessa patienter sträckte sig från 2 till 16 år och imatinib gavs i </w:t>
      </w:r>
      <w:r w:rsidR="008135A9">
        <w:rPr>
          <w:color w:val="000000"/>
          <w:szCs w:val="22"/>
          <w:lang w:val="sv-SE"/>
        </w:rPr>
        <w:t xml:space="preserve">en dos </w:t>
      </w:r>
      <w:r w:rsidR="008D3B3E">
        <w:rPr>
          <w:color w:val="000000"/>
          <w:szCs w:val="22"/>
          <w:lang w:val="sv-SE"/>
        </w:rPr>
        <w:t xml:space="preserve">om </w:t>
      </w:r>
      <w:r w:rsidR="008135A9">
        <w:rPr>
          <w:color w:val="000000"/>
          <w:szCs w:val="22"/>
          <w:lang w:val="sv-SE"/>
        </w:rPr>
        <w:t>300 mg/m</w:t>
      </w:r>
      <w:r w:rsidR="008135A9" w:rsidRPr="00452EF8">
        <w:rPr>
          <w:color w:val="000000"/>
          <w:szCs w:val="22"/>
          <w:vertAlign w:val="superscript"/>
          <w:lang w:val="sv-SE"/>
        </w:rPr>
        <w:t>2</w:t>
      </w:r>
      <w:r w:rsidR="0018362B">
        <w:rPr>
          <w:color w:val="000000"/>
          <w:szCs w:val="22"/>
          <w:lang w:val="sv-SE"/>
        </w:rPr>
        <w:t xml:space="preserve"> dagligen och</w:t>
      </w:r>
      <w:r w:rsidR="008135A9">
        <w:rPr>
          <w:color w:val="000000"/>
          <w:szCs w:val="22"/>
          <w:lang w:val="sv-SE"/>
        </w:rPr>
        <w:t xml:space="preserve"> </w:t>
      </w:r>
      <w:r>
        <w:rPr>
          <w:color w:val="000000"/>
          <w:szCs w:val="22"/>
          <w:lang w:val="sv-SE"/>
        </w:rPr>
        <w:t>doser från 200 till 400 mg dagligen. Alla patienter uppnådde fullständigt hematologiskt svar, fullständigt cytogenetiskt svar och/eller fullständigt molekylärt svar.</w:t>
      </w:r>
    </w:p>
    <w:p w14:paraId="4CDE1BD5" w14:textId="77777777" w:rsidR="00452EF8" w:rsidRPr="000E7AE9" w:rsidRDefault="00452EF8" w:rsidP="00463647">
      <w:pPr>
        <w:pStyle w:val="EndnoteText"/>
        <w:widowControl w:val="0"/>
        <w:tabs>
          <w:tab w:val="clear" w:pos="567"/>
        </w:tabs>
        <w:rPr>
          <w:color w:val="000000"/>
          <w:szCs w:val="22"/>
          <w:lang w:val="sv-SE"/>
        </w:rPr>
      </w:pPr>
    </w:p>
    <w:p w14:paraId="7FDE8993" w14:textId="77777777" w:rsidR="00D17AB6" w:rsidRPr="000E7AE9" w:rsidRDefault="00D17AB6" w:rsidP="00463647">
      <w:pPr>
        <w:pStyle w:val="EndnoteText"/>
        <w:keepNext/>
        <w:widowControl w:val="0"/>
        <w:tabs>
          <w:tab w:val="clear" w:pos="567"/>
        </w:tabs>
        <w:rPr>
          <w:color w:val="000000"/>
          <w:szCs w:val="22"/>
          <w:u w:val="single"/>
          <w:lang w:val="sv-SE"/>
        </w:rPr>
      </w:pPr>
      <w:r w:rsidRPr="000E7AE9">
        <w:rPr>
          <w:color w:val="000000"/>
          <w:szCs w:val="22"/>
          <w:u w:val="single"/>
          <w:lang w:val="sv-SE"/>
        </w:rPr>
        <w:t xml:space="preserve">Kliniska studier vid </w:t>
      </w:r>
      <w:r>
        <w:rPr>
          <w:color w:val="000000"/>
          <w:szCs w:val="22"/>
          <w:u w:val="single"/>
          <w:lang w:val="sv-SE"/>
        </w:rPr>
        <w:t xml:space="preserve">icke-resercerbar och/eller metastaserande </w:t>
      </w:r>
      <w:r w:rsidRPr="000E7AE9">
        <w:rPr>
          <w:color w:val="000000"/>
          <w:szCs w:val="22"/>
          <w:u w:val="single"/>
          <w:lang w:val="sv-SE"/>
        </w:rPr>
        <w:t>GIST</w:t>
      </w:r>
    </w:p>
    <w:p w14:paraId="1750CC62"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En fas-2, öppen, randomiserad, okontrollerad, multinationell studie genomfördes på patienter med icke-resecerbara eller metastaserande, maligna gastrointestinala stromacellstumörer (GIST). I denna studie rekryterades och randomiserades 147 patienter att erhålla endera 400 mg eller 600 mg Glivec </w:t>
      </w:r>
      <w:r w:rsidR="007B03FD" w:rsidRPr="000E7AE9">
        <w:rPr>
          <w:color w:val="000000"/>
          <w:szCs w:val="22"/>
          <w:lang w:val="sv-SE"/>
        </w:rPr>
        <w:t xml:space="preserve">en gång </w:t>
      </w:r>
      <w:r w:rsidRPr="000E7AE9">
        <w:rPr>
          <w:color w:val="000000"/>
          <w:szCs w:val="22"/>
          <w:lang w:val="sv-SE"/>
        </w:rPr>
        <w:t>dagligen oralt i upp till 36 månader. Dessa patienter varierade i ålder mellan 18 och 83 år och hade en patologisk diagnos av Kit-positiv, malign GIST som var icke-resecerbar och/eller metastaserande. Immunohistokemi utfördes rutinmässigt med Kit-antikropp (A-4502, polyklonalt kaninantiserum, 1:100; DAKO Corporation, Carpinteria, CA) i enlighet med analys med en avidin-biotin-peroxidas-komplexmetod efter antigenåtervinning.</w:t>
      </w:r>
    </w:p>
    <w:p w14:paraId="11BD885F" w14:textId="77777777" w:rsidR="00620ABA" w:rsidRPr="000E7AE9" w:rsidRDefault="00620ABA" w:rsidP="00463647">
      <w:pPr>
        <w:pStyle w:val="EndnoteText"/>
        <w:widowControl w:val="0"/>
        <w:tabs>
          <w:tab w:val="clear" w:pos="567"/>
        </w:tabs>
        <w:rPr>
          <w:color w:val="000000"/>
          <w:szCs w:val="22"/>
          <w:lang w:val="sv-SE"/>
        </w:rPr>
      </w:pPr>
    </w:p>
    <w:p w14:paraId="2F2563E7"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Det primära beviset på effektivitet baserades på objektiva svar. Det krävdes att tumörerna var mätbara vid åtminstone ett sjukdomsställe och svarskarakteriseringen baserades på kriterier från Southwestern Oncology Group (SWOG). Resultaten anges i Tabell </w:t>
      </w:r>
      <w:r w:rsidR="007F2DDD">
        <w:rPr>
          <w:color w:val="000000"/>
          <w:szCs w:val="22"/>
          <w:lang w:val="sv-SE"/>
        </w:rPr>
        <w:t>6</w:t>
      </w:r>
      <w:r w:rsidRPr="000E7AE9">
        <w:rPr>
          <w:color w:val="000000"/>
          <w:szCs w:val="22"/>
          <w:lang w:val="sv-SE"/>
        </w:rPr>
        <w:t>.</w:t>
      </w:r>
    </w:p>
    <w:p w14:paraId="48766205" w14:textId="77777777" w:rsidR="00620ABA" w:rsidRPr="000E7AE9" w:rsidRDefault="00620ABA" w:rsidP="00463647">
      <w:pPr>
        <w:pStyle w:val="EndnoteText"/>
        <w:widowControl w:val="0"/>
        <w:tabs>
          <w:tab w:val="clear" w:pos="567"/>
        </w:tabs>
        <w:rPr>
          <w:color w:val="000000"/>
          <w:szCs w:val="22"/>
          <w:lang w:val="sv-SE"/>
        </w:rPr>
      </w:pPr>
    </w:p>
    <w:p w14:paraId="009B3023" w14:textId="77777777" w:rsidR="00620ABA" w:rsidRPr="000E7AE9" w:rsidRDefault="00620ABA" w:rsidP="00463647">
      <w:pPr>
        <w:pStyle w:val="EndnoteText"/>
        <w:keepNext/>
        <w:keepLines/>
        <w:widowControl w:val="0"/>
        <w:tabs>
          <w:tab w:val="clear" w:pos="567"/>
          <w:tab w:val="left" w:pos="1134"/>
        </w:tabs>
        <w:rPr>
          <w:b/>
          <w:color w:val="000000"/>
          <w:szCs w:val="22"/>
          <w:lang w:val="sv-SE"/>
        </w:rPr>
      </w:pPr>
      <w:r w:rsidRPr="000E7AE9">
        <w:rPr>
          <w:b/>
          <w:color w:val="000000"/>
          <w:szCs w:val="22"/>
          <w:lang w:val="sv-SE"/>
        </w:rPr>
        <w:lastRenderedPageBreak/>
        <w:t>Tabell </w:t>
      </w:r>
      <w:r w:rsidR="007F2DDD">
        <w:rPr>
          <w:b/>
          <w:color w:val="000000"/>
          <w:szCs w:val="22"/>
          <w:lang w:val="sv-SE"/>
        </w:rPr>
        <w:t>6</w:t>
      </w:r>
      <w:r w:rsidRPr="000E7AE9">
        <w:rPr>
          <w:b/>
          <w:color w:val="000000"/>
          <w:szCs w:val="22"/>
          <w:lang w:val="sv-SE"/>
        </w:rPr>
        <w:tab/>
        <w:t>Bästa tumörsvaren i studie STIB2222 (GIST)</w:t>
      </w:r>
    </w:p>
    <w:p w14:paraId="5C926BC8" w14:textId="77777777" w:rsidR="00620ABA" w:rsidRPr="000E7AE9" w:rsidRDefault="00620ABA" w:rsidP="00463647">
      <w:pPr>
        <w:pStyle w:val="EndnoteText"/>
        <w:keepNext/>
        <w:keepLines/>
        <w:widowControl w:val="0"/>
        <w:tabs>
          <w:tab w:val="clear" w:pos="567"/>
        </w:tabs>
        <w:rPr>
          <w:color w:val="000000"/>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620ABA" w:rsidRPr="000E7AE9" w14:paraId="1A94B7FB" w14:textId="77777777" w:rsidTr="00C81D6E">
        <w:trPr>
          <w:cantSplit/>
        </w:trPr>
        <w:tc>
          <w:tcPr>
            <w:tcW w:w="4643" w:type="dxa"/>
            <w:tcBorders>
              <w:left w:val="nil"/>
              <w:bottom w:val="single" w:sz="4" w:space="0" w:color="auto"/>
              <w:right w:val="nil"/>
            </w:tcBorders>
          </w:tcPr>
          <w:p w14:paraId="783DB2EB" w14:textId="77777777" w:rsidR="00620ABA" w:rsidRPr="000E7AE9" w:rsidRDefault="00620ABA" w:rsidP="00463647">
            <w:pPr>
              <w:pStyle w:val="EndnoteText"/>
              <w:keepNext/>
              <w:keepLines/>
              <w:widowControl w:val="0"/>
              <w:tabs>
                <w:tab w:val="clear" w:pos="567"/>
              </w:tabs>
              <w:rPr>
                <w:color w:val="000000"/>
                <w:szCs w:val="22"/>
                <w:lang w:val="sv-SE"/>
              </w:rPr>
            </w:pPr>
          </w:p>
          <w:p w14:paraId="7205CFD0" w14:textId="77777777" w:rsidR="00620ABA" w:rsidRPr="000E7AE9" w:rsidRDefault="00620ABA" w:rsidP="00463647">
            <w:pPr>
              <w:pStyle w:val="EndnoteText"/>
              <w:keepNext/>
              <w:keepLines/>
              <w:widowControl w:val="0"/>
              <w:tabs>
                <w:tab w:val="clear" w:pos="567"/>
              </w:tabs>
              <w:rPr>
                <w:color w:val="000000"/>
                <w:szCs w:val="22"/>
                <w:lang w:val="sv-SE"/>
              </w:rPr>
            </w:pPr>
          </w:p>
          <w:p w14:paraId="640254DF" w14:textId="77777777" w:rsidR="00620ABA" w:rsidRPr="000E7AE9" w:rsidRDefault="00620ABA" w:rsidP="00463647">
            <w:pPr>
              <w:pStyle w:val="EndnoteText"/>
              <w:keepNext/>
              <w:keepLines/>
              <w:widowControl w:val="0"/>
              <w:tabs>
                <w:tab w:val="clear" w:pos="567"/>
              </w:tabs>
              <w:rPr>
                <w:color w:val="000000"/>
                <w:szCs w:val="22"/>
                <w:lang w:val="sv-SE"/>
              </w:rPr>
            </w:pPr>
          </w:p>
          <w:p w14:paraId="487EE805"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Bästa svar</w:t>
            </w:r>
          </w:p>
        </w:tc>
        <w:tc>
          <w:tcPr>
            <w:tcW w:w="4643" w:type="dxa"/>
            <w:tcBorders>
              <w:left w:val="nil"/>
              <w:bottom w:val="single" w:sz="4" w:space="0" w:color="auto"/>
              <w:right w:val="nil"/>
            </w:tcBorders>
          </w:tcPr>
          <w:p w14:paraId="4797EF11"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Alla doser (n=147)</w:t>
            </w:r>
          </w:p>
          <w:p w14:paraId="2ABB448E"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400 mg (n=73)</w:t>
            </w:r>
          </w:p>
          <w:p w14:paraId="6D41CC35"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600 mg (n=74)</w:t>
            </w:r>
          </w:p>
          <w:p w14:paraId="1043F82E"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n (%)</w:t>
            </w:r>
          </w:p>
        </w:tc>
      </w:tr>
      <w:tr w:rsidR="00620ABA" w:rsidRPr="000E7AE9" w14:paraId="534AC1A0" w14:textId="77777777" w:rsidTr="00C81D6E">
        <w:trPr>
          <w:cantSplit/>
        </w:trPr>
        <w:tc>
          <w:tcPr>
            <w:tcW w:w="4643" w:type="dxa"/>
            <w:tcBorders>
              <w:top w:val="nil"/>
              <w:left w:val="nil"/>
              <w:bottom w:val="nil"/>
              <w:right w:val="nil"/>
            </w:tcBorders>
          </w:tcPr>
          <w:p w14:paraId="5662E5A9"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Fullständigt svar</w:t>
            </w:r>
          </w:p>
        </w:tc>
        <w:tc>
          <w:tcPr>
            <w:tcW w:w="4643" w:type="dxa"/>
            <w:tcBorders>
              <w:top w:val="nil"/>
              <w:left w:val="nil"/>
              <w:bottom w:val="nil"/>
              <w:right w:val="nil"/>
            </w:tcBorders>
          </w:tcPr>
          <w:p w14:paraId="2B115731"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1 (0,7)</w:t>
            </w:r>
          </w:p>
        </w:tc>
      </w:tr>
      <w:tr w:rsidR="00620ABA" w:rsidRPr="000E7AE9" w14:paraId="5CDD4D25" w14:textId="77777777" w:rsidTr="00C81D6E">
        <w:trPr>
          <w:cantSplit/>
        </w:trPr>
        <w:tc>
          <w:tcPr>
            <w:tcW w:w="4643" w:type="dxa"/>
            <w:tcBorders>
              <w:top w:val="nil"/>
              <w:left w:val="nil"/>
              <w:bottom w:val="nil"/>
              <w:right w:val="nil"/>
            </w:tcBorders>
          </w:tcPr>
          <w:p w14:paraId="75F2F442"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Partiellt svar</w:t>
            </w:r>
          </w:p>
        </w:tc>
        <w:tc>
          <w:tcPr>
            <w:tcW w:w="4643" w:type="dxa"/>
            <w:tcBorders>
              <w:top w:val="nil"/>
              <w:left w:val="nil"/>
              <w:bottom w:val="nil"/>
              <w:right w:val="nil"/>
            </w:tcBorders>
          </w:tcPr>
          <w:p w14:paraId="04917FB7"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98 (66,7)</w:t>
            </w:r>
          </w:p>
        </w:tc>
      </w:tr>
      <w:tr w:rsidR="00620ABA" w:rsidRPr="000E7AE9" w14:paraId="6F488DF5" w14:textId="77777777" w:rsidTr="00C81D6E">
        <w:trPr>
          <w:cantSplit/>
        </w:trPr>
        <w:tc>
          <w:tcPr>
            <w:tcW w:w="4643" w:type="dxa"/>
            <w:tcBorders>
              <w:top w:val="nil"/>
              <w:left w:val="nil"/>
              <w:bottom w:val="nil"/>
              <w:right w:val="nil"/>
            </w:tcBorders>
          </w:tcPr>
          <w:p w14:paraId="30E57117"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Stabil sjukdom</w:t>
            </w:r>
          </w:p>
        </w:tc>
        <w:tc>
          <w:tcPr>
            <w:tcW w:w="4643" w:type="dxa"/>
            <w:tcBorders>
              <w:top w:val="nil"/>
              <w:left w:val="nil"/>
              <w:bottom w:val="nil"/>
              <w:right w:val="nil"/>
            </w:tcBorders>
          </w:tcPr>
          <w:p w14:paraId="6D30415D"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23 (15,6)</w:t>
            </w:r>
          </w:p>
        </w:tc>
      </w:tr>
      <w:tr w:rsidR="00620ABA" w:rsidRPr="000E7AE9" w14:paraId="6C27970C" w14:textId="77777777" w:rsidTr="00C81D6E">
        <w:trPr>
          <w:cantSplit/>
        </w:trPr>
        <w:tc>
          <w:tcPr>
            <w:tcW w:w="4643" w:type="dxa"/>
            <w:tcBorders>
              <w:top w:val="nil"/>
              <w:left w:val="nil"/>
              <w:bottom w:val="nil"/>
              <w:right w:val="nil"/>
            </w:tcBorders>
          </w:tcPr>
          <w:p w14:paraId="4D7AF5E6"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Progressiv sjukdom</w:t>
            </w:r>
          </w:p>
        </w:tc>
        <w:tc>
          <w:tcPr>
            <w:tcW w:w="4643" w:type="dxa"/>
            <w:tcBorders>
              <w:top w:val="nil"/>
              <w:left w:val="nil"/>
              <w:bottom w:val="nil"/>
              <w:right w:val="nil"/>
            </w:tcBorders>
          </w:tcPr>
          <w:p w14:paraId="0138692D"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18 (12,2)</w:t>
            </w:r>
          </w:p>
        </w:tc>
      </w:tr>
      <w:tr w:rsidR="00620ABA" w:rsidRPr="000E7AE9" w14:paraId="20538249" w14:textId="77777777" w:rsidTr="00C81D6E">
        <w:trPr>
          <w:cantSplit/>
        </w:trPr>
        <w:tc>
          <w:tcPr>
            <w:tcW w:w="4643" w:type="dxa"/>
            <w:tcBorders>
              <w:top w:val="nil"/>
              <w:left w:val="nil"/>
              <w:bottom w:val="nil"/>
              <w:right w:val="nil"/>
            </w:tcBorders>
          </w:tcPr>
          <w:p w14:paraId="45DA8DF0"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Inte mätbart</w:t>
            </w:r>
          </w:p>
        </w:tc>
        <w:tc>
          <w:tcPr>
            <w:tcW w:w="4643" w:type="dxa"/>
            <w:tcBorders>
              <w:top w:val="nil"/>
              <w:left w:val="nil"/>
              <w:bottom w:val="nil"/>
              <w:right w:val="nil"/>
            </w:tcBorders>
          </w:tcPr>
          <w:p w14:paraId="6C8408D3"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5 (3,4)</w:t>
            </w:r>
          </w:p>
        </w:tc>
      </w:tr>
      <w:tr w:rsidR="00620ABA" w:rsidRPr="000E7AE9" w14:paraId="3708AD4A" w14:textId="77777777" w:rsidTr="00C81D6E">
        <w:trPr>
          <w:cantSplit/>
        </w:trPr>
        <w:tc>
          <w:tcPr>
            <w:tcW w:w="4643" w:type="dxa"/>
            <w:tcBorders>
              <w:top w:val="nil"/>
              <w:left w:val="nil"/>
              <w:right w:val="nil"/>
            </w:tcBorders>
          </w:tcPr>
          <w:p w14:paraId="3EB9F945" w14:textId="77777777" w:rsidR="00620ABA" w:rsidRPr="000E7AE9" w:rsidRDefault="00620ABA" w:rsidP="00463647">
            <w:pPr>
              <w:pStyle w:val="EndnoteText"/>
              <w:keepNext/>
              <w:keepLines/>
              <w:widowControl w:val="0"/>
              <w:tabs>
                <w:tab w:val="clear" w:pos="567"/>
              </w:tabs>
              <w:rPr>
                <w:color w:val="000000"/>
                <w:szCs w:val="22"/>
                <w:lang w:val="sv-SE"/>
              </w:rPr>
            </w:pPr>
            <w:r w:rsidRPr="000E7AE9">
              <w:rPr>
                <w:color w:val="000000"/>
                <w:szCs w:val="22"/>
                <w:lang w:val="sv-SE"/>
              </w:rPr>
              <w:t>Okänt</w:t>
            </w:r>
          </w:p>
        </w:tc>
        <w:tc>
          <w:tcPr>
            <w:tcW w:w="4643" w:type="dxa"/>
            <w:tcBorders>
              <w:top w:val="nil"/>
              <w:left w:val="nil"/>
              <w:right w:val="nil"/>
            </w:tcBorders>
          </w:tcPr>
          <w:p w14:paraId="7F9CA23B" w14:textId="77777777" w:rsidR="00620ABA" w:rsidRPr="000E7AE9" w:rsidRDefault="00620ABA" w:rsidP="00463647">
            <w:pPr>
              <w:pStyle w:val="EndnoteText"/>
              <w:keepNext/>
              <w:keepLines/>
              <w:widowControl w:val="0"/>
              <w:tabs>
                <w:tab w:val="clear" w:pos="567"/>
              </w:tabs>
              <w:jc w:val="center"/>
              <w:rPr>
                <w:color w:val="000000"/>
                <w:szCs w:val="22"/>
                <w:lang w:val="sv-SE"/>
              </w:rPr>
            </w:pPr>
            <w:r w:rsidRPr="000E7AE9">
              <w:rPr>
                <w:color w:val="000000"/>
                <w:szCs w:val="22"/>
                <w:lang w:val="sv-SE"/>
              </w:rPr>
              <w:t>2 (1,4)</w:t>
            </w:r>
          </w:p>
        </w:tc>
      </w:tr>
    </w:tbl>
    <w:p w14:paraId="62ECD376" w14:textId="77777777" w:rsidR="00620ABA" w:rsidRPr="000E7AE9" w:rsidRDefault="00620ABA" w:rsidP="00463647">
      <w:pPr>
        <w:pStyle w:val="EndnoteText"/>
        <w:widowControl w:val="0"/>
        <w:tabs>
          <w:tab w:val="clear" w:pos="567"/>
        </w:tabs>
        <w:rPr>
          <w:color w:val="000000"/>
          <w:szCs w:val="22"/>
          <w:lang w:val="sv-SE"/>
        </w:rPr>
      </w:pPr>
    </w:p>
    <w:p w14:paraId="32793F11"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Det var ingen skillnad i svarsfrekvens mellan de båda dosgrupperna. Ett betydande antal patienter som hade en stabil sjukdom vid tiden för interimsanalysen uppnådde partiellt svar vid längre behandling (medianuppföljning 31 månader). Mediantiden till svar var 13 veckor (95</w:t>
      </w:r>
      <w:r w:rsidR="00EE4765">
        <w:rPr>
          <w:color w:val="000000"/>
          <w:szCs w:val="22"/>
          <w:lang w:val="sv-SE"/>
        </w:rPr>
        <w:t> </w:t>
      </w:r>
      <w:r w:rsidRPr="000E7AE9">
        <w:rPr>
          <w:color w:val="000000"/>
          <w:szCs w:val="22"/>
          <w:lang w:val="sv-SE"/>
        </w:rPr>
        <w:t xml:space="preserve">% </w:t>
      </w:r>
      <w:r w:rsidR="00ED34FC">
        <w:rPr>
          <w:color w:val="000000"/>
          <w:szCs w:val="22"/>
          <w:lang w:val="sv-SE"/>
        </w:rPr>
        <w:t>KI</w:t>
      </w:r>
      <w:r w:rsidRPr="000E7AE9">
        <w:rPr>
          <w:color w:val="000000"/>
          <w:szCs w:val="22"/>
          <w:lang w:val="sv-SE"/>
        </w:rPr>
        <w:t xml:space="preserve"> 12–23). Mediantiden till behandlingssvikt hos de som svarat var 122 veckor (95</w:t>
      </w:r>
      <w:r w:rsidR="00EE4765">
        <w:rPr>
          <w:color w:val="000000"/>
          <w:szCs w:val="22"/>
          <w:lang w:val="sv-SE"/>
        </w:rPr>
        <w:t> </w:t>
      </w:r>
      <w:r w:rsidRPr="000E7AE9">
        <w:rPr>
          <w:color w:val="000000"/>
          <w:szCs w:val="22"/>
          <w:lang w:val="sv-SE"/>
        </w:rPr>
        <w:t xml:space="preserve">% </w:t>
      </w:r>
      <w:r w:rsidR="00ED34FC">
        <w:rPr>
          <w:color w:val="000000"/>
          <w:szCs w:val="22"/>
          <w:lang w:val="sv-SE"/>
        </w:rPr>
        <w:t>KI</w:t>
      </w:r>
      <w:r w:rsidRPr="000E7AE9">
        <w:rPr>
          <w:color w:val="000000"/>
          <w:szCs w:val="22"/>
          <w:lang w:val="sv-SE"/>
        </w:rPr>
        <w:t xml:space="preserve"> 106–147), medan den för patientpopulationen i stort var 84 veckor (95</w:t>
      </w:r>
      <w:r w:rsidR="00EE4765">
        <w:rPr>
          <w:color w:val="000000"/>
          <w:szCs w:val="22"/>
          <w:lang w:val="sv-SE"/>
        </w:rPr>
        <w:t> </w:t>
      </w:r>
      <w:r w:rsidRPr="000E7AE9">
        <w:rPr>
          <w:color w:val="000000"/>
          <w:szCs w:val="22"/>
          <w:lang w:val="sv-SE"/>
        </w:rPr>
        <w:t xml:space="preserve">% </w:t>
      </w:r>
      <w:r w:rsidR="00ED34FC">
        <w:rPr>
          <w:color w:val="000000"/>
          <w:szCs w:val="22"/>
          <w:lang w:val="sv-SE"/>
        </w:rPr>
        <w:t>KI</w:t>
      </w:r>
      <w:r w:rsidRPr="000E7AE9">
        <w:rPr>
          <w:color w:val="000000"/>
          <w:szCs w:val="22"/>
          <w:lang w:val="sv-SE"/>
        </w:rPr>
        <w:t xml:space="preserve"> 71–109). Medianöverlevnaden har inte nåtts. Uppskattad överlevnad efter 36 månaders uppföljning enligt Kaplan-Meier är 68</w:t>
      </w:r>
      <w:r w:rsidR="00EE4765">
        <w:rPr>
          <w:color w:val="000000"/>
          <w:szCs w:val="22"/>
          <w:lang w:val="sv-SE"/>
        </w:rPr>
        <w:t> </w:t>
      </w:r>
      <w:r w:rsidRPr="000E7AE9">
        <w:rPr>
          <w:color w:val="000000"/>
          <w:szCs w:val="22"/>
          <w:lang w:val="sv-SE"/>
        </w:rPr>
        <w:t>%.</w:t>
      </w:r>
    </w:p>
    <w:p w14:paraId="707549E9" w14:textId="77777777" w:rsidR="00620ABA" w:rsidRPr="000E7AE9" w:rsidRDefault="00620ABA" w:rsidP="00463647">
      <w:pPr>
        <w:pStyle w:val="EndnoteText"/>
        <w:widowControl w:val="0"/>
        <w:tabs>
          <w:tab w:val="clear" w:pos="567"/>
        </w:tabs>
        <w:rPr>
          <w:color w:val="000000"/>
          <w:szCs w:val="22"/>
          <w:lang w:val="sv-SE"/>
        </w:rPr>
      </w:pPr>
    </w:p>
    <w:p w14:paraId="5EA16E92"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I två kliniska prövningar (studie B2222 och intergruppstudien S0033) ökades den dagliga dosen av Glivec till 800 mg hos patienter som sviktade på de lägre dagliga doserna på 400 mg eller 600 mg. Den dagliga dosen ökades till 800 mg hos totalt 103 patienter; 6 patienter uppnådde partiellt svar och 21 stabiliserad sjukdom efter dosökning till en generell klinisk nytta på 26</w:t>
      </w:r>
      <w:r w:rsidR="00EE4765">
        <w:rPr>
          <w:color w:val="000000"/>
          <w:szCs w:val="22"/>
          <w:lang w:val="sv-SE"/>
        </w:rPr>
        <w:t> </w:t>
      </w:r>
      <w:r w:rsidRPr="000E7AE9">
        <w:rPr>
          <w:color w:val="000000"/>
          <w:szCs w:val="22"/>
          <w:lang w:val="sv-SE"/>
        </w:rPr>
        <w:t>%. Från de säkerhetsdata som finns tillgängliga verkade inte en ökad dos till 800 mg dagligen hos patienter som sviktade på lägre doser på 400 mg eller 600 mg dagligen påverka säkerhetsprofilen för Glivec.</w:t>
      </w:r>
    </w:p>
    <w:p w14:paraId="721BCBD9" w14:textId="77777777" w:rsidR="00D17AB6" w:rsidRPr="000E7AE9" w:rsidRDefault="00D17AB6" w:rsidP="00463647">
      <w:pPr>
        <w:pStyle w:val="EndnoteText"/>
        <w:widowControl w:val="0"/>
        <w:tabs>
          <w:tab w:val="clear" w:pos="567"/>
        </w:tabs>
        <w:rPr>
          <w:color w:val="000000"/>
          <w:szCs w:val="22"/>
          <w:lang w:val="sv-SE"/>
        </w:rPr>
      </w:pPr>
    </w:p>
    <w:p w14:paraId="2F684ADB" w14:textId="77777777" w:rsidR="00D17AB6" w:rsidRDefault="00D17AB6" w:rsidP="00463647">
      <w:pPr>
        <w:pStyle w:val="Nottoc-headings"/>
        <w:keepLines w:val="0"/>
        <w:widowControl w:val="0"/>
        <w:spacing w:before="0" w:after="0"/>
        <w:rPr>
          <w:rFonts w:ascii="Times New Roman" w:eastAsia="MS Mincho" w:hAnsi="Times New Roman"/>
          <w:b w:val="0"/>
          <w:color w:val="000000"/>
          <w:sz w:val="22"/>
          <w:szCs w:val="22"/>
          <w:u w:val="single"/>
          <w:lang w:val="sv-SE" w:eastAsia="ja-JP"/>
        </w:rPr>
      </w:pPr>
      <w:r>
        <w:rPr>
          <w:rFonts w:ascii="Times New Roman" w:eastAsia="MS Mincho" w:hAnsi="Times New Roman"/>
          <w:b w:val="0"/>
          <w:color w:val="000000"/>
          <w:sz w:val="22"/>
          <w:szCs w:val="22"/>
          <w:u w:val="single"/>
          <w:lang w:val="sv-SE" w:eastAsia="ja-JP"/>
        </w:rPr>
        <w:t>Klinisk</w:t>
      </w:r>
      <w:r w:rsidR="004A66F5">
        <w:rPr>
          <w:rFonts w:ascii="Times New Roman" w:eastAsia="MS Mincho" w:hAnsi="Times New Roman"/>
          <w:b w:val="0"/>
          <w:color w:val="000000"/>
          <w:sz w:val="22"/>
          <w:szCs w:val="22"/>
          <w:u w:val="single"/>
          <w:lang w:val="sv-SE" w:eastAsia="ja-JP"/>
        </w:rPr>
        <w:t>a</w:t>
      </w:r>
      <w:r>
        <w:rPr>
          <w:rFonts w:ascii="Times New Roman" w:eastAsia="MS Mincho" w:hAnsi="Times New Roman"/>
          <w:b w:val="0"/>
          <w:color w:val="000000"/>
          <w:sz w:val="22"/>
          <w:szCs w:val="22"/>
          <w:u w:val="single"/>
          <w:lang w:val="sv-SE" w:eastAsia="ja-JP"/>
        </w:rPr>
        <w:t xml:space="preserve"> studie</w:t>
      </w:r>
      <w:r w:rsidR="004A66F5">
        <w:rPr>
          <w:rFonts w:ascii="Times New Roman" w:eastAsia="MS Mincho" w:hAnsi="Times New Roman"/>
          <w:b w:val="0"/>
          <w:color w:val="000000"/>
          <w:sz w:val="22"/>
          <w:szCs w:val="22"/>
          <w:u w:val="single"/>
          <w:lang w:val="sv-SE" w:eastAsia="ja-JP"/>
        </w:rPr>
        <w:t>r</w:t>
      </w:r>
      <w:r>
        <w:rPr>
          <w:rFonts w:ascii="Times New Roman" w:eastAsia="MS Mincho" w:hAnsi="Times New Roman"/>
          <w:b w:val="0"/>
          <w:color w:val="000000"/>
          <w:sz w:val="22"/>
          <w:szCs w:val="22"/>
          <w:u w:val="single"/>
          <w:lang w:val="sv-SE" w:eastAsia="ja-JP"/>
        </w:rPr>
        <w:t xml:space="preserve"> vid adjuvant GIST</w:t>
      </w:r>
    </w:p>
    <w:p w14:paraId="4F0C7352" w14:textId="77777777" w:rsidR="00D17AB6" w:rsidRDefault="00D17AB6" w:rsidP="00463647">
      <w:pPr>
        <w:pStyle w:val="EndnoteText"/>
        <w:widowControl w:val="0"/>
        <w:tabs>
          <w:tab w:val="clear" w:pos="567"/>
        </w:tabs>
        <w:rPr>
          <w:rFonts w:eastAsia="MS Mincho"/>
          <w:lang w:val="sv-SE" w:eastAsia="ja-JP"/>
        </w:rPr>
      </w:pPr>
      <w:r>
        <w:rPr>
          <w:rFonts w:eastAsia="MS Mincho"/>
          <w:lang w:val="sv-SE" w:eastAsia="ja-JP"/>
        </w:rPr>
        <w:t xml:space="preserve">Glivec studerades </w:t>
      </w:r>
      <w:r w:rsidR="00747A59">
        <w:rPr>
          <w:rFonts w:eastAsia="MS Mincho"/>
          <w:lang w:val="sv-SE" w:eastAsia="ja-JP"/>
        </w:rPr>
        <w:t xml:space="preserve">som </w:t>
      </w:r>
      <w:r>
        <w:rPr>
          <w:rFonts w:eastAsia="MS Mincho"/>
          <w:lang w:val="sv-SE" w:eastAsia="ja-JP"/>
        </w:rPr>
        <w:t xml:space="preserve">adjuvant </w:t>
      </w:r>
      <w:r w:rsidR="00747A59">
        <w:rPr>
          <w:rFonts w:eastAsia="MS Mincho"/>
          <w:lang w:val="sv-SE" w:eastAsia="ja-JP"/>
        </w:rPr>
        <w:t xml:space="preserve">terapi </w:t>
      </w:r>
      <w:r>
        <w:rPr>
          <w:rFonts w:eastAsia="MS Mincho"/>
          <w:lang w:val="sv-SE" w:eastAsia="ja-JP"/>
        </w:rPr>
        <w:t>i en multicenter, dubbelblind, långtids, placebokontrollerad fas III studie (Z9001) omfattande 773</w:t>
      </w:r>
      <w:r w:rsidRPr="000E7AE9">
        <w:rPr>
          <w:color w:val="000000"/>
          <w:szCs w:val="22"/>
          <w:lang w:val="sv-SE"/>
        </w:rPr>
        <w:t> </w:t>
      </w:r>
      <w:r>
        <w:rPr>
          <w:rFonts w:eastAsia="MS Mincho"/>
          <w:lang w:val="sv-SE" w:eastAsia="ja-JP"/>
        </w:rPr>
        <w:t>patienter. Åldrarna hos dessa patienter sträckte sig från 18 till 91</w:t>
      </w:r>
      <w:r w:rsidRPr="000E7AE9">
        <w:rPr>
          <w:color w:val="000000"/>
          <w:szCs w:val="22"/>
          <w:lang w:val="sv-SE"/>
        </w:rPr>
        <w:t> </w:t>
      </w:r>
      <w:r>
        <w:rPr>
          <w:rFonts w:eastAsia="MS Mincho"/>
          <w:lang w:val="sv-SE" w:eastAsia="ja-JP"/>
        </w:rPr>
        <w:t xml:space="preserve">år. Patienter som hade en histologisk diagnos </w:t>
      </w:r>
      <w:r w:rsidR="0002391F">
        <w:rPr>
          <w:rFonts w:eastAsia="MS Mincho"/>
          <w:lang w:val="sv-SE" w:eastAsia="ja-JP"/>
        </w:rPr>
        <w:t>av</w:t>
      </w:r>
      <w:r>
        <w:rPr>
          <w:rFonts w:eastAsia="MS Mincho"/>
          <w:lang w:val="sv-SE" w:eastAsia="ja-JP"/>
        </w:rPr>
        <w:t xml:space="preserve"> primär GIST uttryckande Kit protein vid immunokemi och en tumörstorlek ≥</w:t>
      </w:r>
      <w:r w:rsidRPr="000E7AE9">
        <w:rPr>
          <w:color w:val="000000"/>
          <w:szCs w:val="22"/>
          <w:lang w:val="sv-SE"/>
        </w:rPr>
        <w:t> </w:t>
      </w:r>
      <w:r>
        <w:rPr>
          <w:rFonts w:eastAsia="MS Mincho"/>
          <w:lang w:val="sv-SE" w:eastAsia="ja-JP"/>
        </w:rPr>
        <w:t>3</w:t>
      </w:r>
      <w:r w:rsidRPr="000E7AE9">
        <w:rPr>
          <w:color w:val="000000"/>
          <w:szCs w:val="22"/>
          <w:lang w:val="sv-SE"/>
        </w:rPr>
        <w:t> </w:t>
      </w:r>
      <w:r>
        <w:rPr>
          <w:rFonts w:eastAsia="MS Mincho"/>
          <w:lang w:val="sv-SE" w:eastAsia="ja-JP"/>
        </w:rPr>
        <w:t>cm i maximal dimension, med radikal resektion av primär GIST inom 14</w:t>
      </w:r>
      <w:r>
        <w:rPr>
          <w:rFonts w:eastAsia="MS Mincho"/>
          <w:lang w:val="sv-SE" w:eastAsia="ja-JP"/>
        </w:rPr>
        <w:noBreakHyphen/>
        <w:t>70</w:t>
      </w:r>
      <w:bookmarkStart w:id="3" w:name="OLE_LINK2"/>
      <w:r w:rsidRPr="000E7AE9">
        <w:rPr>
          <w:color w:val="000000"/>
          <w:szCs w:val="22"/>
          <w:lang w:val="sv-SE"/>
        </w:rPr>
        <w:t> </w:t>
      </w:r>
      <w:bookmarkEnd w:id="3"/>
      <w:r>
        <w:rPr>
          <w:rFonts w:eastAsia="MS Mincho"/>
          <w:lang w:val="sv-SE" w:eastAsia="ja-JP"/>
        </w:rPr>
        <w:t>dagar före registrering</w:t>
      </w:r>
      <w:r w:rsidRPr="00C817BA">
        <w:rPr>
          <w:rFonts w:eastAsia="MS Mincho"/>
          <w:lang w:val="sv-SE" w:eastAsia="ja-JP"/>
        </w:rPr>
        <w:t xml:space="preserve"> </w:t>
      </w:r>
      <w:r>
        <w:rPr>
          <w:rFonts w:eastAsia="MS Mincho"/>
          <w:lang w:val="sv-SE" w:eastAsia="ja-JP"/>
        </w:rPr>
        <w:t>inkluderades. Efter resektion av primär GIST, randomiserades patienter till en av de två armarna: Glivec 400</w:t>
      </w:r>
      <w:r w:rsidRPr="000E7AE9">
        <w:rPr>
          <w:color w:val="000000"/>
          <w:szCs w:val="22"/>
          <w:lang w:val="sv-SE"/>
        </w:rPr>
        <w:t> </w:t>
      </w:r>
      <w:r>
        <w:rPr>
          <w:rFonts w:eastAsia="MS Mincho"/>
          <w:lang w:val="sv-SE" w:eastAsia="ja-JP"/>
        </w:rPr>
        <w:t>mg/dag eller motsvarande placebo under ett år.</w:t>
      </w:r>
    </w:p>
    <w:p w14:paraId="2BB100BC" w14:textId="77777777" w:rsidR="00D17AB6" w:rsidRDefault="00D17AB6" w:rsidP="00463647">
      <w:pPr>
        <w:pStyle w:val="EndnoteText"/>
        <w:widowControl w:val="0"/>
        <w:tabs>
          <w:tab w:val="clear" w:pos="567"/>
        </w:tabs>
        <w:rPr>
          <w:rFonts w:eastAsia="MS Mincho"/>
          <w:lang w:val="sv-SE" w:eastAsia="ja-JP"/>
        </w:rPr>
      </w:pPr>
    </w:p>
    <w:p w14:paraId="4075EE02" w14:textId="77777777" w:rsidR="00D17AB6" w:rsidRDefault="00D17AB6" w:rsidP="00463647">
      <w:pPr>
        <w:pStyle w:val="EndnoteText"/>
        <w:widowControl w:val="0"/>
        <w:tabs>
          <w:tab w:val="clear" w:pos="567"/>
        </w:tabs>
        <w:rPr>
          <w:rFonts w:eastAsia="MS Mincho"/>
          <w:lang w:val="sv-SE" w:eastAsia="ja-JP"/>
        </w:rPr>
      </w:pPr>
      <w:r w:rsidRPr="001D2B9C">
        <w:rPr>
          <w:rFonts w:eastAsia="MS Mincho"/>
          <w:lang w:val="sv-SE" w:eastAsia="ja-JP"/>
        </w:rPr>
        <w:t xml:space="preserve">Studiens primära endpoint var återfallsfri överlevnad </w:t>
      </w:r>
      <w:r w:rsidRPr="00C817BA">
        <w:rPr>
          <w:rFonts w:eastAsia="MS Mincho"/>
          <w:lang w:val="sv-SE" w:eastAsia="ja-JP"/>
        </w:rPr>
        <w:t>(RFS),</w:t>
      </w:r>
      <w:r w:rsidRPr="001D2B9C">
        <w:rPr>
          <w:rFonts w:eastAsia="MS Mincho"/>
          <w:lang w:val="sv-SE" w:eastAsia="ja-JP"/>
        </w:rPr>
        <w:t xml:space="preserve"> definierad som tiden från randomiseringsdagen till da</w:t>
      </w:r>
      <w:r>
        <w:rPr>
          <w:rFonts w:eastAsia="MS Mincho"/>
          <w:lang w:val="sv-SE" w:eastAsia="ja-JP"/>
        </w:rPr>
        <w:t>gen</w:t>
      </w:r>
      <w:r w:rsidRPr="001D2B9C">
        <w:rPr>
          <w:rFonts w:eastAsia="MS Mincho"/>
          <w:lang w:val="sv-SE" w:eastAsia="ja-JP"/>
        </w:rPr>
        <w:t xml:space="preserve"> för återfall eller </w:t>
      </w:r>
      <w:r w:rsidRPr="00C817BA">
        <w:rPr>
          <w:rFonts w:eastAsia="MS Mincho"/>
          <w:lang w:val="sv-SE" w:eastAsia="ja-JP"/>
        </w:rPr>
        <w:t xml:space="preserve">död </w:t>
      </w:r>
      <w:r>
        <w:rPr>
          <w:rFonts w:eastAsia="MS Mincho"/>
          <w:lang w:val="sv-SE" w:eastAsia="ja-JP"/>
        </w:rPr>
        <w:t>oavsett</w:t>
      </w:r>
      <w:r w:rsidRPr="00C817BA">
        <w:rPr>
          <w:rFonts w:eastAsia="MS Mincho"/>
          <w:lang w:val="sv-SE" w:eastAsia="ja-JP"/>
        </w:rPr>
        <w:t xml:space="preserve"> orsak.</w:t>
      </w:r>
    </w:p>
    <w:p w14:paraId="0738A809" w14:textId="77777777" w:rsidR="00D17AB6" w:rsidRDefault="00D17AB6" w:rsidP="00463647">
      <w:pPr>
        <w:pStyle w:val="EndnoteText"/>
        <w:widowControl w:val="0"/>
        <w:tabs>
          <w:tab w:val="clear" w:pos="567"/>
        </w:tabs>
        <w:rPr>
          <w:rFonts w:eastAsia="MS Mincho"/>
          <w:lang w:val="sv-SE" w:eastAsia="ja-JP"/>
        </w:rPr>
      </w:pPr>
    </w:p>
    <w:p w14:paraId="23930490" w14:textId="77777777" w:rsidR="00D17AB6" w:rsidRDefault="00D17AB6" w:rsidP="00463647">
      <w:pPr>
        <w:pStyle w:val="EndnoteText"/>
        <w:widowControl w:val="0"/>
        <w:tabs>
          <w:tab w:val="clear" w:pos="567"/>
        </w:tabs>
        <w:rPr>
          <w:rFonts w:eastAsia="MS Mincho"/>
          <w:lang w:val="sv-SE" w:eastAsia="ja-JP"/>
        </w:rPr>
      </w:pPr>
      <w:r>
        <w:rPr>
          <w:rFonts w:eastAsia="MS Mincho"/>
          <w:lang w:val="sv-SE" w:eastAsia="ja-JP"/>
        </w:rPr>
        <w:t>Glivec förlängde signifikant RFS, med 75</w:t>
      </w:r>
      <w:r w:rsidR="00EE4765">
        <w:rPr>
          <w:rFonts w:eastAsia="MS Mincho"/>
          <w:lang w:val="sv-SE" w:eastAsia="ja-JP"/>
        </w:rPr>
        <w:t> </w:t>
      </w:r>
      <w:r>
        <w:rPr>
          <w:rFonts w:eastAsia="MS Mincho"/>
          <w:lang w:val="sv-SE" w:eastAsia="ja-JP"/>
        </w:rPr>
        <w:t>% av patienterna återfallsfria vid 38</w:t>
      </w:r>
      <w:r w:rsidRPr="000E7AE9">
        <w:rPr>
          <w:color w:val="000000"/>
          <w:szCs w:val="22"/>
          <w:lang w:val="sv-SE"/>
        </w:rPr>
        <w:t> </w:t>
      </w:r>
      <w:r>
        <w:rPr>
          <w:rFonts w:eastAsia="MS Mincho"/>
          <w:lang w:val="sv-SE" w:eastAsia="ja-JP"/>
        </w:rPr>
        <w:t xml:space="preserve">månader i Glivec-gruppen </w:t>
      </w:r>
      <w:r w:rsidR="00747A59">
        <w:rPr>
          <w:rFonts w:eastAsia="MS Mincho"/>
          <w:lang w:val="sv-SE" w:eastAsia="ja-JP"/>
        </w:rPr>
        <w:t>gentemot</w:t>
      </w:r>
      <w:r w:rsidR="0076794D">
        <w:rPr>
          <w:rFonts w:eastAsia="MS Mincho"/>
          <w:lang w:val="sv-SE" w:eastAsia="ja-JP"/>
        </w:rPr>
        <w:t xml:space="preserve"> </w:t>
      </w:r>
      <w:r>
        <w:rPr>
          <w:rFonts w:eastAsia="MS Mincho"/>
          <w:lang w:val="sv-SE" w:eastAsia="ja-JP"/>
        </w:rPr>
        <w:t>20</w:t>
      </w:r>
      <w:r w:rsidRPr="000E7AE9">
        <w:rPr>
          <w:color w:val="000000"/>
          <w:szCs w:val="22"/>
          <w:lang w:val="sv-SE"/>
        </w:rPr>
        <w:t> </w:t>
      </w:r>
      <w:r>
        <w:rPr>
          <w:rFonts w:eastAsia="MS Mincho"/>
          <w:lang w:val="sv-SE" w:eastAsia="ja-JP"/>
        </w:rPr>
        <w:t>månader i placebogruppen (95</w:t>
      </w:r>
      <w:r w:rsidR="00EE4765">
        <w:rPr>
          <w:rFonts w:eastAsia="MS Mincho"/>
          <w:lang w:val="sv-SE" w:eastAsia="ja-JP"/>
        </w:rPr>
        <w:t> </w:t>
      </w:r>
      <w:r>
        <w:rPr>
          <w:rFonts w:eastAsia="MS Mincho"/>
          <w:lang w:val="sv-SE" w:eastAsia="ja-JP"/>
        </w:rPr>
        <w:t xml:space="preserve">% </w:t>
      </w:r>
      <w:r w:rsidR="007A04BC">
        <w:rPr>
          <w:rFonts w:eastAsia="MS Mincho"/>
          <w:lang w:val="sv-SE" w:eastAsia="ja-JP"/>
        </w:rPr>
        <w:t>KI</w:t>
      </w:r>
      <w:r>
        <w:rPr>
          <w:rFonts w:eastAsia="MS Mincho"/>
          <w:lang w:val="sv-SE" w:eastAsia="ja-JP"/>
        </w:rPr>
        <w:t xml:space="preserve">, [30 - icke uppskattningsbart]; </w:t>
      </w:r>
      <w:r w:rsidR="00747A59">
        <w:rPr>
          <w:rFonts w:eastAsia="MS Mincho"/>
          <w:lang w:val="sv-SE" w:eastAsia="ja-JP"/>
        </w:rPr>
        <w:t>respe</w:t>
      </w:r>
      <w:r w:rsidR="00CA075F">
        <w:rPr>
          <w:rFonts w:eastAsia="MS Mincho"/>
          <w:lang w:val="sv-SE" w:eastAsia="ja-JP"/>
        </w:rPr>
        <w:t>c</w:t>
      </w:r>
      <w:r w:rsidR="00747A59">
        <w:rPr>
          <w:rFonts w:eastAsia="MS Mincho"/>
          <w:lang w:val="sv-SE" w:eastAsia="ja-JP"/>
        </w:rPr>
        <w:t xml:space="preserve">tive </w:t>
      </w:r>
      <w:r>
        <w:rPr>
          <w:rFonts w:eastAsia="MS Mincho"/>
          <w:lang w:val="sv-SE" w:eastAsia="ja-JP"/>
        </w:rPr>
        <w:t>[14 - icke uppskattningsbart]; (hazard ratio = 0,398 [0,259</w:t>
      </w:r>
      <w:r>
        <w:rPr>
          <w:rFonts w:eastAsia="MS Mincho"/>
          <w:lang w:val="sv-SE" w:eastAsia="ja-JP"/>
        </w:rPr>
        <w:noBreakHyphen/>
        <w:t>0,610], p&lt;0,0001). Vid ett år var total RFS signifikant bättre för Glivec (97,7</w:t>
      </w:r>
      <w:r w:rsidR="00EE4765">
        <w:rPr>
          <w:rFonts w:eastAsia="MS Mincho"/>
          <w:lang w:val="sv-SE" w:eastAsia="ja-JP"/>
        </w:rPr>
        <w:t> </w:t>
      </w:r>
      <w:r>
        <w:rPr>
          <w:rFonts w:eastAsia="MS Mincho"/>
          <w:lang w:val="sv-SE" w:eastAsia="ja-JP"/>
        </w:rPr>
        <w:t>%) gentemot placebo (82,3</w:t>
      </w:r>
      <w:r w:rsidR="00EE4765">
        <w:rPr>
          <w:rFonts w:eastAsia="MS Mincho"/>
          <w:lang w:val="sv-SE" w:eastAsia="ja-JP"/>
        </w:rPr>
        <w:t> </w:t>
      </w:r>
      <w:r>
        <w:rPr>
          <w:rFonts w:eastAsia="MS Mincho"/>
          <w:lang w:val="sv-SE" w:eastAsia="ja-JP"/>
        </w:rPr>
        <w:t>%), (p&lt;0,0001). Risken för återfall reducerades alltså med cirka 89</w:t>
      </w:r>
      <w:r w:rsidR="00EE4765">
        <w:rPr>
          <w:rFonts w:eastAsia="MS Mincho"/>
          <w:lang w:val="sv-SE" w:eastAsia="ja-JP"/>
        </w:rPr>
        <w:t> </w:t>
      </w:r>
      <w:r>
        <w:rPr>
          <w:rFonts w:eastAsia="MS Mincho"/>
          <w:lang w:val="sv-SE" w:eastAsia="ja-JP"/>
        </w:rPr>
        <w:t>% jämfört med placebo (hazard ratio = 0,113 [0,049</w:t>
      </w:r>
      <w:r>
        <w:rPr>
          <w:rFonts w:eastAsia="MS Mincho"/>
          <w:lang w:val="sv-SE" w:eastAsia="ja-JP"/>
        </w:rPr>
        <w:noBreakHyphen/>
        <w:t>0,264].</w:t>
      </w:r>
    </w:p>
    <w:p w14:paraId="5A22D0FE" w14:textId="77777777" w:rsidR="00D17AB6" w:rsidRDefault="00D17AB6" w:rsidP="00463647">
      <w:pPr>
        <w:pStyle w:val="EndnoteText"/>
        <w:widowControl w:val="0"/>
        <w:tabs>
          <w:tab w:val="clear" w:pos="567"/>
        </w:tabs>
        <w:rPr>
          <w:rFonts w:eastAsia="MS Mincho"/>
          <w:lang w:val="sv-SE" w:eastAsia="ja-JP"/>
        </w:rPr>
      </w:pPr>
    </w:p>
    <w:p w14:paraId="04B88176" w14:textId="77777777" w:rsidR="00D17AB6" w:rsidRPr="008C2DDF" w:rsidRDefault="00D17AB6" w:rsidP="00463647">
      <w:pPr>
        <w:pStyle w:val="EndnoteText"/>
        <w:widowControl w:val="0"/>
        <w:tabs>
          <w:tab w:val="clear" w:pos="567"/>
        </w:tabs>
        <w:rPr>
          <w:rFonts w:eastAsia="MS Mincho"/>
          <w:lang w:val="sv-SE" w:eastAsia="ja-JP"/>
        </w:rPr>
      </w:pPr>
      <w:r w:rsidRPr="008C2DDF">
        <w:rPr>
          <w:rFonts w:eastAsia="MS Mincho"/>
          <w:lang w:val="sv-SE" w:eastAsia="ja-JP"/>
        </w:rPr>
        <w:t>Risken för återfall hos patienter efter kirurgi av deras primära GIST bedömdes retrospektivt baserat på följande prognostiska faktorer: tumörstorlek, mitotiskt inde</w:t>
      </w:r>
      <w:r w:rsidR="00534FA4">
        <w:rPr>
          <w:rFonts w:eastAsia="MS Mincho"/>
          <w:lang w:val="sv-SE" w:eastAsia="ja-JP"/>
        </w:rPr>
        <w:t>x</w:t>
      </w:r>
      <w:r w:rsidRPr="008C2DDF">
        <w:rPr>
          <w:rFonts w:eastAsia="MS Mincho"/>
          <w:lang w:val="sv-SE" w:eastAsia="ja-JP"/>
        </w:rPr>
        <w:t xml:space="preserve">, tumörens plats. Data för mitotiskt index var tillgängliga för 556 av de </w:t>
      </w:r>
      <w:r w:rsidR="000000F2" w:rsidRPr="008C2DDF">
        <w:rPr>
          <w:rFonts w:eastAsia="MS Mincho"/>
          <w:lang w:val="sv-SE" w:eastAsia="ja-JP"/>
        </w:rPr>
        <w:t>7</w:t>
      </w:r>
      <w:r w:rsidR="000000F2">
        <w:rPr>
          <w:rFonts w:eastAsia="MS Mincho"/>
          <w:lang w:val="sv-SE" w:eastAsia="ja-JP"/>
        </w:rPr>
        <w:t>1</w:t>
      </w:r>
      <w:r w:rsidR="000000F2" w:rsidRPr="008C2DDF">
        <w:rPr>
          <w:rFonts w:eastAsia="MS Mincho"/>
          <w:lang w:val="sv-SE" w:eastAsia="ja-JP"/>
        </w:rPr>
        <w:t>3</w:t>
      </w:r>
      <w:r w:rsidRPr="008C2DDF">
        <w:rPr>
          <w:color w:val="000000"/>
          <w:szCs w:val="22"/>
          <w:lang w:val="sv-SE"/>
        </w:rPr>
        <w:t xml:space="preserve"> i </w:t>
      </w:r>
      <w:r w:rsidRPr="008C2DDF">
        <w:rPr>
          <w:rFonts w:eastAsia="MS Mincho"/>
          <w:lang w:val="sv-SE" w:eastAsia="ja-JP"/>
        </w:rPr>
        <w:t xml:space="preserve">intention-to-treat (ITT)-poulationen. Resultaten av subgruppsanalyser i enlighet med </w:t>
      </w:r>
      <w:r w:rsidR="00534FA4">
        <w:rPr>
          <w:rFonts w:eastAsia="MS Mincho"/>
          <w:lang w:val="sv-SE" w:eastAsia="ja-JP"/>
        </w:rPr>
        <w:t xml:space="preserve">riskklassificeringar enligt </w:t>
      </w:r>
      <w:r w:rsidR="00504EB5">
        <w:rPr>
          <w:rFonts w:eastAsia="MS Mincho"/>
          <w:lang w:val="sv-SE" w:eastAsia="ja-JP"/>
        </w:rPr>
        <w:t xml:space="preserve">United States National Institutes of Health (NIH) och </w:t>
      </w:r>
      <w:r w:rsidRPr="008C2DDF">
        <w:rPr>
          <w:rFonts w:eastAsia="MS Mincho"/>
          <w:lang w:val="sv-SE" w:eastAsia="ja-JP"/>
        </w:rPr>
        <w:t>Armed Forces Institute of Pathology (AFIP)- visas i Tabell</w:t>
      </w:r>
      <w:r w:rsidRPr="008C2DDF">
        <w:rPr>
          <w:color w:val="000000"/>
          <w:szCs w:val="22"/>
          <w:lang w:val="sv-SE"/>
        </w:rPr>
        <w:t> </w:t>
      </w:r>
      <w:r w:rsidR="007F2DDD">
        <w:rPr>
          <w:rFonts w:eastAsia="MS Mincho"/>
          <w:lang w:val="sv-SE" w:eastAsia="ja-JP"/>
        </w:rPr>
        <w:t>7</w:t>
      </w:r>
      <w:r w:rsidRPr="008C2DDF">
        <w:rPr>
          <w:rFonts w:eastAsia="MS Mincho"/>
          <w:lang w:val="sv-SE" w:eastAsia="ja-JP"/>
        </w:rPr>
        <w:t>.</w:t>
      </w:r>
      <w:r w:rsidR="00504EB5">
        <w:rPr>
          <w:rFonts w:eastAsia="MS Mincho"/>
          <w:lang w:val="sv-SE" w:eastAsia="ja-JP"/>
        </w:rPr>
        <w:t xml:space="preserve"> Ingen fördel observerades i låg- och mycket lågrisk-grupperna. Ingen fördel beträffande total överlevnad har observerats.</w:t>
      </w:r>
    </w:p>
    <w:p w14:paraId="354B2F89" w14:textId="77777777" w:rsidR="00D17AB6" w:rsidRPr="008C2DDF" w:rsidRDefault="00D17AB6" w:rsidP="00463647">
      <w:pPr>
        <w:pStyle w:val="EndnoteText"/>
        <w:widowControl w:val="0"/>
        <w:tabs>
          <w:tab w:val="clear" w:pos="567"/>
        </w:tabs>
        <w:rPr>
          <w:rFonts w:eastAsia="MS Mincho"/>
          <w:lang w:val="sv-SE" w:eastAsia="ja-JP"/>
        </w:rPr>
      </w:pPr>
    </w:p>
    <w:p w14:paraId="206B5FEE" w14:textId="679B62DD" w:rsidR="00FC0D3F" w:rsidRPr="00126508" w:rsidRDefault="00FC0D3F" w:rsidP="00463647">
      <w:pPr>
        <w:pStyle w:val="Heading6"/>
        <w:keepLines/>
        <w:widowControl w:val="0"/>
        <w:tabs>
          <w:tab w:val="clear" w:pos="567"/>
          <w:tab w:val="clear" w:pos="4536"/>
          <w:tab w:val="left" w:pos="1134"/>
        </w:tabs>
        <w:spacing w:line="240" w:lineRule="auto"/>
        <w:rPr>
          <w:rFonts w:eastAsia="MS Mincho"/>
          <w:b/>
          <w:i w:val="0"/>
          <w:color w:val="000000"/>
          <w:szCs w:val="22"/>
          <w:lang w:val="sv-SE" w:eastAsia="ja-JP"/>
        </w:rPr>
      </w:pPr>
      <w:r w:rsidRPr="00126508">
        <w:rPr>
          <w:rFonts w:eastAsia="MS Mincho"/>
          <w:b/>
          <w:i w:val="0"/>
          <w:color w:val="000000"/>
          <w:szCs w:val="22"/>
          <w:lang w:val="sv-SE" w:eastAsia="ja-JP"/>
        </w:rPr>
        <w:lastRenderedPageBreak/>
        <w:t>Tabell </w:t>
      </w:r>
      <w:r w:rsidR="007F2DDD">
        <w:rPr>
          <w:rFonts w:eastAsia="MS Mincho"/>
          <w:b/>
          <w:i w:val="0"/>
          <w:color w:val="000000"/>
          <w:szCs w:val="22"/>
          <w:lang w:val="sv-SE" w:eastAsia="ja-JP"/>
        </w:rPr>
        <w:t>7</w:t>
      </w:r>
      <w:r w:rsidRPr="00126508">
        <w:rPr>
          <w:rFonts w:eastAsia="MS Mincho"/>
          <w:b/>
          <w:i w:val="0"/>
          <w:color w:val="000000"/>
          <w:szCs w:val="22"/>
          <w:lang w:val="sv-SE" w:eastAsia="ja-JP"/>
        </w:rPr>
        <w:tab/>
      </w:r>
      <w:r w:rsidR="00126508" w:rsidRPr="00126508">
        <w:rPr>
          <w:rFonts w:eastAsia="MS Mincho"/>
          <w:b/>
          <w:i w:val="0"/>
          <w:color w:val="000000"/>
          <w:szCs w:val="22"/>
          <w:lang w:val="sv-SE" w:eastAsia="ja-JP"/>
        </w:rPr>
        <w:t>Översikt av Z9001-studiens</w:t>
      </w:r>
      <w:r w:rsidRPr="00126508">
        <w:rPr>
          <w:rFonts w:eastAsia="MS Mincho"/>
          <w:b/>
          <w:i w:val="0"/>
          <w:color w:val="000000"/>
          <w:szCs w:val="22"/>
          <w:lang w:val="sv-SE" w:eastAsia="ja-JP"/>
        </w:rPr>
        <w:t xml:space="preserve"> RFS analyse</w:t>
      </w:r>
      <w:r w:rsidR="00126508" w:rsidRPr="00126508">
        <w:rPr>
          <w:rFonts w:eastAsia="MS Mincho"/>
          <w:b/>
          <w:i w:val="0"/>
          <w:color w:val="000000"/>
          <w:szCs w:val="22"/>
          <w:lang w:val="sv-SE" w:eastAsia="ja-JP"/>
        </w:rPr>
        <w:t>r</w:t>
      </w:r>
      <w:r w:rsidRPr="00126508">
        <w:rPr>
          <w:rFonts w:eastAsia="MS Mincho"/>
          <w:b/>
          <w:i w:val="0"/>
          <w:color w:val="000000"/>
          <w:szCs w:val="22"/>
          <w:lang w:val="sv-SE" w:eastAsia="ja-JP"/>
        </w:rPr>
        <w:t xml:space="preserve"> </w:t>
      </w:r>
      <w:r w:rsidR="00051DD9">
        <w:rPr>
          <w:rFonts w:eastAsia="MS Mincho"/>
          <w:b/>
          <w:i w:val="0"/>
          <w:color w:val="000000"/>
          <w:szCs w:val="22"/>
          <w:lang w:val="sv-SE" w:eastAsia="ja-JP"/>
        </w:rPr>
        <w:t>enligt</w:t>
      </w:r>
      <w:r w:rsidRPr="00126508">
        <w:rPr>
          <w:rFonts w:eastAsia="MS Mincho"/>
          <w:b/>
          <w:i w:val="0"/>
          <w:color w:val="000000"/>
          <w:szCs w:val="22"/>
          <w:lang w:val="sv-SE" w:eastAsia="ja-JP"/>
        </w:rPr>
        <w:t xml:space="preserve"> NIH </w:t>
      </w:r>
      <w:r w:rsidR="00126508" w:rsidRPr="00126508">
        <w:rPr>
          <w:rFonts w:eastAsia="MS Mincho"/>
          <w:b/>
          <w:i w:val="0"/>
          <w:color w:val="000000"/>
          <w:szCs w:val="22"/>
          <w:lang w:val="sv-SE" w:eastAsia="ja-JP"/>
        </w:rPr>
        <w:t>och</w:t>
      </w:r>
      <w:r w:rsidRPr="00126508">
        <w:rPr>
          <w:rFonts w:eastAsia="MS Mincho"/>
          <w:b/>
          <w:i w:val="0"/>
          <w:color w:val="000000"/>
          <w:szCs w:val="22"/>
          <w:lang w:val="sv-SE" w:eastAsia="ja-JP"/>
        </w:rPr>
        <w:t xml:space="preserve"> AFIP risk</w:t>
      </w:r>
      <w:r w:rsidR="00126508">
        <w:rPr>
          <w:rFonts w:eastAsia="MS Mincho"/>
          <w:b/>
          <w:i w:val="0"/>
          <w:color w:val="000000"/>
          <w:szCs w:val="22"/>
          <w:lang w:val="sv-SE" w:eastAsia="ja-JP"/>
        </w:rPr>
        <w:t>k</w:t>
      </w:r>
      <w:r w:rsidRPr="00126508">
        <w:rPr>
          <w:rFonts w:eastAsia="MS Mincho"/>
          <w:b/>
          <w:i w:val="0"/>
          <w:color w:val="000000"/>
          <w:szCs w:val="22"/>
          <w:lang w:val="sv-SE" w:eastAsia="ja-JP"/>
        </w:rPr>
        <w:t>lassific</w:t>
      </w:r>
      <w:r w:rsidR="00126508">
        <w:rPr>
          <w:rFonts w:eastAsia="MS Mincho"/>
          <w:b/>
          <w:i w:val="0"/>
          <w:color w:val="000000"/>
          <w:szCs w:val="22"/>
          <w:lang w:val="sv-SE" w:eastAsia="ja-JP"/>
        </w:rPr>
        <w:t>ering</w:t>
      </w:r>
    </w:p>
    <w:p w14:paraId="524BFA09" w14:textId="77777777" w:rsidR="0043610C" w:rsidRPr="00126508" w:rsidRDefault="0043610C" w:rsidP="00463647">
      <w:pPr>
        <w:keepNext/>
        <w:keepLines/>
        <w:widowControl w:val="0"/>
        <w:spacing w:line="240" w:lineRule="auto"/>
        <w:rPr>
          <w:rFonts w:eastAsia="MS Mincho"/>
          <w:lang w:val="sv-SE"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2"/>
        <w:gridCol w:w="1302"/>
        <w:gridCol w:w="1078"/>
        <w:gridCol w:w="2008"/>
        <w:gridCol w:w="1800"/>
        <w:gridCol w:w="1440"/>
        <w:gridCol w:w="1360"/>
      </w:tblGrid>
      <w:tr w:rsidR="0043610C" w:rsidRPr="00126508" w14:paraId="5A8E71A2" w14:textId="77777777" w:rsidTr="00C81D6E">
        <w:trPr>
          <w:cantSplit/>
        </w:trPr>
        <w:tc>
          <w:tcPr>
            <w:tcW w:w="1032" w:type="dxa"/>
            <w:vMerge w:val="restart"/>
          </w:tcPr>
          <w:p w14:paraId="47C41D89" w14:textId="77777777" w:rsidR="0043610C" w:rsidRPr="00C67B16" w:rsidRDefault="0043610C"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Risk-kriterier</w:t>
            </w:r>
          </w:p>
        </w:tc>
        <w:tc>
          <w:tcPr>
            <w:tcW w:w="1302" w:type="dxa"/>
            <w:vMerge w:val="restart"/>
            <w:tcBorders>
              <w:right w:val="single" w:sz="4" w:space="0" w:color="auto"/>
            </w:tcBorders>
          </w:tcPr>
          <w:p w14:paraId="49ADEAAF" w14:textId="77777777" w:rsidR="0043610C" w:rsidRPr="00C67B16" w:rsidRDefault="0043610C" w:rsidP="00463647">
            <w:pPr>
              <w:pStyle w:val="Table"/>
              <w:widowControl w:val="0"/>
              <w:spacing w:before="0" w:after="0"/>
              <w:rPr>
                <w:rFonts w:ascii="Times New Roman" w:hAnsi="Times New Roman"/>
                <w:b/>
                <w:sz w:val="22"/>
                <w:szCs w:val="22"/>
              </w:rPr>
            </w:pPr>
            <w:r w:rsidRPr="00C67B16">
              <w:rPr>
                <w:rFonts w:ascii="Times New Roman" w:hAnsi="Times New Roman"/>
                <w:b/>
                <w:sz w:val="22"/>
                <w:szCs w:val="22"/>
              </w:rPr>
              <w:t>Risknivå</w:t>
            </w:r>
          </w:p>
          <w:p w14:paraId="30111437" w14:textId="77777777" w:rsidR="0043610C" w:rsidRPr="00C67B16" w:rsidRDefault="0043610C" w:rsidP="00463647">
            <w:pPr>
              <w:pStyle w:val="Table"/>
              <w:widowControl w:val="0"/>
              <w:spacing w:before="0" w:after="0"/>
              <w:rPr>
                <w:rFonts w:ascii="Times New Roman" w:hAnsi="Times New Roman"/>
                <w:b/>
                <w:sz w:val="22"/>
                <w:szCs w:val="22"/>
              </w:rPr>
            </w:pPr>
          </w:p>
        </w:tc>
        <w:tc>
          <w:tcPr>
            <w:tcW w:w="1078" w:type="dxa"/>
            <w:vMerge w:val="restart"/>
            <w:tcBorders>
              <w:left w:val="single" w:sz="4" w:space="0" w:color="auto"/>
              <w:right w:val="single" w:sz="4" w:space="0" w:color="auto"/>
            </w:tcBorders>
          </w:tcPr>
          <w:p w14:paraId="1A415740" w14:textId="77777777" w:rsidR="0043610C" w:rsidRPr="00C67B16" w:rsidRDefault="0043610C"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 av patienter</w:t>
            </w:r>
          </w:p>
        </w:tc>
        <w:tc>
          <w:tcPr>
            <w:tcW w:w="2008" w:type="dxa"/>
            <w:vMerge w:val="restart"/>
            <w:tcBorders>
              <w:left w:val="single" w:sz="4" w:space="0" w:color="auto"/>
              <w:right w:val="single" w:sz="4" w:space="0" w:color="auto"/>
            </w:tcBorders>
          </w:tcPr>
          <w:p w14:paraId="57BD00D9" w14:textId="77777777" w:rsidR="0043610C" w:rsidRPr="00C67B16" w:rsidRDefault="0043610C" w:rsidP="00463647">
            <w:pPr>
              <w:pStyle w:val="Table"/>
              <w:widowControl w:val="0"/>
              <w:spacing w:before="0" w:after="0"/>
              <w:jc w:val="center"/>
              <w:rPr>
                <w:rFonts w:ascii="Times New Roman" w:hAnsi="Times New Roman"/>
                <w:b/>
                <w:sz w:val="22"/>
                <w:szCs w:val="22"/>
                <w:lang w:val="sv-SE"/>
              </w:rPr>
            </w:pPr>
            <w:r w:rsidRPr="00C67B16">
              <w:rPr>
                <w:rFonts w:ascii="Times New Roman" w:hAnsi="Times New Roman"/>
                <w:b/>
                <w:sz w:val="22"/>
                <w:szCs w:val="22"/>
                <w:lang w:val="sv-SE"/>
              </w:rPr>
              <w:t>Antal händelser/</w:t>
            </w:r>
            <w:r w:rsidRPr="00C67B16">
              <w:rPr>
                <w:rFonts w:ascii="Times New Roman" w:hAnsi="Times New Roman"/>
                <w:b/>
                <w:sz w:val="22"/>
                <w:szCs w:val="22"/>
                <w:lang w:val="sv-SE"/>
              </w:rPr>
              <w:br/>
              <w:t>Antal patienter</w:t>
            </w:r>
          </w:p>
        </w:tc>
        <w:tc>
          <w:tcPr>
            <w:tcW w:w="1800" w:type="dxa"/>
            <w:vMerge w:val="restart"/>
            <w:tcBorders>
              <w:left w:val="single" w:sz="4" w:space="0" w:color="auto"/>
              <w:right w:val="single" w:sz="4" w:space="0" w:color="auto"/>
            </w:tcBorders>
          </w:tcPr>
          <w:p w14:paraId="08D6736E" w14:textId="77777777" w:rsidR="0043610C" w:rsidRPr="00C67B16" w:rsidRDefault="00051DD9"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Total</w:t>
            </w:r>
            <w:r w:rsidR="0043610C" w:rsidRPr="00C67B16">
              <w:rPr>
                <w:rFonts w:ascii="Times New Roman" w:hAnsi="Times New Roman"/>
                <w:b/>
                <w:sz w:val="22"/>
                <w:szCs w:val="22"/>
              </w:rPr>
              <w:t xml:space="preserve"> hazard ratio (95</w:t>
            </w:r>
            <w:r w:rsidR="00A60D3A">
              <w:rPr>
                <w:rFonts w:ascii="Times New Roman" w:hAnsi="Times New Roman"/>
                <w:b/>
                <w:sz w:val="22"/>
                <w:szCs w:val="22"/>
              </w:rPr>
              <w:t> </w:t>
            </w:r>
            <w:r w:rsidR="0043610C" w:rsidRPr="00C67B16">
              <w:rPr>
                <w:rFonts w:ascii="Times New Roman" w:hAnsi="Times New Roman"/>
                <w:b/>
                <w:sz w:val="22"/>
                <w:szCs w:val="22"/>
              </w:rPr>
              <w:t>%</w:t>
            </w:r>
            <w:r w:rsidR="007A04BC">
              <w:rPr>
                <w:rFonts w:ascii="Times New Roman" w:hAnsi="Times New Roman"/>
                <w:b/>
                <w:sz w:val="22"/>
                <w:szCs w:val="22"/>
              </w:rPr>
              <w:t>K</w:t>
            </w:r>
            <w:r w:rsidR="007A04BC" w:rsidRPr="00C67B16">
              <w:rPr>
                <w:rFonts w:ascii="Times New Roman" w:hAnsi="Times New Roman"/>
                <w:b/>
                <w:sz w:val="22"/>
                <w:szCs w:val="22"/>
              </w:rPr>
              <w:t>I</w:t>
            </w:r>
            <w:r w:rsidR="0043610C" w:rsidRPr="00C67B16">
              <w:rPr>
                <w:rFonts w:ascii="Times New Roman" w:hAnsi="Times New Roman"/>
                <w:b/>
                <w:sz w:val="22"/>
                <w:szCs w:val="22"/>
              </w:rPr>
              <w:t>)*</w:t>
            </w:r>
          </w:p>
        </w:tc>
        <w:tc>
          <w:tcPr>
            <w:tcW w:w="2800" w:type="dxa"/>
            <w:gridSpan w:val="2"/>
            <w:tcBorders>
              <w:left w:val="single" w:sz="4" w:space="0" w:color="auto"/>
            </w:tcBorders>
          </w:tcPr>
          <w:p w14:paraId="2616FA56" w14:textId="77777777" w:rsidR="0043610C" w:rsidRPr="00C67B16" w:rsidRDefault="0043610C"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RFS-tal (%)</w:t>
            </w:r>
          </w:p>
        </w:tc>
      </w:tr>
      <w:tr w:rsidR="0043610C" w:rsidRPr="00126508" w14:paraId="0D1CB22A" w14:textId="77777777" w:rsidTr="00C81D6E">
        <w:trPr>
          <w:cantSplit/>
        </w:trPr>
        <w:tc>
          <w:tcPr>
            <w:tcW w:w="1032" w:type="dxa"/>
            <w:vMerge/>
          </w:tcPr>
          <w:p w14:paraId="25AA3D21" w14:textId="77777777" w:rsidR="0043610C" w:rsidRPr="00C67B16" w:rsidRDefault="0043610C" w:rsidP="00463647">
            <w:pPr>
              <w:pStyle w:val="Table"/>
              <w:widowControl w:val="0"/>
              <w:spacing w:before="0" w:after="0"/>
              <w:rPr>
                <w:rFonts w:ascii="Times New Roman" w:hAnsi="Times New Roman"/>
                <w:b/>
                <w:sz w:val="22"/>
                <w:szCs w:val="22"/>
              </w:rPr>
            </w:pPr>
          </w:p>
        </w:tc>
        <w:tc>
          <w:tcPr>
            <w:tcW w:w="1302" w:type="dxa"/>
            <w:vMerge/>
            <w:tcBorders>
              <w:right w:val="single" w:sz="4" w:space="0" w:color="auto"/>
            </w:tcBorders>
          </w:tcPr>
          <w:p w14:paraId="0EF7D656" w14:textId="77777777" w:rsidR="0043610C" w:rsidRPr="00C67B16" w:rsidRDefault="0043610C" w:rsidP="00463647">
            <w:pPr>
              <w:pStyle w:val="Table"/>
              <w:widowControl w:val="0"/>
              <w:spacing w:before="0" w:after="0"/>
              <w:rPr>
                <w:rFonts w:ascii="Times New Roman" w:hAnsi="Times New Roman"/>
                <w:b/>
                <w:sz w:val="22"/>
                <w:szCs w:val="22"/>
              </w:rPr>
            </w:pPr>
          </w:p>
        </w:tc>
        <w:tc>
          <w:tcPr>
            <w:tcW w:w="1078" w:type="dxa"/>
            <w:vMerge/>
            <w:tcBorders>
              <w:left w:val="single" w:sz="4" w:space="0" w:color="auto"/>
              <w:right w:val="single" w:sz="4" w:space="0" w:color="auto"/>
            </w:tcBorders>
          </w:tcPr>
          <w:p w14:paraId="54E64F52" w14:textId="77777777" w:rsidR="0043610C" w:rsidRPr="00C67B16" w:rsidRDefault="0043610C" w:rsidP="00463647">
            <w:pPr>
              <w:pStyle w:val="Table"/>
              <w:widowControl w:val="0"/>
              <w:spacing w:before="0" w:after="0"/>
              <w:jc w:val="center"/>
              <w:rPr>
                <w:rFonts w:ascii="Times New Roman" w:hAnsi="Times New Roman"/>
                <w:b/>
                <w:sz w:val="22"/>
                <w:szCs w:val="22"/>
              </w:rPr>
            </w:pPr>
          </w:p>
        </w:tc>
        <w:tc>
          <w:tcPr>
            <w:tcW w:w="2008" w:type="dxa"/>
            <w:vMerge/>
            <w:tcBorders>
              <w:left w:val="single" w:sz="4" w:space="0" w:color="auto"/>
              <w:right w:val="single" w:sz="4" w:space="0" w:color="auto"/>
            </w:tcBorders>
          </w:tcPr>
          <w:p w14:paraId="227DF1D4" w14:textId="77777777" w:rsidR="0043610C" w:rsidRPr="00C67B16" w:rsidRDefault="0043610C" w:rsidP="00463647">
            <w:pPr>
              <w:pStyle w:val="Table"/>
              <w:widowControl w:val="0"/>
              <w:spacing w:before="0" w:after="0"/>
              <w:jc w:val="center"/>
              <w:rPr>
                <w:rFonts w:ascii="Times New Roman" w:hAnsi="Times New Roman"/>
                <w:b/>
                <w:sz w:val="22"/>
                <w:szCs w:val="22"/>
              </w:rPr>
            </w:pPr>
          </w:p>
        </w:tc>
        <w:tc>
          <w:tcPr>
            <w:tcW w:w="1800" w:type="dxa"/>
            <w:vMerge/>
            <w:tcBorders>
              <w:left w:val="single" w:sz="4" w:space="0" w:color="auto"/>
              <w:right w:val="single" w:sz="4" w:space="0" w:color="auto"/>
            </w:tcBorders>
          </w:tcPr>
          <w:p w14:paraId="54B32137" w14:textId="77777777" w:rsidR="0043610C" w:rsidRPr="00C67B16" w:rsidRDefault="0043610C" w:rsidP="00463647">
            <w:pPr>
              <w:pStyle w:val="Table"/>
              <w:widowControl w:val="0"/>
              <w:spacing w:before="0" w:after="0"/>
              <w:rPr>
                <w:rFonts w:ascii="Times New Roman" w:hAnsi="Times New Roman"/>
                <w:b/>
                <w:sz w:val="22"/>
                <w:szCs w:val="22"/>
              </w:rPr>
            </w:pPr>
          </w:p>
        </w:tc>
        <w:tc>
          <w:tcPr>
            <w:tcW w:w="1440" w:type="dxa"/>
            <w:tcBorders>
              <w:left w:val="single" w:sz="4" w:space="0" w:color="auto"/>
              <w:right w:val="single" w:sz="4" w:space="0" w:color="auto"/>
            </w:tcBorders>
          </w:tcPr>
          <w:p w14:paraId="770E1497" w14:textId="77777777" w:rsidR="0043610C" w:rsidRPr="00C67B16" w:rsidRDefault="0043610C"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12 månader</w:t>
            </w:r>
          </w:p>
        </w:tc>
        <w:tc>
          <w:tcPr>
            <w:tcW w:w="1360" w:type="dxa"/>
            <w:tcBorders>
              <w:left w:val="single" w:sz="4" w:space="0" w:color="auto"/>
            </w:tcBorders>
          </w:tcPr>
          <w:p w14:paraId="7238EE59" w14:textId="77777777" w:rsidR="0043610C" w:rsidRPr="00C67B16" w:rsidRDefault="0043610C"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24 månader</w:t>
            </w:r>
          </w:p>
        </w:tc>
      </w:tr>
      <w:tr w:rsidR="0043610C" w:rsidRPr="00126508" w14:paraId="65F8FC6E" w14:textId="77777777" w:rsidTr="00C81D6E">
        <w:trPr>
          <w:cantSplit/>
        </w:trPr>
        <w:tc>
          <w:tcPr>
            <w:tcW w:w="1032" w:type="dxa"/>
            <w:vMerge/>
          </w:tcPr>
          <w:p w14:paraId="20EBA30B" w14:textId="77777777" w:rsidR="0043610C" w:rsidRPr="00C67B16" w:rsidRDefault="0043610C" w:rsidP="00463647">
            <w:pPr>
              <w:pStyle w:val="Table"/>
              <w:widowControl w:val="0"/>
              <w:spacing w:before="0" w:after="0"/>
              <w:rPr>
                <w:rFonts w:ascii="Times New Roman" w:hAnsi="Times New Roman"/>
                <w:b/>
                <w:sz w:val="22"/>
                <w:szCs w:val="22"/>
              </w:rPr>
            </w:pPr>
          </w:p>
        </w:tc>
        <w:tc>
          <w:tcPr>
            <w:tcW w:w="1302" w:type="dxa"/>
            <w:vMerge/>
            <w:tcBorders>
              <w:right w:val="single" w:sz="4" w:space="0" w:color="auto"/>
            </w:tcBorders>
          </w:tcPr>
          <w:p w14:paraId="0ADA8FCD" w14:textId="77777777" w:rsidR="0043610C" w:rsidRPr="00C67B16" w:rsidRDefault="0043610C" w:rsidP="00463647">
            <w:pPr>
              <w:pStyle w:val="Table"/>
              <w:widowControl w:val="0"/>
              <w:spacing w:before="0" w:after="0"/>
              <w:rPr>
                <w:rFonts w:ascii="Times New Roman" w:hAnsi="Times New Roman"/>
                <w:b/>
                <w:sz w:val="22"/>
                <w:szCs w:val="22"/>
              </w:rPr>
            </w:pPr>
          </w:p>
        </w:tc>
        <w:tc>
          <w:tcPr>
            <w:tcW w:w="1078" w:type="dxa"/>
            <w:vMerge/>
            <w:tcBorders>
              <w:left w:val="single" w:sz="4" w:space="0" w:color="auto"/>
              <w:right w:val="single" w:sz="4" w:space="0" w:color="auto"/>
            </w:tcBorders>
          </w:tcPr>
          <w:p w14:paraId="7DCB64CA" w14:textId="77777777" w:rsidR="0043610C" w:rsidRPr="00C67B16" w:rsidRDefault="0043610C" w:rsidP="00463647">
            <w:pPr>
              <w:pStyle w:val="Table"/>
              <w:widowControl w:val="0"/>
              <w:spacing w:before="0" w:after="0"/>
              <w:jc w:val="center"/>
              <w:rPr>
                <w:rFonts w:ascii="Times New Roman" w:hAnsi="Times New Roman"/>
                <w:b/>
                <w:sz w:val="22"/>
                <w:szCs w:val="22"/>
              </w:rPr>
            </w:pPr>
          </w:p>
        </w:tc>
        <w:tc>
          <w:tcPr>
            <w:tcW w:w="2008" w:type="dxa"/>
            <w:tcBorders>
              <w:left w:val="single" w:sz="4" w:space="0" w:color="auto"/>
              <w:bottom w:val="single" w:sz="4" w:space="0" w:color="auto"/>
              <w:right w:val="single" w:sz="4" w:space="0" w:color="auto"/>
            </w:tcBorders>
          </w:tcPr>
          <w:p w14:paraId="7EE697DC" w14:textId="77777777" w:rsidR="0043610C" w:rsidRPr="00C67B16" w:rsidRDefault="0043610C"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Glivec vs placebo</w:t>
            </w:r>
          </w:p>
        </w:tc>
        <w:tc>
          <w:tcPr>
            <w:tcW w:w="1800" w:type="dxa"/>
            <w:vMerge/>
            <w:tcBorders>
              <w:left w:val="single" w:sz="4" w:space="0" w:color="auto"/>
              <w:bottom w:val="single" w:sz="4" w:space="0" w:color="auto"/>
              <w:right w:val="single" w:sz="4" w:space="0" w:color="auto"/>
            </w:tcBorders>
          </w:tcPr>
          <w:p w14:paraId="6F5CC423" w14:textId="77777777" w:rsidR="0043610C" w:rsidRPr="00C67B16" w:rsidRDefault="0043610C" w:rsidP="00463647">
            <w:pPr>
              <w:pStyle w:val="Table"/>
              <w:widowControl w:val="0"/>
              <w:spacing w:before="0" w:after="0"/>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54DD5E3C" w14:textId="77777777" w:rsidR="0043610C" w:rsidRPr="00C67B16" w:rsidRDefault="0043610C"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Glivec vs placebo</w:t>
            </w:r>
          </w:p>
        </w:tc>
        <w:tc>
          <w:tcPr>
            <w:tcW w:w="1360" w:type="dxa"/>
            <w:tcBorders>
              <w:left w:val="single" w:sz="4" w:space="0" w:color="auto"/>
            </w:tcBorders>
          </w:tcPr>
          <w:p w14:paraId="4B7516D0" w14:textId="77777777" w:rsidR="0043610C" w:rsidRPr="00C67B16" w:rsidRDefault="0043610C"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Glivec vs placebo</w:t>
            </w:r>
          </w:p>
        </w:tc>
      </w:tr>
      <w:tr w:rsidR="0043610C" w:rsidRPr="00C67B16" w14:paraId="70DA2E08" w14:textId="77777777" w:rsidTr="00C81D6E">
        <w:trPr>
          <w:cantSplit/>
        </w:trPr>
        <w:tc>
          <w:tcPr>
            <w:tcW w:w="1032" w:type="dxa"/>
            <w:vMerge w:val="restart"/>
            <w:shd w:val="clear" w:color="auto" w:fill="auto"/>
          </w:tcPr>
          <w:p w14:paraId="1BF9041F" w14:textId="77777777" w:rsidR="0043610C" w:rsidRPr="00C67B16" w:rsidRDefault="0043610C" w:rsidP="00463647">
            <w:pPr>
              <w:pStyle w:val="Nottoc-headings"/>
              <w:widowControl w:val="0"/>
              <w:spacing w:before="0" w:after="0"/>
              <w:ind w:left="0" w:firstLine="0"/>
              <w:rPr>
                <w:rFonts w:ascii="Times New Roman" w:hAnsi="Times New Roman"/>
                <w:b w:val="0"/>
                <w:sz w:val="22"/>
                <w:szCs w:val="22"/>
              </w:rPr>
            </w:pPr>
            <w:r w:rsidRPr="00C67B16">
              <w:rPr>
                <w:rFonts w:ascii="Times New Roman" w:hAnsi="Times New Roman"/>
                <w:b w:val="0"/>
                <w:sz w:val="22"/>
                <w:szCs w:val="22"/>
              </w:rPr>
              <w:t>NIH</w:t>
            </w:r>
          </w:p>
          <w:p w14:paraId="3B1FCBEA" w14:textId="77777777" w:rsidR="0043610C" w:rsidRPr="00C67B16" w:rsidRDefault="0043610C" w:rsidP="00463647">
            <w:pPr>
              <w:pStyle w:val="TextChar"/>
              <w:keepNext/>
              <w:keepLines/>
              <w:widowControl w:val="0"/>
              <w:spacing w:before="0"/>
              <w:rPr>
                <w:sz w:val="22"/>
                <w:szCs w:val="22"/>
              </w:rPr>
            </w:pPr>
          </w:p>
        </w:tc>
        <w:tc>
          <w:tcPr>
            <w:tcW w:w="1302" w:type="dxa"/>
            <w:tcBorders>
              <w:bottom w:val="nil"/>
              <w:right w:val="single" w:sz="4" w:space="0" w:color="auto"/>
            </w:tcBorders>
            <w:vAlign w:val="bottom"/>
          </w:tcPr>
          <w:p w14:paraId="4DDEA1C1" w14:textId="77777777" w:rsidR="0043610C" w:rsidRPr="00C67B16" w:rsidRDefault="0043610C" w:rsidP="00463647">
            <w:pPr>
              <w:pStyle w:val="Nottoc-headings"/>
              <w:widowControl w:val="0"/>
              <w:spacing w:before="0" w:after="0"/>
              <w:ind w:left="57" w:hanging="57"/>
              <w:rPr>
                <w:rFonts w:ascii="Times New Roman" w:hAnsi="Times New Roman"/>
                <w:b w:val="0"/>
                <w:sz w:val="22"/>
                <w:szCs w:val="22"/>
              </w:rPr>
            </w:pPr>
            <w:r w:rsidRPr="00C67B16">
              <w:rPr>
                <w:rFonts w:ascii="Times New Roman" w:hAnsi="Times New Roman"/>
                <w:b w:val="0"/>
                <w:sz w:val="22"/>
                <w:szCs w:val="22"/>
              </w:rPr>
              <w:t>Låg</w:t>
            </w:r>
          </w:p>
        </w:tc>
        <w:tc>
          <w:tcPr>
            <w:tcW w:w="1078" w:type="dxa"/>
            <w:tcBorders>
              <w:left w:val="single" w:sz="4" w:space="0" w:color="auto"/>
              <w:bottom w:val="nil"/>
              <w:right w:val="single" w:sz="4" w:space="0" w:color="auto"/>
            </w:tcBorders>
            <w:vAlign w:val="bottom"/>
          </w:tcPr>
          <w:p w14:paraId="70F04978" w14:textId="77777777" w:rsidR="0043610C" w:rsidRPr="00C67B16" w:rsidRDefault="0043610C" w:rsidP="00463647">
            <w:pPr>
              <w:pStyle w:val="Nottoc-headings"/>
              <w:widowControl w:val="0"/>
              <w:spacing w:before="0" w:after="0"/>
              <w:ind w:left="57" w:hanging="57"/>
              <w:jc w:val="center"/>
              <w:rPr>
                <w:rFonts w:ascii="Times New Roman" w:hAnsi="Times New Roman"/>
                <w:b w:val="0"/>
                <w:sz w:val="22"/>
                <w:szCs w:val="22"/>
              </w:rPr>
            </w:pPr>
            <w:r w:rsidRPr="00C67B16">
              <w:rPr>
                <w:rFonts w:ascii="Times New Roman" w:hAnsi="Times New Roman"/>
                <w:b w:val="0"/>
                <w:sz w:val="22"/>
                <w:szCs w:val="22"/>
              </w:rPr>
              <w:t>29,5</w:t>
            </w:r>
          </w:p>
        </w:tc>
        <w:tc>
          <w:tcPr>
            <w:tcW w:w="2008" w:type="dxa"/>
            <w:tcBorders>
              <w:left w:val="single" w:sz="4" w:space="0" w:color="auto"/>
              <w:bottom w:val="nil"/>
              <w:right w:val="single" w:sz="4" w:space="0" w:color="auto"/>
            </w:tcBorders>
            <w:vAlign w:val="bottom"/>
          </w:tcPr>
          <w:p w14:paraId="4D3F7110" w14:textId="77777777" w:rsidR="0043610C" w:rsidRPr="00C67B16" w:rsidRDefault="0043610C" w:rsidP="00463647">
            <w:pPr>
              <w:pStyle w:val="Nottoc-headings"/>
              <w:widowControl w:val="0"/>
              <w:spacing w:before="0" w:after="0"/>
              <w:ind w:left="57" w:hanging="57"/>
              <w:rPr>
                <w:rFonts w:ascii="Times New Roman" w:hAnsi="Times New Roman"/>
                <w:b w:val="0"/>
                <w:sz w:val="22"/>
                <w:szCs w:val="22"/>
              </w:rPr>
            </w:pPr>
            <w:r w:rsidRPr="00C67B16">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15E13F04" w14:textId="77777777" w:rsidR="0043610C" w:rsidRPr="00C67B16" w:rsidRDefault="0043610C" w:rsidP="00463647">
            <w:pPr>
              <w:pStyle w:val="Nottoc-headings"/>
              <w:widowControl w:val="0"/>
              <w:spacing w:before="0" w:after="0"/>
              <w:ind w:left="57" w:hanging="57"/>
              <w:rPr>
                <w:rFonts w:ascii="Times New Roman" w:hAnsi="Times New Roman"/>
                <w:b w:val="0"/>
                <w:sz w:val="22"/>
                <w:szCs w:val="22"/>
              </w:rPr>
            </w:pPr>
            <w:r w:rsidRPr="00C67B16">
              <w:rPr>
                <w:rFonts w:ascii="Times New Roman" w:hAnsi="Times New Roman"/>
                <w:b w:val="0"/>
                <w:sz w:val="22"/>
                <w:szCs w:val="22"/>
              </w:rPr>
              <w:t>N.E.</w:t>
            </w:r>
          </w:p>
        </w:tc>
        <w:tc>
          <w:tcPr>
            <w:tcW w:w="1440" w:type="dxa"/>
            <w:tcBorders>
              <w:left w:val="single" w:sz="4" w:space="0" w:color="auto"/>
              <w:bottom w:val="nil"/>
              <w:right w:val="single" w:sz="4" w:space="0" w:color="auto"/>
            </w:tcBorders>
            <w:vAlign w:val="bottom"/>
          </w:tcPr>
          <w:p w14:paraId="7D3B4BE0" w14:textId="77777777" w:rsidR="0043610C" w:rsidRPr="00C67B16" w:rsidRDefault="0043610C" w:rsidP="00463647">
            <w:pPr>
              <w:pStyle w:val="Nottoc-headings"/>
              <w:widowControl w:val="0"/>
              <w:spacing w:before="0" w:after="0"/>
              <w:ind w:left="57" w:hanging="57"/>
              <w:rPr>
                <w:rFonts w:ascii="Times New Roman" w:hAnsi="Times New Roman"/>
                <w:b w:val="0"/>
                <w:sz w:val="22"/>
                <w:szCs w:val="22"/>
                <w:lang w:val="de-CH"/>
              </w:rPr>
            </w:pPr>
            <w:r w:rsidRPr="00C67B16">
              <w:rPr>
                <w:rFonts w:ascii="Times New Roman" w:hAnsi="Times New Roman"/>
                <w:b w:val="0"/>
                <w:sz w:val="22"/>
                <w:szCs w:val="22"/>
                <w:lang w:val="de-CH"/>
              </w:rPr>
              <w:t>100 vs. 98,7</w:t>
            </w:r>
          </w:p>
        </w:tc>
        <w:tc>
          <w:tcPr>
            <w:tcW w:w="1360" w:type="dxa"/>
            <w:tcBorders>
              <w:left w:val="single" w:sz="4" w:space="0" w:color="auto"/>
              <w:bottom w:val="nil"/>
            </w:tcBorders>
            <w:vAlign w:val="bottom"/>
          </w:tcPr>
          <w:p w14:paraId="66DABEE4" w14:textId="77777777" w:rsidR="0043610C" w:rsidRPr="00C67B16" w:rsidRDefault="0043610C" w:rsidP="00463647">
            <w:pPr>
              <w:pStyle w:val="Nottoc-headings"/>
              <w:widowControl w:val="0"/>
              <w:spacing w:before="0" w:after="0"/>
              <w:ind w:left="57" w:hanging="57"/>
              <w:rPr>
                <w:rFonts w:ascii="Times New Roman" w:hAnsi="Times New Roman"/>
                <w:b w:val="0"/>
                <w:sz w:val="22"/>
                <w:szCs w:val="22"/>
                <w:lang w:val="de-CH"/>
              </w:rPr>
            </w:pPr>
            <w:r w:rsidRPr="00C67B16">
              <w:rPr>
                <w:rFonts w:ascii="Times New Roman" w:hAnsi="Times New Roman"/>
                <w:b w:val="0"/>
                <w:sz w:val="22"/>
                <w:szCs w:val="22"/>
                <w:lang w:val="de-CH"/>
              </w:rPr>
              <w:t>100 vs. 95,5</w:t>
            </w:r>
          </w:p>
        </w:tc>
      </w:tr>
      <w:tr w:rsidR="0043610C" w:rsidRPr="00C67B16" w14:paraId="747635C1" w14:textId="77777777" w:rsidTr="00C81D6E">
        <w:trPr>
          <w:cantSplit/>
        </w:trPr>
        <w:tc>
          <w:tcPr>
            <w:tcW w:w="1032" w:type="dxa"/>
            <w:vMerge/>
            <w:shd w:val="clear" w:color="auto" w:fill="auto"/>
          </w:tcPr>
          <w:p w14:paraId="7D24D6BF" w14:textId="77777777" w:rsidR="0043610C" w:rsidRPr="00C67B16" w:rsidRDefault="0043610C" w:rsidP="00463647">
            <w:pPr>
              <w:pStyle w:val="Nottoc-headings"/>
              <w:widowControl w:val="0"/>
              <w:spacing w:before="0" w:after="0"/>
              <w:rPr>
                <w:rFonts w:ascii="Times New Roman" w:hAnsi="Times New Roman"/>
                <w:b w:val="0"/>
                <w:sz w:val="22"/>
                <w:szCs w:val="22"/>
                <w:lang w:val="de-CH"/>
              </w:rPr>
            </w:pPr>
          </w:p>
        </w:tc>
        <w:tc>
          <w:tcPr>
            <w:tcW w:w="1302" w:type="dxa"/>
            <w:tcBorders>
              <w:top w:val="nil"/>
              <w:bottom w:val="nil"/>
              <w:right w:val="single" w:sz="4" w:space="0" w:color="auto"/>
            </w:tcBorders>
            <w:vAlign w:val="bottom"/>
          </w:tcPr>
          <w:p w14:paraId="094F68AF" w14:textId="77777777" w:rsidR="0043610C" w:rsidRPr="00C67B16" w:rsidRDefault="0043610C"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Intermediär</w:t>
            </w:r>
          </w:p>
        </w:tc>
        <w:tc>
          <w:tcPr>
            <w:tcW w:w="1078" w:type="dxa"/>
            <w:tcBorders>
              <w:top w:val="nil"/>
              <w:left w:val="single" w:sz="4" w:space="0" w:color="auto"/>
              <w:bottom w:val="nil"/>
              <w:right w:val="single" w:sz="4" w:space="0" w:color="auto"/>
            </w:tcBorders>
            <w:vAlign w:val="bottom"/>
          </w:tcPr>
          <w:p w14:paraId="466FA876" w14:textId="77777777" w:rsidR="0043610C" w:rsidRPr="00C67B16" w:rsidRDefault="0043610C" w:rsidP="00463647">
            <w:pPr>
              <w:pStyle w:val="Table"/>
              <w:widowControl w:val="0"/>
              <w:spacing w:before="0" w:after="0"/>
              <w:jc w:val="center"/>
              <w:rPr>
                <w:rFonts w:ascii="Times New Roman" w:hAnsi="Times New Roman"/>
                <w:sz w:val="22"/>
                <w:szCs w:val="22"/>
                <w:lang w:val="de-CH"/>
              </w:rPr>
            </w:pPr>
            <w:r w:rsidRPr="00C67B16">
              <w:rPr>
                <w:rFonts w:ascii="Times New Roman" w:hAnsi="Times New Roman"/>
                <w:sz w:val="22"/>
                <w:szCs w:val="22"/>
                <w:lang w:val="de-CH"/>
              </w:rPr>
              <w:t>25,7</w:t>
            </w:r>
          </w:p>
        </w:tc>
        <w:tc>
          <w:tcPr>
            <w:tcW w:w="2008" w:type="dxa"/>
            <w:tcBorders>
              <w:top w:val="nil"/>
              <w:left w:val="single" w:sz="4" w:space="0" w:color="auto"/>
              <w:bottom w:val="nil"/>
              <w:right w:val="single" w:sz="4" w:space="0" w:color="auto"/>
            </w:tcBorders>
            <w:vAlign w:val="bottom"/>
          </w:tcPr>
          <w:p w14:paraId="449E9B1F" w14:textId="77777777" w:rsidR="0043610C" w:rsidRPr="00C67B16" w:rsidRDefault="0043610C"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4/75 vs. 6/78</w:t>
            </w:r>
          </w:p>
        </w:tc>
        <w:tc>
          <w:tcPr>
            <w:tcW w:w="1800" w:type="dxa"/>
            <w:tcBorders>
              <w:top w:val="nil"/>
              <w:left w:val="single" w:sz="4" w:space="0" w:color="auto"/>
              <w:bottom w:val="nil"/>
              <w:right w:val="single" w:sz="4" w:space="0" w:color="auto"/>
            </w:tcBorders>
            <w:vAlign w:val="bottom"/>
          </w:tcPr>
          <w:p w14:paraId="13B1CF74" w14:textId="77777777" w:rsidR="0043610C" w:rsidRPr="00C67B16" w:rsidRDefault="0043610C"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0,59 (0,17; 2,10)</w:t>
            </w:r>
          </w:p>
        </w:tc>
        <w:tc>
          <w:tcPr>
            <w:tcW w:w="1440" w:type="dxa"/>
            <w:tcBorders>
              <w:top w:val="nil"/>
              <w:left w:val="single" w:sz="4" w:space="0" w:color="auto"/>
              <w:bottom w:val="nil"/>
              <w:right w:val="single" w:sz="4" w:space="0" w:color="auto"/>
            </w:tcBorders>
            <w:vAlign w:val="bottom"/>
          </w:tcPr>
          <w:p w14:paraId="27704ACB" w14:textId="77777777" w:rsidR="0043610C" w:rsidRPr="00C67B16" w:rsidRDefault="0043610C"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100 vs. 94,8</w:t>
            </w:r>
          </w:p>
        </w:tc>
        <w:tc>
          <w:tcPr>
            <w:tcW w:w="1360" w:type="dxa"/>
            <w:tcBorders>
              <w:top w:val="nil"/>
              <w:left w:val="single" w:sz="4" w:space="0" w:color="auto"/>
              <w:bottom w:val="nil"/>
            </w:tcBorders>
            <w:vAlign w:val="bottom"/>
          </w:tcPr>
          <w:p w14:paraId="19F20353" w14:textId="77777777" w:rsidR="0043610C" w:rsidRPr="00C67B16" w:rsidRDefault="0043610C"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97,8 vs. 89,5</w:t>
            </w:r>
          </w:p>
        </w:tc>
      </w:tr>
      <w:tr w:rsidR="0043610C" w:rsidRPr="00126508" w14:paraId="27CCF9AF" w14:textId="77777777" w:rsidTr="00C81D6E">
        <w:trPr>
          <w:cantSplit/>
        </w:trPr>
        <w:tc>
          <w:tcPr>
            <w:tcW w:w="1032" w:type="dxa"/>
            <w:vMerge/>
            <w:shd w:val="clear" w:color="auto" w:fill="auto"/>
          </w:tcPr>
          <w:p w14:paraId="75F92C90" w14:textId="77777777" w:rsidR="0043610C" w:rsidRPr="00C67B16" w:rsidRDefault="0043610C" w:rsidP="00463647">
            <w:pPr>
              <w:pStyle w:val="Table"/>
              <w:widowControl w:val="0"/>
              <w:spacing w:before="0" w:after="0"/>
              <w:rPr>
                <w:rFonts w:ascii="Times New Roman" w:hAnsi="Times New Roman"/>
                <w:sz w:val="22"/>
                <w:szCs w:val="22"/>
                <w:lang w:val="de-CH"/>
              </w:rPr>
            </w:pPr>
          </w:p>
        </w:tc>
        <w:tc>
          <w:tcPr>
            <w:tcW w:w="1302" w:type="dxa"/>
            <w:tcBorders>
              <w:top w:val="nil"/>
              <w:right w:val="single" w:sz="4" w:space="0" w:color="auto"/>
            </w:tcBorders>
            <w:vAlign w:val="bottom"/>
          </w:tcPr>
          <w:p w14:paraId="732F8F77" w14:textId="77777777" w:rsidR="0043610C" w:rsidRPr="00C67B16" w:rsidRDefault="0043610C"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Hög</w:t>
            </w:r>
          </w:p>
        </w:tc>
        <w:tc>
          <w:tcPr>
            <w:tcW w:w="1078" w:type="dxa"/>
            <w:tcBorders>
              <w:top w:val="nil"/>
              <w:left w:val="single" w:sz="4" w:space="0" w:color="auto"/>
              <w:right w:val="single" w:sz="4" w:space="0" w:color="auto"/>
            </w:tcBorders>
            <w:vAlign w:val="bottom"/>
          </w:tcPr>
          <w:p w14:paraId="029FAB84" w14:textId="77777777" w:rsidR="0043610C" w:rsidRPr="00C67B16" w:rsidRDefault="0043610C" w:rsidP="00463647">
            <w:pPr>
              <w:pStyle w:val="Table"/>
              <w:widowControl w:val="0"/>
              <w:spacing w:before="0" w:after="0"/>
              <w:jc w:val="center"/>
              <w:rPr>
                <w:rFonts w:ascii="Times New Roman" w:hAnsi="Times New Roman"/>
                <w:sz w:val="22"/>
                <w:szCs w:val="22"/>
                <w:lang w:val="de-CH"/>
              </w:rPr>
            </w:pPr>
            <w:r w:rsidRPr="00C67B16">
              <w:rPr>
                <w:rFonts w:ascii="Times New Roman" w:hAnsi="Times New Roman"/>
                <w:sz w:val="22"/>
                <w:szCs w:val="22"/>
                <w:lang w:val="de-CH"/>
              </w:rPr>
              <w:t>44,8</w:t>
            </w:r>
          </w:p>
        </w:tc>
        <w:tc>
          <w:tcPr>
            <w:tcW w:w="2008" w:type="dxa"/>
            <w:tcBorders>
              <w:top w:val="nil"/>
              <w:left w:val="single" w:sz="4" w:space="0" w:color="auto"/>
              <w:right w:val="single" w:sz="4" w:space="0" w:color="auto"/>
            </w:tcBorders>
            <w:vAlign w:val="bottom"/>
          </w:tcPr>
          <w:p w14:paraId="42838DFE" w14:textId="77777777" w:rsidR="0043610C" w:rsidRPr="00C67B16" w:rsidRDefault="0043610C"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21/140 vs. 51/127</w:t>
            </w:r>
          </w:p>
        </w:tc>
        <w:tc>
          <w:tcPr>
            <w:tcW w:w="1800" w:type="dxa"/>
            <w:tcBorders>
              <w:top w:val="nil"/>
              <w:left w:val="single" w:sz="4" w:space="0" w:color="auto"/>
              <w:right w:val="single" w:sz="4" w:space="0" w:color="auto"/>
            </w:tcBorders>
            <w:vAlign w:val="bottom"/>
          </w:tcPr>
          <w:p w14:paraId="4BEB151A"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lang w:val="de-CH"/>
              </w:rPr>
              <w:t>0,29 (0,</w:t>
            </w:r>
            <w:r w:rsidRPr="00C67B16">
              <w:rPr>
                <w:rFonts w:ascii="Times New Roman" w:hAnsi="Times New Roman"/>
                <w:sz w:val="22"/>
                <w:szCs w:val="22"/>
              </w:rPr>
              <w:t>18; 0,49)</w:t>
            </w:r>
          </w:p>
        </w:tc>
        <w:tc>
          <w:tcPr>
            <w:tcW w:w="1440" w:type="dxa"/>
            <w:tcBorders>
              <w:top w:val="nil"/>
              <w:left w:val="single" w:sz="4" w:space="0" w:color="auto"/>
              <w:right w:val="single" w:sz="4" w:space="0" w:color="auto"/>
            </w:tcBorders>
            <w:vAlign w:val="bottom"/>
          </w:tcPr>
          <w:p w14:paraId="14957066"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94,8 vs. 64,0</w:t>
            </w:r>
          </w:p>
        </w:tc>
        <w:tc>
          <w:tcPr>
            <w:tcW w:w="1360" w:type="dxa"/>
            <w:tcBorders>
              <w:top w:val="nil"/>
              <w:left w:val="single" w:sz="4" w:space="0" w:color="auto"/>
            </w:tcBorders>
            <w:vAlign w:val="bottom"/>
          </w:tcPr>
          <w:p w14:paraId="4405A663"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80,7 vs. 46,6</w:t>
            </w:r>
          </w:p>
        </w:tc>
      </w:tr>
      <w:tr w:rsidR="0043610C" w:rsidRPr="00126508" w14:paraId="3633246D" w14:textId="77777777" w:rsidTr="00C81D6E">
        <w:trPr>
          <w:cantSplit/>
        </w:trPr>
        <w:tc>
          <w:tcPr>
            <w:tcW w:w="1032" w:type="dxa"/>
            <w:vMerge w:val="restart"/>
            <w:shd w:val="clear" w:color="auto" w:fill="auto"/>
          </w:tcPr>
          <w:p w14:paraId="7D93809E"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AFIP</w:t>
            </w:r>
          </w:p>
          <w:p w14:paraId="1EBA29A2" w14:textId="77777777" w:rsidR="0043610C" w:rsidRPr="00C67B16" w:rsidRDefault="0043610C" w:rsidP="00463647">
            <w:pPr>
              <w:pStyle w:val="Table"/>
              <w:widowControl w:val="0"/>
              <w:spacing w:before="0" w:after="0"/>
              <w:rPr>
                <w:rFonts w:ascii="Times New Roman" w:hAnsi="Times New Roman"/>
                <w:sz w:val="22"/>
                <w:szCs w:val="22"/>
              </w:rPr>
            </w:pPr>
          </w:p>
        </w:tc>
        <w:tc>
          <w:tcPr>
            <w:tcW w:w="1302" w:type="dxa"/>
            <w:tcBorders>
              <w:bottom w:val="nil"/>
              <w:right w:val="single" w:sz="4" w:space="0" w:color="auto"/>
            </w:tcBorders>
            <w:vAlign w:val="bottom"/>
          </w:tcPr>
          <w:p w14:paraId="66DBE59F"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Mycket låg</w:t>
            </w:r>
          </w:p>
        </w:tc>
        <w:tc>
          <w:tcPr>
            <w:tcW w:w="1078" w:type="dxa"/>
            <w:tcBorders>
              <w:left w:val="single" w:sz="4" w:space="0" w:color="auto"/>
              <w:bottom w:val="nil"/>
              <w:right w:val="single" w:sz="4" w:space="0" w:color="auto"/>
            </w:tcBorders>
            <w:vAlign w:val="bottom"/>
          </w:tcPr>
          <w:p w14:paraId="1D04E054" w14:textId="77777777" w:rsidR="0043610C" w:rsidRPr="00C67B16" w:rsidRDefault="0043610C" w:rsidP="00463647">
            <w:pPr>
              <w:pStyle w:val="Table"/>
              <w:widowControl w:val="0"/>
              <w:spacing w:before="0" w:after="0"/>
              <w:jc w:val="center"/>
              <w:rPr>
                <w:rFonts w:ascii="Times New Roman" w:hAnsi="Times New Roman"/>
                <w:sz w:val="22"/>
                <w:szCs w:val="22"/>
              </w:rPr>
            </w:pPr>
            <w:r w:rsidRPr="00C67B16">
              <w:rPr>
                <w:rFonts w:ascii="Times New Roman" w:hAnsi="Times New Roman"/>
                <w:sz w:val="22"/>
                <w:szCs w:val="22"/>
              </w:rPr>
              <w:t>20,7</w:t>
            </w:r>
          </w:p>
        </w:tc>
        <w:tc>
          <w:tcPr>
            <w:tcW w:w="2008" w:type="dxa"/>
            <w:tcBorders>
              <w:left w:val="single" w:sz="4" w:space="0" w:color="auto"/>
              <w:bottom w:val="nil"/>
              <w:right w:val="single" w:sz="4" w:space="0" w:color="auto"/>
            </w:tcBorders>
            <w:vAlign w:val="bottom"/>
          </w:tcPr>
          <w:p w14:paraId="5F1EA8A4"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36388946"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31F71946"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100 vs. 98,1</w:t>
            </w:r>
          </w:p>
        </w:tc>
        <w:tc>
          <w:tcPr>
            <w:tcW w:w="1360" w:type="dxa"/>
            <w:tcBorders>
              <w:left w:val="single" w:sz="4" w:space="0" w:color="auto"/>
              <w:bottom w:val="nil"/>
            </w:tcBorders>
            <w:vAlign w:val="bottom"/>
          </w:tcPr>
          <w:p w14:paraId="6F9159E9"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100 vs. 93,0</w:t>
            </w:r>
          </w:p>
        </w:tc>
      </w:tr>
      <w:tr w:rsidR="0043610C" w:rsidRPr="00126508" w14:paraId="3BC24E76" w14:textId="77777777" w:rsidTr="00C81D6E">
        <w:trPr>
          <w:cantSplit/>
        </w:trPr>
        <w:tc>
          <w:tcPr>
            <w:tcW w:w="1032" w:type="dxa"/>
            <w:vMerge/>
            <w:shd w:val="clear" w:color="auto" w:fill="auto"/>
          </w:tcPr>
          <w:p w14:paraId="630928E9" w14:textId="77777777" w:rsidR="0043610C" w:rsidRPr="00C67B16" w:rsidRDefault="0043610C" w:rsidP="00463647">
            <w:pPr>
              <w:pStyle w:val="Table"/>
              <w:widowControl w:val="0"/>
              <w:spacing w:before="0" w:after="0"/>
              <w:rPr>
                <w:rFonts w:ascii="Times New Roman" w:hAnsi="Times New Roman"/>
                <w:sz w:val="22"/>
                <w:szCs w:val="22"/>
              </w:rPr>
            </w:pPr>
          </w:p>
        </w:tc>
        <w:tc>
          <w:tcPr>
            <w:tcW w:w="1302" w:type="dxa"/>
            <w:tcBorders>
              <w:top w:val="nil"/>
              <w:bottom w:val="nil"/>
              <w:right w:val="single" w:sz="4" w:space="0" w:color="auto"/>
            </w:tcBorders>
            <w:vAlign w:val="bottom"/>
          </w:tcPr>
          <w:p w14:paraId="71735F23"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Låg</w:t>
            </w:r>
          </w:p>
        </w:tc>
        <w:tc>
          <w:tcPr>
            <w:tcW w:w="1078" w:type="dxa"/>
            <w:tcBorders>
              <w:top w:val="nil"/>
              <w:left w:val="single" w:sz="4" w:space="0" w:color="auto"/>
              <w:bottom w:val="nil"/>
              <w:right w:val="single" w:sz="4" w:space="0" w:color="auto"/>
            </w:tcBorders>
            <w:vAlign w:val="bottom"/>
          </w:tcPr>
          <w:p w14:paraId="7215C284" w14:textId="77777777" w:rsidR="0043610C" w:rsidRPr="00C67B16" w:rsidRDefault="0043610C" w:rsidP="00463647">
            <w:pPr>
              <w:pStyle w:val="Table"/>
              <w:widowControl w:val="0"/>
              <w:spacing w:before="0" w:after="0"/>
              <w:jc w:val="center"/>
              <w:rPr>
                <w:rFonts w:ascii="Times New Roman" w:hAnsi="Times New Roman"/>
                <w:sz w:val="22"/>
                <w:szCs w:val="22"/>
              </w:rPr>
            </w:pPr>
            <w:r w:rsidRPr="00C67B16">
              <w:rPr>
                <w:rFonts w:ascii="Times New Roman" w:hAnsi="Times New Roman"/>
                <w:sz w:val="22"/>
                <w:szCs w:val="22"/>
              </w:rPr>
              <w:t>25,0</w:t>
            </w:r>
          </w:p>
        </w:tc>
        <w:tc>
          <w:tcPr>
            <w:tcW w:w="2008" w:type="dxa"/>
            <w:tcBorders>
              <w:top w:val="nil"/>
              <w:left w:val="single" w:sz="4" w:space="0" w:color="auto"/>
              <w:bottom w:val="nil"/>
              <w:right w:val="single" w:sz="4" w:space="0" w:color="auto"/>
            </w:tcBorders>
            <w:vAlign w:val="bottom"/>
          </w:tcPr>
          <w:p w14:paraId="47D42515"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309F7C75"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71766892"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100 vs. 100</w:t>
            </w:r>
          </w:p>
        </w:tc>
        <w:tc>
          <w:tcPr>
            <w:tcW w:w="1360" w:type="dxa"/>
            <w:tcBorders>
              <w:top w:val="nil"/>
              <w:left w:val="single" w:sz="4" w:space="0" w:color="auto"/>
              <w:bottom w:val="nil"/>
            </w:tcBorders>
            <w:vAlign w:val="bottom"/>
          </w:tcPr>
          <w:p w14:paraId="6696A199"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97,8 vs. 100</w:t>
            </w:r>
          </w:p>
        </w:tc>
      </w:tr>
      <w:tr w:rsidR="0043610C" w:rsidRPr="00126508" w14:paraId="7CB1EF58" w14:textId="77777777" w:rsidTr="00C81D6E">
        <w:trPr>
          <w:cantSplit/>
        </w:trPr>
        <w:tc>
          <w:tcPr>
            <w:tcW w:w="1032" w:type="dxa"/>
            <w:vMerge/>
            <w:shd w:val="clear" w:color="auto" w:fill="auto"/>
          </w:tcPr>
          <w:p w14:paraId="2848E394" w14:textId="77777777" w:rsidR="0043610C" w:rsidRPr="00C67B16" w:rsidRDefault="0043610C" w:rsidP="00463647">
            <w:pPr>
              <w:pStyle w:val="Table"/>
              <w:widowControl w:val="0"/>
              <w:spacing w:before="0" w:after="0"/>
              <w:rPr>
                <w:rFonts w:ascii="Times New Roman" w:hAnsi="Times New Roman"/>
                <w:b/>
                <w:sz w:val="22"/>
                <w:szCs w:val="22"/>
              </w:rPr>
            </w:pPr>
          </w:p>
        </w:tc>
        <w:tc>
          <w:tcPr>
            <w:tcW w:w="1302" w:type="dxa"/>
            <w:tcBorders>
              <w:top w:val="nil"/>
              <w:bottom w:val="nil"/>
              <w:right w:val="single" w:sz="4" w:space="0" w:color="auto"/>
            </w:tcBorders>
            <w:vAlign w:val="bottom"/>
          </w:tcPr>
          <w:p w14:paraId="0F4F6F06"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Måttlig</w:t>
            </w:r>
          </w:p>
        </w:tc>
        <w:tc>
          <w:tcPr>
            <w:tcW w:w="1078" w:type="dxa"/>
            <w:tcBorders>
              <w:top w:val="nil"/>
              <w:left w:val="single" w:sz="4" w:space="0" w:color="auto"/>
              <w:bottom w:val="nil"/>
              <w:right w:val="single" w:sz="4" w:space="0" w:color="auto"/>
            </w:tcBorders>
            <w:vAlign w:val="bottom"/>
          </w:tcPr>
          <w:p w14:paraId="7562ECE1" w14:textId="77777777" w:rsidR="0043610C" w:rsidRPr="00C67B16" w:rsidRDefault="0043610C" w:rsidP="00463647">
            <w:pPr>
              <w:pStyle w:val="Table"/>
              <w:widowControl w:val="0"/>
              <w:spacing w:before="0" w:after="0"/>
              <w:jc w:val="center"/>
              <w:rPr>
                <w:rFonts w:ascii="Times New Roman" w:hAnsi="Times New Roman"/>
                <w:sz w:val="22"/>
                <w:szCs w:val="22"/>
              </w:rPr>
            </w:pPr>
            <w:r w:rsidRPr="00C67B16">
              <w:rPr>
                <w:rFonts w:ascii="Times New Roman" w:hAnsi="Times New Roman"/>
                <w:sz w:val="22"/>
                <w:szCs w:val="22"/>
              </w:rPr>
              <w:t>24,6</w:t>
            </w:r>
          </w:p>
        </w:tc>
        <w:tc>
          <w:tcPr>
            <w:tcW w:w="2008" w:type="dxa"/>
            <w:tcBorders>
              <w:top w:val="nil"/>
              <w:left w:val="single" w:sz="4" w:space="0" w:color="auto"/>
              <w:bottom w:val="nil"/>
              <w:right w:val="single" w:sz="4" w:space="0" w:color="auto"/>
            </w:tcBorders>
            <w:vAlign w:val="bottom"/>
          </w:tcPr>
          <w:p w14:paraId="6F265A50"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2D63A287"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625EEB6F"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97,9 vs. 90,8</w:t>
            </w:r>
          </w:p>
        </w:tc>
        <w:tc>
          <w:tcPr>
            <w:tcW w:w="1360" w:type="dxa"/>
            <w:tcBorders>
              <w:top w:val="nil"/>
              <w:left w:val="single" w:sz="4" w:space="0" w:color="auto"/>
              <w:bottom w:val="nil"/>
            </w:tcBorders>
            <w:vAlign w:val="bottom"/>
          </w:tcPr>
          <w:p w14:paraId="6E7AEBB8"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97,9 vs. 73,3</w:t>
            </w:r>
          </w:p>
        </w:tc>
      </w:tr>
      <w:tr w:rsidR="0043610C" w:rsidRPr="00126508" w14:paraId="5B3CBCD8" w14:textId="77777777" w:rsidTr="00C81D6E">
        <w:trPr>
          <w:cantSplit/>
        </w:trPr>
        <w:tc>
          <w:tcPr>
            <w:tcW w:w="1032" w:type="dxa"/>
            <w:vMerge/>
            <w:tcBorders>
              <w:bottom w:val="single" w:sz="4" w:space="0" w:color="auto"/>
            </w:tcBorders>
            <w:shd w:val="clear" w:color="auto" w:fill="auto"/>
          </w:tcPr>
          <w:p w14:paraId="51380CC3" w14:textId="77777777" w:rsidR="0043610C" w:rsidRPr="00C67B16" w:rsidRDefault="0043610C" w:rsidP="00463647">
            <w:pPr>
              <w:pStyle w:val="Table"/>
              <w:widowControl w:val="0"/>
              <w:spacing w:before="0" w:after="0"/>
              <w:rPr>
                <w:rFonts w:ascii="Times New Roman" w:hAnsi="Times New Roman"/>
                <w:sz w:val="22"/>
                <w:szCs w:val="22"/>
              </w:rPr>
            </w:pPr>
          </w:p>
        </w:tc>
        <w:tc>
          <w:tcPr>
            <w:tcW w:w="1302" w:type="dxa"/>
            <w:tcBorders>
              <w:top w:val="nil"/>
              <w:bottom w:val="single" w:sz="4" w:space="0" w:color="auto"/>
              <w:right w:val="single" w:sz="4" w:space="0" w:color="auto"/>
            </w:tcBorders>
            <w:vAlign w:val="bottom"/>
          </w:tcPr>
          <w:p w14:paraId="6E4E702D"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Hög</w:t>
            </w:r>
          </w:p>
        </w:tc>
        <w:tc>
          <w:tcPr>
            <w:tcW w:w="1078" w:type="dxa"/>
            <w:tcBorders>
              <w:top w:val="nil"/>
              <w:left w:val="single" w:sz="4" w:space="0" w:color="auto"/>
              <w:bottom w:val="single" w:sz="4" w:space="0" w:color="auto"/>
              <w:right w:val="single" w:sz="4" w:space="0" w:color="auto"/>
            </w:tcBorders>
            <w:vAlign w:val="bottom"/>
          </w:tcPr>
          <w:p w14:paraId="5232584C" w14:textId="77777777" w:rsidR="0043610C" w:rsidRPr="00C67B16" w:rsidRDefault="0043610C" w:rsidP="00463647">
            <w:pPr>
              <w:pStyle w:val="Table"/>
              <w:widowControl w:val="0"/>
              <w:spacing w:before="0" w:after="0"/>
              <w:ind w:right="-3"/>
              <w:jc w:val="center"/>
              <w:rPr>
                <w:rFonts w:ascii="Times New Roman" w:hAnsi="Times New Roman"/>
                <w:sz w:val="22"/>
                <w:szCs w:val="22"/>
              </w:rPr>
            </w:pPr>
            <w:r w:rsidRPr="00C67B16">
              <w:rPr>
                <w:rFonts w:ascii="Times New Roman" w:hAnsi="Times New Roman"/>
                <w:sz w:val="22"/>
                <w:szCs w:val="22"/>
              </w:rPr>
              <w:t>29,7</w:t>
            </w:r>
          </w:p>
        </w:tc>
        <w:tc>
          <w:tcPr>
            <w:tcW w:w="2008" w:type="dxa"/>
            <w:tcBorders>
              <w:top w:val="nil"/>
              <w:left w:val="single" w:sz="4" w:space="0" w:color="auto"/>
              <w:bottom w:val="single" w:sz="4" w:space="0" w:color="auto"/>
              <w:right w:val="single" w:sz="4" w:space="0" w:color="auto"/>
            </w:tcBorders>
            <w:vAlign w:val="bottom"/>
          </w:tcPr>
          <w:p w14:paraId="70722F74"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679358CB"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1AC25411"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2C1FCE5E" w14:textId="77777777" w:rsidR="0043610C" w:rsidRPr="00C67B16" w:rsidRDefault="0043610C"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79,9 vs. 41,5</w:t>
            </w:r>
          </w:p>
        </w:tc>
      </w:tr>
    </w:tbl>
    <w:p w14:paraId="44259C5C" w14:textId="77777777" w:rsidR="0043610C" w:rsidRPr="002A4FE7" w:rsidRDefault="0043610C" w:rsidP="00463647">
      <w:pPr>
        <w:pStyle w:val="TextChar"/>
        <w:keepNext/>
        <w:keepLines/>
        <w:widowControl w:val="0"/>
        <w:spacing w:before="0"/>
        <w:rPr>
          <w:sz w:val="22"/>
          <w:szCs w:val="22"/>
          <w:lang w:val="sv-SE"/>
        </w:rPr>
      </w:pPr>
      <w:r w:rsidRPr="002A4FE7">
        <w:rPr>
          <w:sz w:val="22"/>
          <w:szCs w:val="22"/>
          <w:lang w:val="sv-SE"/>
        </w:rPr>
        <w:t>* Hel uppföljningsperiod; NE – Not estimable (Går ej att uppskatta)</w:t>
      </w:r>
    </w:p>
    <w:p w14:paraId="71EC52DB" w14:textId="77777777" w:rsidR="00311830" w:rsidRPr="002A4FE7" w:rsidRDefault="00311830" w:rsidP="00463647">
      <w:pPr>
        <w:pStyle w:val="EndnoteText"/>
        <w:widowControl w:val="0"/>
        <w:tabs>
          <w:tab w:val="clear" w:pos="567"/>
        </w:tabs>
        <w:rPr>
          <w:rFonts w:eastAsia="MS Mincho"/>
          <w:lang w:val="sv-SE" w:eastAsia="ja-JP"/>
        </w:rPr>
      </w:pPr>
    </w:p>
    <w:p w14:paraId="123388CF" w14:textId="77777777" w:rsidR="00311830" w:rsidRPr="001713FB" w:rsidRDefault="00311830" w:rsidP="00463647">
      <w:pPr>
        <w:widowControl w:val="0"/>
        <w:tabs>
          <w:tab w:val="clear" w:pos="567"/>
        </w:tabs>
        <w:spacing w:line="240" w:lineRule="auto"/>
        <w:rPr>
          <w:rFonts w:eastAsia="MS Mincho"/>
          <w:lang w:val="sv-SE"/>
        </w:rPr>
      </w:pPr>
      <w:r w:rsidRPr="00217392">
        <w:rPr>
          <w:rFonts w:eastAsia="MS Mincho"/>
          <w:szCs w:val="22"/>
          <w:lang w:val="sv-SE" w:eastAsia="ja-JP"/>
        </w:rPr>
        <w:t>En andra multicenter, öppen fas III studie (SSG XVIII/AIO</w:t>
      </w:r>
      <w:r>
        <w:rPr>
          <w:rFonts w:eastAsia="MS Mincho"/>
          <w:szCs w:val="22"/>
          <w:lang w:val="sv-SE" w:eastAsia="ja-JP"/>
        </w:rPr>
        <w:t>) jämförde 12 månaders behandling mot 36 månaders behandling med Glivec 400 mg/dag hos patienter efter kirurgisk resektion av GIST och en av följande: tumör</w:t>
      </w:r>
      <w:r w:rsidRPr="00991333">
        <w:rPr>
          <w:rFonts w:eastAsia="MS Mincho"/>
          <w:iCs/>
          <w:szCs w:val="22"/>
          <w:lang w:val="sv-SE" w:eastAsia="ja-JP"/>
        </w:rPr>
        <w:t>diameter &gt; 5</w:t>
      </w:r>
      <w:r w:rsidRPr="00991333">
        <w:rPr>
          <w:rFonts w:eastAsia="MS Mincho"/>
          <w:szCs w:val="22"/>
          <w:lang w:val="sv-SE" w:eastAsia="ja-JP"/>
        </w:rPr>
        <w:t> </w:t>
      </w:r>
      <w:r w:rsidRPr="00991333">
        <w:rPr>
          <w:rFonts w:eastAsia="MS Mincho"/>
          <w:iCs/>
          <w:szCs w:val="22"/>
          <w:lang w:val="sv-SE" w:eastAsia="ja-JP"/>
        </w:rPr>
        <w:t>cm</w:t>
      </w:r>
      <w:r>
        <w:rPr>
          <w:rFonts w:eastAsia="MS Mincho"/>
          <w:iCs/>
          <w:szCs w:val="22"/>
          <w:lang w:val="sv-SE" w:eastAsia="ja-JP"/>
        </w:rPr>
        <w:t xml:space="preserve"> och </w:t>
      </w:r>
      <w:r w:rsidRPr="0023047A">
        <w:rPr>
          <w:rFonts w:eastAsia="MS Mincho"/>
          <w:iCs/>
          <w:szCs w:val="22"/>
          <w:lang w:val="sv-SE" w:eastAsia="ja-JP"/>
        </w:rPr>
        <w:t>mitosantal &gt; 5/50 high power fields (HPF);</w:t>
      </w:r>
      <w:r>
        <w:rPr>
          <w:rFonts w:eastAsia="MS Mincho"/>
          <w:iCs/>
          <w:szCs w:val="22"/>
          <w:lang w:val="sv-SE" w:eastAsia="ja-JP"/>
        </w:rPr>
        <w:t xml:space="preserve"> eller </w:t>
      </w:r>
      <w:r w:rsidRPr="0023047A">
        <w:rPr>
          <w:rFonts w:eastAsia="MS Mincho"/>
          <w:iCs/>
          <w:szCs w:val="22"/>
          <w:lang w:val="sv-SE" w:eastAsia="ja-JP"/>
        </w:rPr>
        <w:t>tumördiameter &gt; 10 cm och oavsett mitosantal eller oavsett tumörstorlek med mitosantal &gt; 10/50 HPF</w:t>
      </w:r>
      <w:r>
        <w:rPr>
          <w:rFonts w:eastAsia="MS Mincho"/>
          <w:iCs/>
          <w:szCs w:val="22"/>
          <w:lang w:val="sv-SE" w:eastAsia="ja-JP"/>
        </w:rPr>
        <w:t xml:space="preserve"> eller tumörer som brustit in i bukhålan. Sammanlagt 397 patienter hade samtyckt och randomiserats till studien (199 patienter i 12-månadersarmen och 198</w:t>
      </w:r>
      <w:r w:rsidRPr="001713FB">
        <w:rPr>
          <w:rFonts w:eastAsia="MS Mincho"/>
          <w:lang w:val="sv-SE"/>
        </w:rPr>
        <w:t> patienter i 36-månadersarmen), medianåldern var 61 år</w:t>
      </w:r>
      <w:r>
        <w:rPr>
          <w:rFonts w:eastAsia="MS Mincho"/>
          <w:lang w:val="sv-SE"/>
        </w:rPr>
        <w:t xml:space="preserve"> (intervall 22 till 84 år). Mediantiden för uppföljning var 54 månader (från randomiseringsdatum till sista data) med totalt 83 månader mellan randomisering av första patient till avbrytande.</w:t>
      </w:r>
    </w:p>
    <w:p w14:paraId="5E141A61" w14:textId="77777777" w:rsidR="00311830" w:rsidRPr="00217392" w:rsidRDefault="00311830" w:rsidP="00463647">
      <w:pPr>
        <w:widowControl w:val="0"/>
        <w:tabs>
          <w:tab w:val="clear" w:pos="567"/>
        </w:tabs>
        <w:spacing w:line="240" w:lineRule="auto"/>
        <w:rPr>
          <w:rFonts w:eastAsia="MS Mincho"/>
          <w:szCs w:val="22"/>
          <w:lang w:val="sv-SE" w:eastAsia="ja-JP"/>
        </w:rPr>
      </w:pPr>
    </w:p>
    <w:p w14:paraId="4444E962" w14:textId="77777777" w:rsidR="00311830" w:rsidRPr="001713FB" w:rsidRDefault="00311830" w:rsidP="00463647">
      <w:pPr>
        <w:widowControl w:val="0"/>
        <w:tabs>
          <w:tab w:val="clear" w:pos="567"/>
        </w:tabs>
        <w:spacing w:line="240" w:lineRule="auto"/>
        <w:rPr>
          <w:rFonts w:eastAsia="MS Mincho"/>
          <w:szCs w:val="22"/>
          <w:lang w:val="sv-SE" w:eastAsia="ja-JP"/>
        </w:rPr>
      </w:pPr>
      <w:r>
        <w:rPr>
          <w:rFonts w:eastAsia="MS Mincho"/>
          <w:szCs w:val="22"/>
          <w:lang w:val="sv-SE" w:eastAsia="ja-JP"/>
        </w:rPr>
        <w:t>Studiens primära endpoint</w:t>
      </w:r>
      <w:r w:rsidRPr="001713FB">
        <w:rPr>
          <w:rFonts w:eastAsia="MS Mincho"/>
          <w:szCs w:val="22"/>
          <w:lang w:val="sv-SE" w:eastAsia="ja-JP"/>
        </w:rPr>
        <w:t xml:space="preserve"> var </w:t>
      </w:r>
      <w:r>
        <w:rPr>
          <w:rFonts w:eastAsia="MS Mincho"/>
          <w:szCs w:val="22"/>
          <w:lang w:val="sv-SE" w:eastAsia="ja-JP"/>
        </w:rPr>
        <w:t xml:space="preserve">återfallsfri </w:t>
      </w:r>
      <w:r w:rsidRPr="00026973">
        <w:rPr>
          <w:rFonts w:eastAsia="MS Mincho"/>
          <w:szCs w:val="22"/>
          <w:lang w:val="sv-SE" w:eastAsia="ja-JP"/>
        </w:rPr>
        <w:t>överlevnad (RFS), definierad</w:t>
      </w:r>
      <w:r>
        <w:rPr>
          <w:rFonts w:eastAsia="MS Mincho"/>
          <w:szCs w:val="22"/>
          <w:lang w:val="sv-SE" w:eastAsia="ja-JP"/>
        </w:rPr>
        <w:t xml:space="preserve"> som tiden från randomiseringsdagen till dagen för återfall eller död oavsett orsak.</w:t>
      </w:r>
    </w:p>
    <w:p w14:paraId="22BA2EE4" w14:textId="77777777" w:rsidR="00311830" w:rsidRDefault="00311830" w:rsidP="00463647">
      <w:pPr>
        <w:widowControl w:val="0"/>
        <w:tabs>
          <w:tab w:val="clear" w:pos="567"/>
        </w:tabs>
        <w:spacing w:line="240" w:lineRule="auto"/>
        <w:rPr>
          <w:rFonts w:eastAsia="MS Mincho"/>
          <w:szCs w:val="22"/>
          <w:lang w:val="sv-SE" w:eastAsia="ja-JP"/>
        </w:rPr>
      </w:pPr>
    </w:p>
    <w:p w14:paraId="5BA5B5F2" w14:textId="77777777" w:rsidR="00311830" w:rsidRDefault="00311830" w:rsidP="00463647">
      <w:pPr>
        <w:widowControl w:val="0"/>
        <w:tabs>
          <w:tab w:val="clear" w:pos="567"/>
        </w:tabs>
        <w:spacing w:line="240" w:lineRule="auto"/>
        <w:rPr>
          <w:rFonts w:eastAsia="MS Mincho"/>
          <w:iCs/>
          <w:color w:val="000000"/>
          <w:szCs w:val="22"/>
          <w:lang w:val="sv-SE" w:eastAsia="ja-JP"/>
        </w:rPr>
      </w:pPr>
      <w:r>
        <w:rPr>
          <w:rFonts w:eastAsia="MS Mincho"/>
          <w:szCs w:val="22"/>
          <w:lang w:val="sv-SE" w:eastAsia="ja-JP"/>
        </w:rPr>
        <w:t xml:space="preserve">Trettiosex (36) månaders behandling med Glivec </w:t>
      </w:r>
      <w:r w:rsidRPr="00026973">
        <w:rPr>
          <w:rFonts w:eastAsia="MS Mincho"/>
          <w:szCs w:val="22"/>
          <w:lang w:val="sv-SE" w:eastAsia="ja-JP"/>
        </w:rPr>
        <w:t>förlängde signifikant RFS jämfört med 12</w:t>
      </w:r>
      <w:r w:rsidR="00ED2631">
        <w:rPr>
          <w:rFonts w:eastAsia="MS Mincho"/>
          <w:szCs w:val="22"/>
          <w:lang w:val="sv-SE" w:eastAsia="ja-JP"/>
        </w:rPr>
        <w:t xml:space="preserve"> </w:t>
      </w:r>
      <w:r w:rsidRPr="00026973">
        <w:rPr>
          <w:rFonts w:eastAsia="MS Mincho"/>
          <w:szCs w:val="22"/>
          <w:lang w:val="sv-SE" w:eastAsia="ja-JP"/>
        </w:rPr>
        <w:t xml:space="preserve">månaders behandling med Glivec (hazard ratio (HR) = </w:t>
      </w:r>
      <w:r w:rsidRPr="00026973">
        <w:rPr>
          <w:rFonts w:eastAsia="MS Mincho"/>
          <w:iCs/>
          <w:color w:val="000000"/>
          <w:szCs w:val="22"/>
          <w:lang w:val="sv-SE" w:eastAsia="ja-JP"/>
        </w:rPr>
        <w:t>0,46 [0,32-0,65], p&lt;0</w:t>
      </w:r>
      <w:r w:rsidR="00AF65EE">
        <w:rPr>
          <w:rFonts w:eastAsia="MS Mincho"/>
          <w:iCs/>
          <w:color w:val="000000"/>
          <w:szCs w:val="22"/>
          <w:lang w:val="sv-SE" w:eastAsia="ja-JP"/>
        </w:rPr>
        <w:t>,</w:t>
      </w:r>
      <w:r w:rsidRPr="00026973">
        <w:rPr>
          <w:rFonts w:eastAsia="MS Mincho"/>
          <w:iCs/>
          <w:color w:val="000000"/>
          <w:szCs w:val="22"/>
          <w:lang w:val="sv-SE" w:eastAsia="ja-JP"/>
        </w:rPr>
        <w:t>0001</w:t>
      </w:r>
      <w:r w:rsidR="00C22B3A">
        <w:rPr>
          <w:rFonts w:eastAsia="MS Mincho"/>
          <w:iCs/>
          <w:color w:val="000000"/>
          <w:szCs w:val="22"/>
          <w:lang w:val="sv-SE" w:eastAsia="ja-JP"/>
        </w:rPr>
        <w:t>)</w:t>
      </w:r>
      <w:r w:rsidR="00BD063A">
        <w:rPr>
          <w:rFonts w:eastAsia="MS Mincho"/>
          <w:iCs/>
          <w:color w:val="000000"/>
          <w:szCs w:val="22"/>
          <w:lang w:val="sv-SE" w:eastAsia="ja-JP"/>
        </w:rPr>
        <w:t xml:space="preserve"> (Tabell</w:t>
      </w:r>
      <w:r w:rsidR="00C22B3A">
        <w:rPr>
          <w:rFonts w:eastAsia="MS Mincho"/>
          <w:iCs/>
          <w:color w:val="000000"/>
          <w:szCs w:val="22"/>
          <w:lang w:val="sv-SE" w:eastAsia="ja-JP"/>
        </w:rPr>
        <w:t> </w:t>
      </w:r>
      <w:r w:rsidR="007F2DDD">
        <w:rPr>
          <w:rFonts w:eastAsia="MS Mincho"/>
          <w:iCs/>
          <w:color w:val="000000"/>
          <w:szCs w:val="22"/>
          <w:lang w:val="sv-SE" w:eastAsia="ja-JP"/>
        </w:rPr>
        <w:t>8</w:t>
      </w:r>
      <w:r w:rsidR="00BD063A">
        <w:rPr>
          <w:rFonts w:eastAsia="MS Mincho"/>
          <w:iCs/>
          <w:color w:val="000000"/>
          <w:szCs w:val="22"/>
          <w:lang w:val="sv-SE" w:eastAsia="ja-JP"/>
        </w:rPr>
        <w:t>, Figur</w:t>
      </w:r>
      <w:r w:rsidR="00C22B3A">
        <w:rPr>
          <w:rFonts w:eastAsia="MS Mincho"/>
          <w:iCs/>
          <w:color w:val="000000"/>
          <w:szCs w:val="22"/>
          <w:lang w:val="sv-SE" w:eastAsia="ja-JP"/>
        </w:rPr>
        <w:t> </w:t>
      </w:r>
      <w:r w:rsidR="00BD063A">
        <w:rPr>
          <w:rFonts w:eastAsia="MS Mincho"/>
          <w:iCs/>
          <w:color w:val="000000"/>
          <w:szCs w:val="22"/>
          <w:lang w:val="sv-SE" w:eastAsia="ja-JP"/>
        </w:rPr>
        <w:t>1)</w:t>
      </w:r>
      <w:r w:rsidRPr="00026973">
        <w:rPr>
          <w:rFonts w:eastAsia="MS Mincho"/>
          <w:iCs/>
          <w:color w:val="000000"/>
          <w:szCs w:val="22"/>
          <w:lang w:val="sv-SE" w:eastAsia="ja-JP"/>
        </w:rPr>
        <w:t>.</w:t>
      </w:r>
    </w:p>
    <w:p w14:paraId="7F41EBF0" w14:textId="77777777" w:rsidR="00311830" w:rsidRPr="0093797A" w:rsidRDefault="00311830" w:rsidP="00463647">
      <w:pPr>
        <w:widowControl w:val="0"/>
        <w:tabs>
          <w:tab w:val="clear" w:pos="567"/>
        </w:tabs>
        <w:spacing w:line="240" w:lineRule="auto"/>
        <w:rPr>
          <w:rFonts w:eastAsia="MS Mincho"/>
          <w:szCs w:val="22"/>
          <w:lang w:val="sv-SE" w:eastAsia="ja-JP"/>
        </w:rPr>
      </w:pPr>
    </w:p>
    <w:p w14:paraId="1F054D07" w14:textId="77777777" w:rsidR="00302217" w:rsidRDefault="00311830" w:rsidP="00463647">
      <w:pPr>
        <w:widowControl w:val="0"/>
        <w:tabs>
          <w:tab w:val="clear" w:pos="567"/>
        </w:tabs>
        <w:spacing w:line="240" w:lineRule="auto"/>
        <w:rPr>
          <w:rFonts w:eastAsia="MS Mincho"/>
          <w:iCs/>
          <w:color w:val="000000"/>
          <w:szCs w:val="22"/>
          <w:lang w:val="sv-SE" w:eastAsia="ja-JP"/>
        </w:rPr>
      </w:pPr>
      <w:r w:rsidRPr="00E73977">
        <w:rPr>
          <w:rFonts w:eastAsia="MS Mincho"/>
          <w:iCs/>
          <w:szCs w:val="22"/>
          <w:lang w:val="sv-SE" w:eastAsia="ja-JP"/>
        </w:rPr>
        <w:t>Dessutom förlängde 36-månaders behandling med Glivec signifikant</w:t>
      </w:r>
      <w:r>
        <w:rPr>
          <w:rFonts w:eastAsia="MS Mincho"/>
          <w:iCs/>
          <w:szCs w:val="22"/>
          <w:lang w:val="sv-SE" w:eastAsia="ja-JP"/>
        </w:rPr>
        <w:t xml:space="preserve"> den totala överlevnaden (OS) jämfört med 12-månaders behandling med Glivec (HR = </w:t>
      </w:r>
      <w:r>
        <w:rPr>
          <w:rFonts w:eastAsia="MS Mincho"/>
          <w:iCs/>
          <w:color w:val="000000"/>
          <w:szCs w:val="22"/>
          <w:lang w:val="sv-SE" w:eastAsia="ja-JP"/>
        </w:rPr>
        <w:t>0,45 [0</w:t>
      </w:r>
      <w:r w:rsidR="00DD7883">
        <w:rPr>
          <w:rFonts w:eastAsia="MS Mincho"/>
          <w:iCs/>
          <w:color w:val="000000"/>
          <w:szCs w:val="22"/>
          <w:lang w:val="sv-SE" w:eastAsia="ja-JP"/>
        </w:rPr>
        <w:t>,</w:t>
      </w:r>
      <w:r>
        <w:rPr>
          <w:rFonts w:eastAsia="MS Mincho"/>
          <w:iCs/>
          <w:color w:val="000000"/>
          <w:szCs w:val="22"/>
          <w:lang w:val="sv-SE" w:eastAsia="ja-JP"/>
        </w:rPr>
        <w:t>22-0</w:t>
      </w:r>
      <w:r w:rsidR="00DD7883">
        <w:rPr>
          <w:rFonts w:eastAsia="MS Mincho"/>
          <w:iCs/>
          <w:color w:val="000000"/>
          <w:szCs w:val="22"/>
          <w:lang w:val="sv-SE" w:eastAsia="ja-JP"/>
        </w:rPr>
        <w:t>,</w:t>
      </w:r>
      <w:r>
        <w:rPr>
          <w:rFonts w:eastAsia="MS Mincho"/>
          <w:iCs/>
          <w:color w:val="000000"/>
          <w:szCs w:val="22"/>
          <w:lang w:val="sv-SE" w:eastAsia="ja-JP"/>
        </w:rPr>
        <w:t>89], p=0</w:t>
      </w:r>
      <w:r w:rsidR="00DD7883">
        <w:rPr>
          <w:rFonts w:eastAsia="MS Mincho"/>
          <w:iCs/>
          <w:color w:val="000000"/>
          <w:szCs w:val="22"/>
          <w:lang w:val="sv-SE" w:eastAsia="ja-JP"/>
        </w:rPr>
        <w:t>,</w:t>
      </w:r>
      <w:r>
        <w:rPr>
          <w:rFonts w:eastAsia="MS Mincho"/>
          <w:iCs/>
          <w:color w:val="000000"/>
          <w:szCs w:val="22"/>
          <w:lang w:val="sv-SE" w:eastAsia="ja-JP"/>
        </w:rPr>
        <w:t>0187) (Tabell</w:t>
      </w:r>
      <w:r w:rsidRPr="00E73977">
        <w:rPr>
          <w:rFonts w:eastAsia="MS Mincho"/>
          <w:color w:val="000000"/>
          <w:szCs w:val="22"/>
          <w:lang w:val="sv-SE" w:eastAsia="ja-JP"/>
        </w:rPr>
        <w:t> </w:t>
      </w:r>
      <w:r w:rsidR="007F2DDD">
        <w:rPr>
          <w:rFonts w:eastAsia="MS Mincho"/>
          <w:iCs/>
          <w:color w:val="000000"/>
          <w:szCs w:val="22"/>
          <w:lang w:val="sv-SE" w:eastAsia="ja-JP"/>
        </w:rPr>
        <w:t>8</w:t>
      </w:r>
      <w:r>
        <w:rPr>
          <w:rFonts w:eastAsia="MS Mincho"/>
          <w:iCs/>
          <w:color w:val="000000"/>
          <w:szCs w:val="22"/>
          <w:lang w:val="sv-SE" w:eastAsia="ja-JP"/>
        </w:rPr>
        <w:t>, Figur</w:t>
      </w:r>
      <w:r w:rsidRPr="00E73977">
        <w:rPr>
          <w:rFonts w:eastAsia="MS Mincho"/>
          <w:iCs/>
          <w:color w:val="000000"/>
          <w:szCs w:val="22"/>
          <w:lang w:val="sv-SE" w:eastAsia="ja-JP"/>
        </w:rPr>
        <w:t> 2).</w:t>
      </w:r>
    </w:p>
    <w:p w14:paraId="2968BC51" w14:textId="77777777" w:rsidR="00302217" w:rsidRDefault="00302217" w:rsidP="00463647">
      <w:pPr>
        <w:widowControl w:val="0"/>
        <w:tabs>
          <w:tab w:val="clear" w:pos="567"/>
        </w:tabs>
        <w:spacing w:line="240" w:lineRule="auto"/>
        <w:rPr>
          <w:rFonts w:eastAsia="MS Mincho"/>
          <w:iCs/>
          <w:color w:val="000000"/>
          <w:szCs w:val="22"/>
          <w:lang w:val="sv-SE" w:eastAsia="ja-JP"/>
        </w:rPr>
      </w:pPr>
    </w:p>
    <w:p w14:paraId="320D40CD" w14:textId="77777777" w:rsidR="00302217" w:rsidRDefault="00302217" w:rsidP="00463647">
      <w:pPr>
        <w:widowControl w:val="0"/>
        <w:tabs>
          <w:tab w:val="clear" w:pos="567"/>
        </w:tabs>
        <w:spacing w:line="240" w:lineRule="auto"/>
        <w:rPr>
          <w:rFonts w:eastAsia="MS Mincho"/>
          <w:iCs/>
          <w:color w:val="000000"/>
          <w:szCs w:val="22"/>
          <w:lang w:val="sv-SE" w:eastAsia="ja-JP"/>
        </w:rPr>
      </w:pPr>
      <w:r w:rsidRPr="00C22B3A">
        <w:rPr>
          <w:rFonts w:eastAsia="MS Mincho"/>
          <w:iCs/>
          <w:color w:val="000000"/>
          <w:szCs w:val="22"/>
          <w:lang w:val="sv-SE" w:eastAsia="ja-JP"/>
        </w:rPr>
        <w:t>En förlängd behandlingstid (&gt; 36</w:t>
      </w:r>
      <w:r w:rsidR="00C22B3A">
        <w:rPr>
          <w:rFonts w:eastAsia="MS Mincho"/>
          <w:iCs/>
          <w:color w:val="000000"/>
          <w:szCs w:val="22"/>
          <w:lang w:val="sv-SE" w:eastAsia="ja-JP"/>
        </w:rPr>
        <w:t> </w:t>
      </w:r>
      <w:r w:rsidRPr="00C22B3A">
        <w:rPr>
          <w:rFonts w:eastAsia="MS Mincho"/>
          <w:iCs/>
          <w:color w:val="000000"/>
          <w:szCs w:val="22"/>
          <w:lang w:val="sv-SE" w:eastAsia="ja-JP"/>
        </w:rPr>
        <w:t>månader) kan fördröja uppkomsten av ytterligare återfall, men effekterna av denna observation på den totala överlevnaden är fortfarande okänd.</w:t>
      </w:r>
    </w:p>
    <w:p w14:paraId="417BB5FD" w14:textId="77777777" w:rsidR="00302217" w:rsidRDefault="00302217" w:rsidP="00463647">
      <w:pPr>
        <w:widowControl w:val="0"/>
        <w:tabs>
          <w:tab w:val="clear" w:pos="567"/>
        </w:tabs>
        <w:spacing w:line="240" w:lineRule="auto"/>
        <w:rPr>
          <w:rFonts w:eastAsia="MS Mincho"/>
          <w:iCs/>
          <w:color w:val="000000"/>
          <w:szCs w:val="22"/>
          <w:lang w:val="sv-SE" w:eastAsia="ja-JP"/>
        </w:rPr>
      </w:pPr>
    </w:p>
    <w:p w14:paraId="4201899F" w14:textId="77777777" w:rsidR="00311830" w:rsidRDefault="00311830" w:rsidP="00463647">
      <w:pPr>
        <w:widowControl w:val="0"/>
        <w:tabs>
          <w:tab w:val="clear" w:pos="567"/>
        </w:tabs>
        <w:spacing w:line="240" w:lineRule="auto"/>
        <w:rPr>
          <w:rFonts w:eastAsia="MS Mincho"/>
          <w:iCs/>
          <w:color w:val="000000"/>
          <w:szCs w:val="22"/>
          <w:lang w:val="sv-SE" w:eastAsia="ja-JP"/>
        </w:rPr>
      </w:pPr>
      <w:r>
        <w:rPr>
          <w:rFonts w:eastAsia="MS Mincho"/>
          <w:iCs/>
          <w:color w:val="000000"/>
          <w:szCs w:val="22"/>
          <w:lang w:val="sv-SE" w:eastAsia="ja-JP"/>
        </w:rPr>
        <w:t>Totala antalet dödsfall var 25 för 12-månader behandlingsarmen och 12 för 36-månader behandlingsarmen.</w:t>
      </w:r>
    </w:p>
    <w:p w14:paraId="50096304" w14:textId="77777777" w:rsidR="00CC4D8C" w:rsidRDefault="00CC4D8C" w:rsidP="00463647">
      <w:pPr>
        <w:widowControl w:val="0"/>
        <w:tabs>
          <w:tab w:val="clear" w:pos="567"/>
        </w:tabs>
        <w:spacing w:line="240" w:lineRule="auto"/>
        <w:rPr>
          <w:rFonts w:eastAsia="MS Mincho"/>
          <w:iCs/>
          <w:color w:val="000000"/>
          <w:szCs w:val="22"/>
          <w:lang w:val="sv-SE" w:eastAsia="ja-JP"/>
        </w:rPr>
      </w:pPr>
    </w:p>
    <w:p w14:paraId="13286A85" w14:textId="77777777" w:rsidR="00CC4D8C" w:rsidRPr="00E73977" w:rsidRDefault="00CC4D8C" w:rsidP="00463647">
      <w:pPr>
        <w:widowControl w:val="0"/>
        <w:tabs>
          <w:tab w:val="clear" w:pos="567"/>
        </w:tabs>
        <w:spacing w:line="240" w:lineRule="auto"/>
        <w:rPr>
          <w:rFonts w:eastAsia="MS Mincho"/>
          <w:iCs/>
          <w:szCs w:val="22"/>
          <w:lang w:val="sv-SE" w:eastAsia="ja-JP"/>
        </w:rPr>
      </w:pPr>
      <w:r w:rsidRPr="00C22B3A">
        <w:rPr>
          <w:rFonts w:eastAsia="MS Mincho"/>
          <w:iCs/>
          <w:color w:val="000000"/>
          <w:szCs w:val="22"/>
          <w:lang w:val="sv-SE" w:eastAsia="ja-JP"/>
        </w:rPr>
        <w:t>Behandling med imatinib i 36 månader var överlägsen behandling i 12 månader enligt ITT-analysen, d.v.s. hela studiepopulationen</w:t>
      </w:r>
      <w:r w:rsidR="00871C42" w:rsidRPr="00C22B3A">
        <w:rPr>
          <w:rFonts w:eastAsia="MS Mincho"/>
          <w:iCs/>
          <w:color w:val="000000"/>
          <w:szCs w:val="22"/>
          <w:lang w:val="sv-SE" w:eastAsia="ja-JP"/>
        </w:rPr>
        <w:t xml:space="preserve"> inkluderad</w:t>
      </w:r>
      <w:r w:rsidRPr="00C22B3A">
        <w:rPr>
          <w:rFonts w:eastAsia="MS Mincho"/>
          <w:iCs/>
          <w:color w:val="000000"/>
          <w:szCs w:val="22"/>
          <w:lang w:val="sv-SE" w:eastAsia="ja-JP"/>
        </w:rPr>
        <w:t>. I en planerad subgruppsanalys baserad på muta</w:t>
      </w:r>
      <w:r w:rsidR="00464CD0" w:rsidRPr="00C22B3A">
        <w:rPr>
          <w:rFonts w:eastAsia="MS Mincho"/>
          <w:iCs/>
          <w:color w:val="000000"/>
          <w:szCs w:val="22"/>
          <w:lang w:val="sv-SE" w:eastAsia="ja-JP"/>
        </w:rPr>
        <w:t>tionstyp, var HR för RFS för 36-</w:t>
      </w:r>
      <w:r w:rsidRPr="00C22B3A">
        <w:rPr>
          <w:rFonts w:eastAsia="MS Mincho"/>
          <w:iCs/>
          <w:color w:val="000000"/>
          <w:szCs w:val="22"/>
          <w:lang w:val="sv-SE" w:eastAsia="ja-JP"/>
        </w:rPr>
        <w:t>månaders behandling av patien</w:t>
      </w:r>
      <w:r w:rsidR="00871C42" w:rsidRPr="00C22B3A">
        <w:rPr>
          <w:rFonts w:eastAsia="MS Mincho"/>
          <w:iCs/>
          <w:color w:val="000000"/>
          <w:szCs w:val="22"/>
          <w:lang w:val="sv-SE" w:eastAsia="ja-JP"/>
        </w:rPr>
        <w:t xml:space="preserve">ter med mutationer i exon 11 </w:t>
      </w:r>
      <w:r w:rsidRPr="00C22B3A">
        <w:rPr>
          <w:rFonts w:eastAsia="MS Mincho"/>
          <w:iCs/>
          <w:color w:val="000000"/>
          <w:szCs w:val="22"/>
          <w:lang w:val="sv-SE" w:eastAsia="ja-JP"/>
        </w:rPr>
        <w:t>0,35</w:t>
      </w:r>
      <w:r w:rsidR="00464CD0" w:rsidRPr="00C22B3A">
        <w:rPr>
          <w:rFonts w:eastAsia="MS Mincho"/>
          <w:iCs/>
          <w:color w:val="000000"/>
          <w:szCs w:val="22"/>
          <w:lang w:val="sv-SE" w:eastAsia="ja-JP"/>
        </w:rPr>
        <w:t xml:space="preserve"> </w:t>
      </w:r>
      <w:r w:rsidRPr="00C22B3A">
        <w:rPr>
          <w:rFonts w:eastAsia="MS Mincho"/>
          <w:iCs/>
          <w:color w:val="000000"/>
          <w:szCs w:val="22"/>
          <w:lang w:val="sv-SE" w:eastAsia="ja-JP"/>
        </w:rPr>
        <w:t>[95</w:t>
      </w:r>
      <w:r w:rsidR="00EE4765">
        <w:rPr>
          <w:rFonts w:eastAsia="MS Mincho"/>
          <w:iCs/>
          <w:color w:val="000000"/>
          <w:szCs w:val="22"/>
          <w:lang w:val="sv-SE" w:eastAsia="ja-JP"/>
        </w:rPr>
        <w:t> </w:t>
      </w:r>
      <w:r w:rsidRPr="00C22B3A">
        <w:rPr>
          <w:rFonts w:eastAsia="MS Mincho"/>
          <w:iCs/>
          <w:color w:val="000000"/>
          <w:szCs w:val="22"/>
          <w:lang w:val="sv-SE" w:eastAsia="ja-JP"/>
        </w:rPr>
        <w:t xml:space="preserve">% </w:t>
      </w:r>
      <w:r w:rsidR="007A04BC">
        <w:rPr>
          <w:rFonts w:eastAsia="MS Mincho"/>
          <w:iCs/>
          <w:color w:val="000000"/>
          <w:szCs w:val="22"/>
          <w:lang w:val="sv-SE" w:eastAsia="ja-JP"/>
        </w:rPr>
        <w:t>K</w:t>
      </w:r>
      <w:r w:rsidRPr="00C22B3A">
        <w:rPr>
          <w:rFonts w:eastAsia="MS Mincho"/>
          <w:iCs/>
          <w:color w:val="000000"/>
          <w:szCs w:val="22"/>
          <w:lang w:val="sv-SE" w:eastAsia="ja-JP"/>
        </w:rPr>
        <w:t>I:</w:t>
      </w:r>
      <w:r w:rsidR="00464CD0" w:rsidRPr="00C22B3A">
        <w:rPr>
          <w:rFonts w:eastAsia="MS Mincho"/>
          <w:iCs/>
          <w:color w:val="000000"/>
          <w:szCs w:val="22"/>
          <w:lang w:val="sv-SE" w:eastAsia="ja-JP"/>
        </w:rPr>
        <w:t xml:space="preserve"> </w:t>
      </w:r>
      <w:r w:rsidRPr="00C22B3A">
        <w:rPr>
          <w:rFonts w:eastAsia="MS Mincho"/>
          <w:iCs/>
          <w:color w:val="000000"/>
          <w:szCs w:val="22"/>
          <w:lang w:val="sv-SE" w:eastAsia="ja-JP"/>
        </w:rPr>
        <w:t>0,22, 0,56]. Inga slutsatser kan dras för andra mindre vanliga mutationsundergrupper på grund av det låga antalet observerade händelser.</w:t>
      </w:r>
    </w:p>
    <w:p w14:paraId="108B3088" w14:textId="77777777" w:rsidR="00CC4D8C" w:rsidRPr="00A30231" w:rsidRDefault="00CC4D8C" w:rsidP="00463647">
      <w:pPr>
        <w:widowControl w:val="0"/>
        <w:tabs>
          <w:tab w:val="clear" w:pos="567"/>
        </w:tabs>
        <w:spacing w:line="240" w:lineRule="auto"/>
        <w:rPr>
          <w:rFonts w:eastAsia="MS Mincho"/>
          <w:iCs/>
          <w:szCs w:val="22"/>
          <w:lang w:val="sv-SE" w:eastAsia="ja-JP"/>
        </w:rPr>
      </w:pPr>
    </w:p>
    <w:p w14:paraId="46D19E6F" w14:textId="77777777" w:rsidR="00311830" w:rsidRPr="00E73977" w:rsidRDefault="00311830" w:rsidP="00463647">
      <w:pPr>
        <w:keepNext/>
        <w:keepLines/>
        <w:widowControl w:val="0"/>
        <w:tabs>
          <w:tab w:val="clear" w:pos="567"/>
        </w:tabs>
        <w:spacing w:line="240" w:lineRule="auto"/>
        <w:ind w:left="1134" w:hanging="1134"/>
        <w:rPr>
          <w:rFonts w:eastAsia="MS Mincho"/>
          <w:b/>
          <w:szCs w:val="22"/>
          <w:lang w:val="sv-SE" w:eastAsia="ja-JP"/>
        </w:rPr>
      </w:pPr>
      <w:r w:rsidRPr="00E73977">
        <w:rPr>
          <w:rFonts w:eastAsia="MS Mincho"/>
          <w:b/>
          <w:szCs w:val="22"/>
          <w:lang w:val="sv-SE"/>
        </w:rPr>
        <w:lastRenderedPageBreak/>
        <w:t>Tabell </w:t>
      </w:r>
      <w:r w:rsidR="007F2DDD">
        <w:rPr>
          <w:rFonts w:eastAsia="MS Mincho"/>
          <w:b/>
          <w:szCs w:val="22"/>
          <w:lang w:val="sv-SE"/>
        </w:rPr>
        <w:t>8</w:t>
      </w:r>
      <w:r w:rsidRPr="00E73977">
        <w:rPr>
          <w:rFonts w:eastAsia="MS Mincho"/>
          <w:szCs w:val="22"/>
          <w:lang w:val="sv-SE"/>
        </w:rPr>
        <w:tab/>
      </w:r>
      <w:r w:rsidRPr="00E73977">
        <w:rPr>
          <w:rFonts w:eastAsia="MS Mincho"/>
          <w:b/>
          <w:szCs w:val="22"/>
          <w:lang w:val="sv-SE" w:eastAsia="ja-JP"/>
        </w:rPr>
        <w:t xml:space="preserve">12-månaders och 36-månaders </w:t>
      </w:r>
      <w:r>
        <w:rPr>
          <w:rFonts w:eastAsia="MS Mincho"/>
          <w:b/>
          <w:szCs w:val="22"/>
          <w:lang w:val="sv-SE" w:eastAsia="ja-JP"/>
        </w:rPr>
        <w:t xml:space="preserve">behandling med </w:t>
      </w:r>
      <w:r w:rsidRPr="00E73977">
        <w:rPr>
          <w:rFonts w:eastAsia="MS Mincho"/>
          <w:b/>
          <w:szCs w:val="22"/>
          <w:lang w:val="sv-SE" w:eastAsia="ja-JP"/>
        </w:rPr>
        <w:t>Glivec</w:t>
      </w:r>
      <w:r>
        <w:rPr>
          <w:rFonts w:eastAsia="MS Mincho"/>
          <w:b/>
          <w:szCs w:val="22"/>
          <w:lang w:val="sv-SE" w:eastAsia="ja-JP"/>
        </w:rPr>
        <w:t xml:space="preserve"> (SSGXVIII/AIO prövning</w:t>
      </w:r>
      <w:r w:rsidRPr="00E73977">
        <w:rPr>
          <w:rFonts w:eastAsia="MS Mincho"/>
          <w:b/>
          <w:szCs w:val="22"/>
          <w:lang w:val="sv-SE" w:eastAsia="ja-JP"/>
        </w:rPr>
        <w:t>)</w:t>
      </w:r>
    </w:p>
    <w:p w14:paraId="72B7D7AC" w14:textId="77777777" w:rsidR="00311830" w:rsidRPr="00E73977" w:rsidRDefault="00311830" w:rsidP="00463647">
      <w:pPr>
        <w:keepNext/>
        <w:keepLines/>
        <w:widowControl w:val="0"/>
        <w:tabs>
          <w:tab w:val="clear" w:pos="567"/>
        </w:tabs>
        <w:spacing w:line="240" w:lineRule="auto"/>
        <w:rPr>
          <w:rFonts w:eastAsia="MS Mincho"/>
          <w:szCs w:val="22"/>
          <w:lang w:val="sv-SE"/>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2802"/>
        <w:gridCol w:w="3118"/>
        <w:gridCol w:w="3100"/>
      </w:tblGrid>
      <w:tr w:rsidR="00311830" w:rsidRPr="0026348F" w14:paraId="4B49E542" w14:textId="77777777" w:rsidTr="00C81D6E">
        <w:trPr>
          <w:cantSplit/>
        </w:trPr>
        <w:tc>
          <w:tcPr>
            <w:tcW w:w="2802" w:type="dxa"/>
            <w:tcBorders>
              <w:top w:val="single" w:sz="4" w:space="0" w:color="auto"/>
              <w:bottom w:val="nil"/>
            </w:tcBorders>
            <w:shd w:val="clear" w:color="auto" w:fill="auto"/>
          </w:tcPr>
          <w:p w14:paraId="11D9C90A" w14:textId="77777777" w:rsidR="00311830" w:rsidRPr="00E73977" w:rsidRDefault="00311830" w:rsidP="00463647">
            <w:pPr>
              <w:keepNext/>
              <w:keepLines/>
              <w:widowControl w:val="0"/>
              <w:tabs>
                <w:tab w:val="clear" w:pos="567"/>
                <w:tab w:val="left" w:pos="284"/>
              </w:tabs>
              <w:spacing w:line="240" w:lineRule="auto"/>
              <w:rPr>
                <w:rFonts w:eastAsia="MS Mincho"/>
                <w:szCs w:val="22"/>
                <w:lang w:val="sv-SE"/>
              </w:rPr>
            </w:pPr>
          </w:p>
        </w:tc>
        <w:tc>
          <w:tcPr>
            <w:tcW w:w="3118" w:type="dxa"/>
            <w:tcBorders>
              <w:top w:val="single" w:sz="4" w:space="0" w:color="auto"/>
              <w:bottom w:val="nil"/>
            </w:tcBorders>
            <w:shd w:val="clear" w:color="auto" w:fill="auto"/>
          </w:tcPr>
          <w:p w14:paraId="6B02394E" w14:textId="77777777" w:rsidR="00311830" w:rsidRPr="0026348F" w:rsidRDefault="00311830"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12-månader</w:t>
            </w:r>
            <w:r w:rsidRPr="0026348F">
              <w:rPr>
                <w:rFonts w:eastAsia="MS Mincho"/>
                <w:b/>
                <w:szCs w:val="22"/>
                <w:lang w:val="en-US"/>
              </w:rPr>
              <w:t xml:space="preserve"> </w:t>
            </w:r>
            <w:r>
              <w:rPr>
                <w:rFonts w:eastAsia="MS Mincho"/>
                <w:b/>
                <w:szCs w:val="22"/>
                <w:lang w:val="en-US"/>
              </w:rPr>
              <w:t>behandlings</w:t>
            </w:r>
            <w:r w:rsidRPr="0026348F">
              <w:rPr>
                <w:rFonts w:eastAsia="MS Mincho"/>
                <w:b/>
                <w:szCs w:val="22"/>
                <w:lang w:val="en-US"/>
              </w:rPr>
              <w:t>arm</w:t>
            </w:r>
            <w:r>
              <w:rPr>
                <w:rFonts w:eastAsia="MS Mincho"/>
                <w:b/>
                <w:szCs w:val="22"/>
                <w:lang w:val="en-US"/>
              </w:rPr>
              <w:t>en</w:t>
            </w:r>
          </w:p>
        </w:tc>
        <w:tc>
          <w:tcPr>
            <w:tcW w:w="3100" w:type="dxa"/>
            <w:tcBorders>
              <w:top w:val="single" w:sz="4" w:space="0" w:color="auto"/>
              <w:bottom w:val="nil"/>
            </w:tcBorders>
            <w:shd w:val="clear" w:color="auto" w:fill="auto"/>
          </w:tcPr>
          <w:p w14:paraId="4F5D59C6" w14:textId="77777777" w:rsidR="00311830" w:rsidRPr="0026348F" w:rsidRDefault="00311830"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36-månader behandlings</w:t>
            </w:r>
            <w:r w:rsidRPr="0026348F">
              <w:rPr>
                <w:rFonts w:eastAsia="MS Mincho"/>
                <w:b/>
                <w:szCs w:val="22"/>
                <w:lang w:val="en-US"/>
              </w:rPr>
              <w:t>arm</w:t>
            </w:r>
            <w:r>
              <w:rPr>
                <w:rFonts w:eastAsia="MS Mincho"/>
                <w:b/>
                <w:szCs w:val="22"/>
                <w:lang w:val="en-US"/>
              </w:rPr>
              <w:t>en</w:t>
            </w:r>
          </w:p>
        </w:tc>
      </w:tr>
      <w:tr w:rsidR="00311830" w:rsidRPr="0026348F" w14:paraId="21BDD410" w14:textId="77777777" w:rsidTr="00C81D6E">
        <w:trPr>
          <w:cantSplit/>
        </w:trPr>
        <w:tc>
          <w:tcPr>
            <w:tcW w:w="2802" w:type="dxa"/>
            <w:tcBorders>
              <w:top w:val="nil"/>
            </w:tcBorders>
            <w:shd w:val="clear" w:color="auto" w:fill="auto"/>
          </w:tcPr>
          <w:p w14:paraId="6CECF721" w14:textId="77777777" w:rsidR="00311830" w:rsidRPr="0026348F" w:rsidRDefault="00311830" w:rsidP="00463647">
            <w:pPr>
              <w:keepNext/>
              <w:keepLines/>
              <w:widowControl w:val="0"/>
              <w:tabs>
                <w:tab w:val="clear" w:pos="567"/>
                <w:tab w:val="left" w:pos="284"/>
              </w:tabs>
              <w:spacing w:line="240" w:lineRule="auto"/>
              <w:rPr>
                <w:rFonts w:eastAsia="MS Mincho"/>
                <w:b/>
                <w:szCs w:val="22"/>
                <w:lang w:val="en-US"/>
              </w:rPr>
            </w:pPr>
            <w:r w:rsidRPr="0026348F">
              <w:rPr>
                <w:rFonts w:eastAsia="MS Mincho"/>
                <w:b/>
                <w:szCs w:val="22"/>
                <w:lang w:val="en-US"/>
              </w:rPr>
              <w:t>RFS</w:t>
            </w:r>
          </w:p>
        </w:tc>
        <w:tc>
          <w:tcPr>
            <w:tcW w:w="3118" w:type="dxa"/>
            <w:tcBorders>
              <w:top w:val="nil"/>
            </w:tcBorders>
            <w:shd w:val="clear" w:color="auto" w:fill="auto"/>
          </w:tcPr>
          <w:p w14:paraId="59D1AB3E" w14:textId="77777777" w:rsidR="00311830" w:rsidRPr="0026348F" w:rsidRDefault="00311830"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%(K</w:t>
            </w:r>
            <w:r w:rsidRPr="0026348F">
              <w:rPr>
                <w:rFonts w:eastAsia="MS Mincho"/>
                <w:b/>
                <w:szCs w:val="22"/>
                <w:lang w:val="en-US"/>
              </w:rPr>
              <w:t>I)</w:t>
            </w:r>
          </w:p>
        </w:tc>
        <w:tc>
          <w:tcPr>
            <w:tcW w:w="3100" w:type="dxa"/>
            <w:tcBorders>
              <w:top w:val="nil"/>
            </w:tcBorders>
            <w:shd w:val="clear" w:color="auto" w:fill="auto"/>
          </w:tcPr>
          <w:p w14:paraId="5BA345E9" w14:textId="77777777" w:rsidR="00311830" w:rsidRPr="0026348F" w:rsidRDefault="00311830"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w:t>
            </w:r>
            <w:r w:rsidR="00A55D49">
              <w:rPr>
                <w:rFonts w:eastAsia="MS Mincho"/>
                <w:b/>
                <w:szCs w:val="22"/>
                <w:lang w:val="en-US"/>
              </w:rPr>
              <w:t>K</w:t>
            </w:r>
            <w:r w:rsidRPr="0026348F">
              <w:rPr>
                <w:rFonts w:eastAsia="MS Mincho"/>
                <w:b/>
                <w:szCs w:val="22"/>
                <w:lang w:val="en-US"/>
              </w:rPr>
              <w:t>I)</w:t>
            </w:r>
          </w:p>
        </w:tc>
      </w:tr>
      <w:tr w:rsidR="00311830" w:rsidRPr="0026348F" w14:paraId="1CC48100" w14:textId="77777777" w:rsidTr="00C81D6E">
        <w:trPr>
          <w:cantSplit/>
        </w:trPr>
        <w:tc>
          <w:tcPr>
            <w:tcW w:w="2802" w:type="dxa"/>
            <w:shd w:val="clear" w:color="auto" w:fill="auto"/>
          </w:tcPr>
          <w:p w14:paraId="0A7D2A2E" w14:textId="77777777" w:rsidR="00311830" w:rsidRPr="0026348F" w:rsidRDefault="00311830"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12</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7EC7DB4F"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93,7 (89,</w:t>
            </w:r>
            <w:r w:rsidRPr="0026348F">
              <w:rPr>
                <w:rFonts w:eastAsia="MS Mincho"/>
                <w:szCs w:val="22"/>
                <w:lang w:val="en-US"/>
              </w:rPr>
              <w:t>2</w:t>
            </w:r>
            <w:r>
              <w:rPr>
                <w:rFonts w:eastAsia="MS Mincho"/>
                <w:szCs w:val="22"/>
                <w:lang w:val="en-US"/>
              </w:rPr>
              <w:noBreakHyphen/>
              <w:t>96,</w:t>
            </w:r>
            <w:r w:rsidRPr="0026348F">
              <w:rPr>
                <w:rFonts w:eastAsia="MS Mincho"/>
                <w:szCs w:val="22"/>
                <w:lang w:val="en-US"/>
              </w:rPr>
              <w:t>4)</w:t>
            </w:r>
          </w:p>
        </w:tc>
        <w:tc>
          <w:tcPr>
            <w:tcW w:w="3100" w:type="dxa"/>
            <w:shd w:val="clear" w:color="auto" w:fill="auto"/>
          </w:tcPr>
          <w:p w14:paraId="5435532B"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95,9 (91,</w:t>
            </w:r>
            <w:r w:rsidRPr="0026348F">
              <w:rPr>
                <w:rFonts w:eastAsia="MS Mincho"/>
                <w:szCs w:val="22"/>
                <w:lang w:val="en-US"/>
              </w:rPr>
              <w:t>9</w:t>
            </w:r>
            <w:r>
              <w:rPr>
                <w:rFonts w:eastAsia="MS Mincho"/>
                <w:szCs w:val="22"/>
                <w:lang w:val="en-US"/>
              </w:rPr>
              <w:noBreakHyphen/>
              <w:t>97,</w:t>
            </w:r>
            <w:r w:rsidRPr="0026348F">
              <w:rPr>
                <w:rFonts w:eastAsia="MS Mincho"/>
                <w:szCs w:val="22"/>
                <w:lang w:val="en-US"/>
              </w:rPr>
              <w:t>9)</w:t>
            </w:r>
          </w:p>
        </w:tc>
      </w:tr>
      <w:tr w:rsidR="00311830" w:rsidRPr="0026348F" w14:paraId="4666709E" w14:textId="77777777" w:rsidTr="00C81D6E">
        <w:trPr>
          <w:cantSplit/>
        </w:trPr>
        <w:tc>
          <w:tcPr>
            <w:tcW w:w="2802" w:type="dxa"/>
            <w:shd w:val="clear" w:color="auto" w:fill="auto"/>
          </w:tcPr>
          <w:p w14:paraId="39959173" w14:textId="77777777" w:rsidR="00311830" w:rsidRPr="0026348F" w:rsidRDefault="00311830"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24</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39F9C850"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75,4 (68,</w:t>
            </w:r>
            <w:r w:rsidRPr="0026348F">
              <w:rPr>
                <w:rFonts w:eastAsia="MS Mincho"/>
                <w:szCs w:val="22"/>
                <w:lang w:val="en-US"/>
              </w:rPr>
              <w:t>6</w:t>
            </w:r>
            <w:r>
              <w:rPr>
                <w:rFonts w:eastAsia="MS Mincho"/>
                <w:szCs w:val="22"/>
                <w:lang w:val="en-US"/>
              </w:rPr>
              <w:noBreakHyphen/>
            </w:r>
            <w:r w:rsidRPr="0026348F">
              <w:rPr>
                <w:rFonts w:eastAsia="MS Mincho"/>
                <w:szCs w:val="22"/>
                <w:lang w:val="en-US"/>
              </w:rPr>
              <w:t>81</w:t>
            </w:r>
            <w:r>
              <w:rPr>
                <w:rFonts w:eastAsia="MS Mincho"/>
                <w:szCs w:val="22"/>
                <w:lang w:val="en-US"/>
              </w:rPr>
              <w:t>,</w:t>
            </w:r>
            <w:r w:rsidRPr="0026348F">
              <w:rPr>
                <w:rFonts w:eastAsia="MS Mincho"/>
                <w:szCs w:val="22"/>
                <w:lang w:val="en-US"/>
              </w:rPr>
              <w:t>0)</w:t>
            </w:r>
          </w:p>
        </w:tc>
        <w:tc>
          <w:tcPr>
            <w:tcW w:w="3100" w:type="dxa"/>
            <w:shd w:val="clear" w:color="auto" w:fill="auto"/>
          </w:tcPr>
          <w:p w14:paraId="3E866F3E"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90,7 (85,</w:t>
            </w:r>
            <w:r w:rsidRPr="0026348F">
              <w:rPr>
                <w:rFonts w:eastAsia="MS Mincho"/>
                <w:szCs w:val="22"/>
                <w:lang w:val="en-US"/>
              </w:rPr>
              <w:t>6</w:t>
            </w:r>
            <w:r>
              <w:rPr>
                <w:rFonts w:eastAsia="MS Mincho"/>
                <w:szCs w:val="22"/>
                <w:lang w:val="en-US"/>
              </w:rPr>
              <w:noBreakHyphen/>
            </w:r>
            <w:r w:rsidRPr="0026348F">
              <w:rPr>
                <w:rFonts w:eastAsia="MS Mincho"/>
                <w:szCs w:val="22"/>
                <w:lang w:val="en-US"/>
              </w:rPr>
              <w:t>94</w:t>
            </w:r>
            <w:r w:rsidR="003C204E" w:rsidRPr="00C22B3A">
              <w:rPr>
                <w:rFonts w:eastAsia="MS Mincho"/>
                <w:szCs w:val="22"/>
                <w:lang w:val="en-US"/>
              </w:rPr>
              <w:t>,0</w:t>
            </w:r>
            <w:r w:rsidRPr="0026348F">
              <w:rPr>
                <w:rFonts w:eastAsia="MS Mincho"/>
                <w:szCs w:val="22"/>
                <w:lang w:val="en-US"/>
              </w:rPr>
              <w:t>)</w:t>
            </w:r>
          </w:p>
        </w:tc>
      </w:tr>
      <w:tr w:rsidR="00311830" w:rsidRPr="0026348F" w14:paraId="5196756A" w14:textId="77777777" w:rsidTr="00C81D6E">
        <w:trPr>
          <w:cantSplit/>
        </w:trPr>
        <w:tc>
          <w:tcPr>
            <w:tcW w:w="2802" w:type="dxa"/>
            <w:shd w:val="clear" w:color="auto" w:fill="auto"/>
          </w:tcPr>
          <w:p w14:paraId="62FB4818" w14:textId="77777777" w:rsidR="00311830" w:rsidRPr="0026348F" w:rsidRDefault="00311830"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36</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5D09B3BB"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60,1 (52,</w:t>
            </w:r>
            <w:r w:rsidRPr="0026348F">
              <w:rPr>
                <w:rFonts w:eastAsia="MS Mincho"/>
                <w:szCs w:val="22"/>
                <w:lang w:val="en-US"/>
              </w:rPr>
              <w:t>5</w:t>
            </w:r>
            <w:r>
              <w:rPr>
                <w:rFonts w:eastAsia="MS Mincho"/>
                <w:szCs w:val="22"/>
                <w:lang w:val="en-US"/>
              </w:rPr>
              <w:noBreakHyphen/>
              <w:t>66,</w:t>
            </w:r>
            <w:r w:rsidRPr="0026348F">
              <w:rPr>
                <w:rFonts w:eastAsia="MS Mincho"/>
                <w:szCs w:val="22"/>
                <w:lang w:val="en-US"/>
              </w:rPr>
              <w:t>9)</w:t>
            </w:r>
          </w:p>
        </w:tc>
        <w:tc>
          <w:tcPr>
            <w:tcW w:w="3100" w:type="dxa"/>
            <w:shd w:val="clear" w:color="auto" w:fill="auto"/>
          </w:tcPr>
          <w:p w14:paraId="5841062B"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86,</w:t>
            </w:r>
            <w:r w:rsidRPr="0026348F">
              <w:rPr>
                <w:rFonts w:eastAsia="MS Mincho"/>
                <w:szCs w:val="22"/>
                <w:lang w:val="en-US"/>
              </w:rPr>
              <w:t>6 (80</w:t>
            </w:r>
            <w:r>
              <w:rPr>
                <w:rFonts w:eastAsia="MS Mincho"/>
                <w:szCs w:val="22"/>
                <w:lang w:val="en-US"/>
              </w:rPr>
              <w:t>,</w:t>
            </w:r>
            <w:r w:rsidRPr="0026348F">
              <w:rPr>
                <w:rFonts w:eastAsia="MS Mincho"/>
                <w:szCs w:val="22"/>
                <w:lang w:val="en-US"/>
              </w:rPr>
              <w:t>8</w:t>
            </w:r>
            <w:r>
              <w:rPr>
                <w:rFonts w:eastAsia="MS Mincho"/>
                <w:szCs w:val="22"/>
                <w:lang w:val="en-US"/>
              </w:rPr>
              <w:noBreakHyphen/>
            </w:r>
            <w:r w:rsidRPr="0026348F">
              <w:rPr>
                <w:rFonts w:eastAsia="MS Mincho"/>
                <w:szCs w:val="22"/>
                <w:lang w:val="en-US"/>
              </w:rPr>
              <w:t>90</w:t>
            </w:r>
            <w:r>
              <w:rPr>
                <w:rFonts w:eastAsia="MS Mincho"/>
                <w:szCs w:val="22"/>
                <w:lang w:val="en-US"/>
              </w:rPr>
              <w:t>,</w:t>
            </w:r>
            <w:r w:rsidRPr="0026348F">
              <w:rPr>
                <w:rFonts w:eastAsia="MS Mincho"/>
                <w:szCs w:val="22"/>
                <w:lang w:val="en-US"/>
              </w:rPr>
              <w:t>8)</w:t>
            </w:r>
          </w:p>
        </w:tc>
      </w:tr>
      <w:tr w:rsidR="00311830" w:rsidRPr="0026348F" w14:paraId="5ADE841B" w14:textId="77777777" w:rsidTr="00C81D6E">
        <w:trPr>
          <w:cantSplit/>
        </w:trPr>
        <w:tc>
          <w:tcPr>
            <w:tcW w:w="2802" w:type="dxa"/>
            <w:shd w:val="clear" w:color="auto" w:fill="auto"/>
          </w:tcPr>
          <w:p w14:paraId="14233C87" w14:textId="77777777" w:rsidR="00311830" w:rsidRPr="0026348F" w:rsidRDefault="00311830"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48</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26D5B26E"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52,3 (44,</w:t>
            </w:r>
            <w:r w:rsidRPr="0026348F">
              <w:rPr>
                <w:rFonts w:eastAsia="MS Mincho"/>
                <w:szCs w:val="22"/>
                <w:lang w:val="en-US"/>
              </w:rPr>
              <w:t>0</w:t>
            </w:r>
            <w:r>
              <w:rPr>
                <w:rFonts w:eastAsia="MS Mincho"/>
                <w:szCs w:val="22"/>
                <w:lang w:val="en-US"/>
              </w:rPr>
              <w:noBreakHyphen/>
              <w:t>59,</w:t>
            </w:r>
            <w:r w:rsidRPr="0026348F">
              <w:rPr>
                <w:rFonts w:eastAsia="MS Mincho"/>
                <w:szCs w:val="22"/>
                <w:lang w:val="en-US"/>
              </w:rPr>
              <w:t>8)</w:t>
            </w:r>
          </w:p>
        </w:tc>
        <w:tc>
          <w:tcPr>
            <w:tcW w:w="3100" w:type="dxa"/>
            <w:shd w:val="clear" w:color="auto" w:fill="auto"/>
          </w:tcPr>
          <w:p w14:paraId="6F2ADFF4"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sidRPr="0026348F">
              <w:rPr>
                <w:rFonts w:eastAsia="MS Mincho"/>
                <w:szCs w:val="22"/>
                <w:lang w:val="en-US"/>
              </w:rPr>
              <w:t>78</w:t>
            </w:r>
            <w:r>
              <w:rPr>
                <w:rFonts w:eastAsia="MS Mincho"/>
                <w:szCs w:val="22"/>
                <w:lang w:val="en-US"/>
              </w:rPr>
              <w:t>,</w:t>
            </w:r>
            <w:r w:rsidRPr="0026348F">
              <w:rPr>
                <w:rFonts w:eastAsia="MS Mincho"/>
                <w:szCs w:val="22"/>
                <w:lang w:val="en-US"/>
              </w:rPr>
              <w:t>3 (70</w:t>
            </w:r>
            <w:r>
              <w:rPr>
                <w:rFonts w:eastAsia="MS Mincho"/>
                <w:szCs w:val="22"/>
                <w:lang w:val="en-US"/>
              </w:rPr>
              <w:t>,</w:t>
            </w:r>
            <w:r w:rsidRPr="0026348F">
              <w:rPr>
                <w:rFonts w:eastAsia="MS Mincho"/>
                <w:szCs w:val="22"/>
                <w:lang w:val="en-US"/>
              </w:rPr>
              <w:t>8</w:t>
            </w:r>
            <w:r>
              <w:rPr>
                <w:rFonts w:eastAsia="MS Mincho"/>
                <w:szCs w:val="22"/>
                <w:lang w:val="en-US"/>
              </w:rPr>
              <w:noBreakHyphen/>
            </w:r>
            <w:r w:rsidRPr="0026348F">
              <w:rPr>
                <w:rFonts w:eastAsia="MS Mincho"/>
                <w:szCs w:val="22"/>
                <w:lang w:val="en-US"/>
              </w:rPr>
              <w:t>84</w:t>
            </w:r>
            <w:r>
              <w:rPr>
                <w:rFonts w:eastAsia="MS Mincho"/>
                <w:szCs w:val="22"/>
                <w:lang w:val="en-US"/>
              </w:rPr>
              <w:t>,</w:t>
            </w:r>
            <w:r w:rsidRPr="0026348F">
              <w:rPr>
                <w:rFonts w:eastAsia="MS Mincho"/>
                <w:szCs w:val="22"/>
                <w:lang w:val="en-US"/>
              </w:rPr>
              <w:t>1)</w:t>
            </w:r>
          </w:p>
        </w:tc>
      </w:tr>
      <w:tr w:rsidR="00311830" w:rsidRPr="0026348F" w14:paraId="17E28EC2" w14:textId="77777777" w:rsidTr="00C81D6E">
        <w:trPr>
          <w:cantSplit/>
        </w:trPr>
        <w:tc>
          <w:tcPr>
            <w:tcW w:w="2802" w:type="dxa"/>
            <w:shd w:val="clear" w:color="auto" w:fill="auto"/>
          </w:tcPr>
          <w:p w14:paraId="257EF260" w14:textId="77777777" w:rsidR="00311830" w:rsidRPr="0026348F" w:rsidRDefault="00311830"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60</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12251C4D"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47,9 (39,</w:t>
            </w:r>
            <w:r w:rsidRPr="0026348F">
              <w:rPr>
                <w:rFonts w:eastAsia="MS Mincho"/>
                <w:szCs w:val="22"/>
                <w:lang w:val="en-US"/>
              </w:rPr>
              <w:t>0</w:t>
            </w:r>
            <w:r>
              <w:rPr>
                <w:rFonts w:eastAsia="MS Mincho"/>
                <w:szCs w:val="22"/>
                <w:lang w:val="en-US"/>
              </w:rPr>
              <w:noBreakHyphen/>
              <w:t>56,</w:t>
            </w:r>
            <w:r w:rsidRPr="0026348F">
              <w:rPr>
                <w:rFonts w:eastAsia="MS Mincho"/>
                <w:szCs w:val="22"/>
                <w:lang w:val="en-US"/>
              </w:rPr>
              <w:t>3)</w:t>
            </w:r>
          </w:p>
        </w:tc>
        <w:tc>
          <w:tcPr>
            <w:tcW w:w="3100" w:type="dxa"/>
            <w:shd w:val="clear" w:color="auto" w:fill="auto"/>
          </w:tcPr>
          <w:p w14:paraId="34BB7E21"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sidRPr="0026348F">
              <w:rPr>
                <w:rFonts w:eastAsia="MS Mincho"/>
                <w:szCs w:val="22"/>
                <w:lang w:val="en-US"/>
              </w:rPr>
              <w:t>65</w:t>
            </w:r>
            <w:r>
              <w:rPr>
                <w:rFonts w:eastAsia="MS Mincho"/>
                <w:szCs w:val="22"/>
                <w:lang w:val="en-US"/>
              </w:rPr>
              <w:t>,6 (56,</w:t>
            </w:r>
            <w:r w:rsidRPr="0026348F">
              <w:rPr>
                <w:rFonts w:eastAsia="MS Mincho"/>
                <w:szCs w:val="22"/>
                <w:lang w:val="en-US"/>
              </w:rPr>
              <w:t>1</w:t>
            </w:r>
            <w:r>
              <w:rPr>
                <w:rFonts w:eastAsia="MS Mincho"/>
                <w:szCs w:val="22"/>
                <w:lang w:val="en-US"/>
              </w:rPr>
              <w:noBreakHyphen/>
            </w:r>
            <w:r w:rsidRPr="0026348F">
              <w:rPr>
                <w:rFonts w:eastAsia="MS Mincho"/>
                <w:szCs w:val="22"/>
                <w:lang w:val="en-US"/>
              </w:rPr>
              <w:t>73</w:t>
            </w:r>
            <w:r>
              <w:rPr>
                <w:rFonts w:eastAsia="MS Mincho"/>
                <w:szCs w:val="22"/>
                <w:lang w:val="en-US"/>
              </w:rPr>
              <w:t>,</w:t>
            </w:r>
            <w:r w:rsidRPr="0026348F">
              <w:rPr>
                <w:rFonts w:eastAsia="MS Mincho"/>
                <w:szCs w:val="22"/>
                <w:lang w:val="en-US"/>
              </w:rPr>
              <w:t>4)</w:t>
            </w:r>
          </w:p>
        </w:tc>
      </w:tr>
      <w:tr w:rsidR="00311830" w:rsidRPr="0026348F" w14:paraId="3DB72AA6" w14:textId="77777777" w:rsidTr="00C81D6E">
        <w:trPr>
          <w:cantSplit/>
        </w:trPr>
        <w:tc>
          <w:tcPr>
            <w:tcW w:w="2802" w:type="dxa"/>
            <w:shd w:val="clear" w:color="auto" w:fill="auto"/>
          </w:tcPr>
          <w:p w14:paraId="698B68FD" w14:textId="77777777" w:rsidR="00311830" w:rsidRPr="0026348F" w:rsidRDefault="00311830"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Överlevnad</w:t>
            </w:r>
          </w:p>
        </w:tc>
        <w:tc>
          <w:tcPr>
            <w:tcW w:w="3118" w:type="dxa"/>
            <w:shd w:val="clear" w:color="auto" w:fill="auto"/>
          </w:tcPr>
          <w:p w14:paraId="24479AD0"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6A0ADC6D"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p>
        </w:tc>
      </w:tr>
      <w:tr w:rsidR="00311830" w:rsidRPr="0026348F" w14:paraId="16668D0B" w14:textId="77777777" w:rsidTr="00C81D6E">
        <w:trPr>
          <w:cantSplit/>
        </w:trPr>
        <w:tc>
          <w:tcPr>
            <w:tcW w:w="2802" w:type="dxa"/>
            <w:shd w:val="clear" w:color="auto" w:fill="auto"/>
          </w:tcPr>
          <w:p w14:paraId="36EBEF1B" w14:textId="77777777" w:rsidR="00311830" w:rsidRPr="0026348F" w:rsidRDefault="00311830"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36</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1440BF9E"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94,0 (89,</w:t>
            </w:r>
            <w:r w:rsidRPr="0026348F">
              <w:rPr>
                <w:rFonts w:eastAsia="MS Mincho"/>
                <w:szCs w:val="22"/>
                <w:lang w:val="en-US"/>
              </w:rPr>
              <w:t>5</w:t>
            </w:r>
            <w:r>
              <w:rPr>
                <w:rFonts w:eastAsia="MS Mincho"/>
                <w:szCs w:val="22"/>
                <w:lang w:val="en-US"/>
              </w:rPr>
              <w:noBreakHyphen/>
              <w:t>96,</w:t>
            </w:r>
            <w:r w:rsidRPr="0026348F">
              <w:rPr>
                <w:rFonts w:eastAsia="MS Mincho"/>
                <w:szCs w:val="22"/>
                <w:lang w:val="en-US"/>
              </w:rPr>
              <w:t>7)</w:t>
            </w:r>
          </w:p>
        </w:tc>
        <w:tc>
          <w:tcPr>
            <w:tcW w:w="3100" w:type="dxa"/>
            <w:shd w:val="clear" w:color="auto" w:fill="auto"/>
          </w:tcPr>
          <w:p w14:paraId="1303DDF4"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96,3 (92,</w:t>
            </w:r>
            <w:r w:rsidRPr="0026348F">
              <w:rPr>
                <w:rFonts w:eastAsia="MS Mincho"/>
                <w:szCs w:val="22"/>
                <w:lang w:val="en-US"/>
              </w:rPr>
              <w:t>4</w:t>
            </w:r>
            <w:r>
              <w:rPr>
                <w:rFonts w:eastAsia="MS Mincho"/>
                <w:szCs w:val="22"/>
                <w:lang w:val="en-US"/>
              </w:rPr>
              <w:noBreakHyphen/>
              <w:t>98,</w:t>
            </w:r>
            <w:r w:rsidRPr="0026348F">
              <w:rPr>
                <w:rFonts w:eastAsia="MS Mincho"/>
                <w:szCs w:val="22"/>
                <w:lang w:val="en-US"/>
              </w:rPr>
              <w:t>2)</w:t>
            </w:r>
          </w:p>
        </w:tc>
      </w:tr>
      <w:tr w:rsidR="00311830" w:rsidRPr="0026348F" w14:paraId="28F3BED3" w14:textId="77777777" w:rsidTr="00C81D6E">
        <w:trPr>
          <w:cantSplit/>
        </w:trPr>
        <w:tc>
          <w:tcPr>
            <w:tcW w:w="2802" w:type="dxa"/>
            <w:shd w:val="clear" w:color="auto" w:fill="auto"/>
          </w:tcPr>
          <w:p w14:paraId="773DA9B2" w14:textId="77777777" w:rsidR="00311830" w:rsidRPr="0026348F" w:rsidRDefault="00311830"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48</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13A4158A"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87,9 (81,</w:t>
            </w:r>
            <w:r w:rsidRPr="0026348F">
              <w:rPr>
                <w:rFonts w:eastAsia="MS Mincho"/>
                <w:szCs w:val="22"/>
                <w:lang w:val="en-US"/>
              </w:rPr>
              <w:t>1</w:t>
            </w:r>
            <w:r>
              <w:rPr>
                <w:rFonts w:eastAsia="MS Mincho"/>
                <w:szCs w:val="22"/>
                <w:lang w:val="en-US"/>
              </w:rPr>
              <w:noBreakHyphen/>
              <w:t>92,</w:t>
            </w:r>
            <w:r w:rsidRPr="0026348F">
              <w:rPr>
                <w:rFonts w:eastAsia="MS Mincho"/>
                <w:szCs w:val="22"/>
                <w:lang w:val="en-US"/>
              </w:rPr>
              <w:t>3)</w:t>
            </w:r>
          </w:p>
        </w:tc>
        <w:tc>
          <w:tcPr>
            <w:tcW w:w="3100" w:type="dxa"/>
            <w:shd w:val="clear" w:color="auto" w:fill="auto"/>
          </w:tcPr>
          <w:p w14:paraId="18DB1CFC"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95,6 (91,</w:t>
            </w:r>
            <w:r w:rsidRPr="0026348F">
              <w:rPr>
                <w:rFonts w:eastAsia="MS Mincho"/>
                <w:szCs w:val="22"/>
                <w:lang w:val="en-US"/>
              </w:rPr>
              <w:t>2</w:t>
            </w:r>
            <w:r>
              <w:rPr>
                <w:rFonts w:eastAsia="MS Mincho"/>
                <w:szCs w:val="22"/>
                <w:lang w:val="en-US"/>
              </w:rPr>
              <w:noBreakHyphen/>
              <w:t>97,</w:t>
            </w:r>
            <w:r w:rsidRPr="0026348F">
              <w:rPr>
                <w:rFonts w:eastAsia="MS Mincho"/>
                <w:szCs w:val="22"/>
                <w:lang w:val="en-US"/>
              </w:rPr>
              <w:t>8)</w:t>
            </w:r>
          </w:p>
        </w:tc>
      </w:tr>
      <w:tr w:rsidR="00311830" w:rsidRPr="0026348F" w14:paraId="24ABEE92" w14:textId="77777777" w:rsidTr="00C81D6E">
        <w:trPr>
          <w:cantSplit/>
        </w:trPr>
        <w:tc>
          <w:tcPr>
            <w:tcW w:w="2802" w:type="dxa"/>
            <w:shd w:val="clear" w:color="auto" w:fill="auto"/>
          </w:tcPr>
          <w:p w14:paraId="29EC5EE0" w14:textId="77777777" w:rsidR="00311830" w:rsidRPr="0026348F" w:rsidRDefault="00311830"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60</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6C007005"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81,7 (73,</w:t>
            </w:r>
            <w:r w:rsidRPr="0026348F">
              <w:rPr>
                <w:rFonts w:eastAsia="MS Mincho"/>
                <w:szCs w:val="22"/>
                <w:lang w:val="en-US"/>
              </w:rPr>
              <w:t>0</w:t>
            </w:r>
            <w:r>
              <w:rPr>
                <w:rFonts w:eastAsia="MS Mincho"/>
                <w:szCs w:val="22"/>
                <w:lang w:val="en-US"/>
              </w:rPr>
              <w:noBreakHyphen/>
              <w:t>87,</w:t>
            </w:r>
            <w:r w:rsidRPr="0026348F">
              <w:rPr>
                <w:rFonts w:eastAsia="MS Mincho"/>
                <w:szCs w:val="22"/>
                <w:lang w:val="en-US"/>
              </w:rPr>
              <w:t>8)</w:t>
            </w:r>
          </w:p>
        </w:tc>
        <w:tc>
          <w:tcPr>
            <w:tcW w:w="3100" w:type="dxa"/>
            <w:shd w:val="clear" w:color="auto" w:fill="auto"/>
          </w:tcPr>
          <w:p w14:paraId="67D655F1" w14:textId="77777777" w:rsidR="00311830" w:rsidRPr="0026348F" w:rsidRDefault="00311830"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92,0 (85,</w:t>
            </w:r>
            <w:r w:rsidRPr="0026348F">
              <w:rPr>
                <w:rFonts w:eastAsia="MS Mincho"/>
                <w:szCs w:val="22"/>
                <w:lang w:val="en-US"/>
              </w:rPr>
              <w:t>3</w:t>
            </w:r>
            <w:r>
              <w:rPr>
                <w:rFonts w:eastAsia="MS Mincho"/>
                <w:szCs w:val="22"/>
                <w:lang w:val="en-US"/>
              </w:rPr>
              <w:noBreakHyphen/>
              <w:t>95,</w:t>
            </w:r>
            <w:r w:rsidRPr="0026348F">
              <w:rPr>
                <w:rFonts w:eastAsia="MS Mincho"/>
                <w:szCs w:val="22"/>
                <w:lang w:val="en-US"/>
              </w:rPr>
              <w:t>7)</w:t>
            </w:r>
          </w:p>
        </w:tc>
      </w:tr>
    </w:tbl>
    <w:p w14:paraId="72EC1FB7" w14:textId="77777777" w:rsidR="00BB1C33" w:rsidRDefault="00BB1C33" w:rsidP="00463647">
      <w:pPr>
        <w:widowControl w:val="0"/>
        <w:tabs>
          <w:tab w:val="clear" w:pos="567"/>
        </w:tabs>
        <w:spacing w:line="240" w:lineRule="auto"/>
        <w:rPr>
          <w:rFonts w:eastAsia="MS Mincho"/>
          <w:szCs w:val="22"/>
          <w:lang w:val="en-US"/>
        </w:rPr>
      </w:pPr>
    </w:p>
    <w:p w14:paraId="6789B706" w14:textId="77777777" w:rsidR="00311830" w:rsidRPr="00C22B3A" w:rsidRDefault="00311830" w:rsidP="00463647">
      <w:pPr>
        <w:keepNext/>
        <w:keepLines/>
        <w:widowControl w:val="0"/>
        <w:tabs>
          <w:tab w:val="clear" w:pos="567"/>
        </w:tabs>
        <w:spacing w:line="240" w:lineRule="auto"/>
        <w:ind w:left="1134" w:hanging="1134"/>
        <w:rPr>
          <w:rFonts w:eastAsia="MS Mincho"/>
          <w:szCs w:val="22"/>
          <w:lang w:val="sv-SE"/>
        </w:rPr>
      </w:pPr>
      <w:r w:rsidRPr="003C7B37">
        <w:rPr>
          <w:rFonts w:eastAsia="MS Mincho"/>
          <w:b/>
          <w:szCs w:val="22"/>
          <w:lang w:val="sv-SE"/>
        </w:rPr>
        <w:t>Figur 1</w:t>
      </w:r>
      <w:r w:rsidRPr="003C7B37">
        <w:rPr>
          <w:rFonts w:eastAsia="MS Mincho"/>
          <w:b/>
          <w:szCs w:val="22"/>
          <w:lang w:val="sv-SE"/>
        </w:rPr>
        <w:tab/>
        <w:t>Kaplan-Meier skattning för endpoint primär återfall</w:t>
      </w:r>
      <w:r>
        <w:rPr>
          <w:rFonts w:eastAsia="MS Mincho"/>
          <w:b/>
          <w:szCs w:val="22"/>
          <w:lang w:val="sv-SE"/>
        </w:rPr>
        <w:t xml:space="preserve">sfri överlevnad </w:t>
      </w:r>
      <w:r w:rsidRPr="003C7B37">
        <w:rPr>
          <w:rFonts w:eastAsia="MS Mincho"/>
          <w:b/>
          <w:szCs w:val="22"/>
          <w:lang w:val="sv-SE"/>
        </w:rPr>
        <w:t>(ITT population)</w:t>
      </w:r>
    </w:p>
    <w:p w14:paraId="293F51A6" w14:textId="77777777" w:rsidR="00311830" w:rsidRPr="00C22B3A" w:rsidRDefault="00311830" w:rsidP="00463647">
      <w:pPr>
        <w:keepNext/>
        <w:keepLines/>
        <w:widowControl w:val="0"/>
        <w:tabs>
          <w:tab w:val="clear" w:pos="567"/>
        </w:tabs>
        <w:spacing w:line="240" w:lineRule="auto"/>
        <w:rPr>
          <w:rFonts w:eastAsia="MS Mincho"/>
          <w:szCs w:val="22"/>
          <w:lang w:val="sv-SE"/>
        </w:rPr>
      </w:pPr>
    </w:p>
    <w:p w14:paraId="7D2C196E" w14:textId="77777777" w:rsidR="00311830" w:rsidRDefault="000B798D" w:rsidP="00463647">
      <w:pPr>
        <w:keepNext/>
        <w:keepLines/>
        <w:widowControl w:val="0"/>
        <w:tabs>
          <w:tab w:val="clear" w:pos="567"/>
        </w:tabs>
        <w:spacing w:line="240" w:lineRule="auto"/>
        <w:rPr>
          <w:rFonts w:eastAsia="MS Mincho"/>
          <w:szCs w:val="22"/>
          <w:lang w:val="en-US"/>
        </w:rPr>
      </w:pPr>
      <w:r>
        <w:rPr>
          <w:noProof/>
          <w:lang w:val="en-US"/>
        </w:rPr>
        <mc:AlternateContent>
          <mc:Choice Requires="wps">
            <w:drawing>
              <wp:anchor distT="0" distB="0" distL="114300" distR="114300" simplePos="0" relativeHeight="251652608" behindDoc="0" locked="0" layoutInCell="1" allowOverlap="1" wp14:anchorId="17158B98" wp14:editId="3099004A">
                <wp:simplePos x="0" y="0"/>
                <wp:positionH relativeFrom="column">
                  <wp:posOffset>350520</wp:posOffset>
                </wp:positionH>
                <wp:positionV relativeFrom="paragraph">
                  <wp:posOffset>1211580</wp:posOffset>
                </wp:positionV>
                <wp:extent cx="4585335" cy="123761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229"/>
                              <w:gridCol w:w="851"/>
                              <w:gridCol w:w="709"/>
                              <w:gridCol w:w="850"/>
                            </w:tblGrid>
                            <w:tr w:rsidR="003E7632" w:rsidRPr="0055776F" w14:paraId="503B6E82" w14:textId="77777777" w:rsidTr="00DE4832">
                              <w:trPr>
                                <w:gridAfter w:val="4"/>
                                <w:wAfter w:w="2639" w:type="dxa"/>
                              </w:trPr>
                              <w:tc>
                                <w:tcPr>
                                  <w:tcW w:w="3281" w:type="dxa"/>
                                  <w:gridSpan w:val="2"/>
                                  <w:shd w:val="clear" w:color="auto" w:fill="auto"/>
                                </w:tcPr>
                                <w:p w14:paraId="5F54B979" w14:textId="77777777" w:rsidR="003E7632" w:rsidRPr="0055776F" w:rsidRDefault="003E7632" w:rsidP="00DE4832">
                                  <w:pPr>
                                    <w:rPr>
                                      <w:rFonts w:ascii="Arial" w:hAnsi="Arial" w:cs="Arial"/>
                                      <w:sz w:val="20"/>
                                    </w:rPr>
                                  </w:pPr>
                                  <w:r>
                                    <w:rPr>
                                      <w:rFonts w:ascii="Arial" w:hAnsi="Arial" w:cs="Arial"/>
                                      <w:sz w:val="20"/>
                                    </w:rPr>
                                    <w:t>P &lt; 0,0001</w:t>
                                  </w:r>
                                </w:p>
                                <w:p w14:paraId="505C445A" w14:textId="77777777" w:rsidR="003E7632" w:rsidRPr="0055776F" w:rsidRDefault="003E7632" w:rsidP="00DE4832">
                                  <w:pPr>
                                    <w:rPr>
                                      <w:rFonts w:ascii="Arial" w:hAnsi="Arial" w:cs="Arial"/>
                                      <w:sz w:val="20"/>
                                    </w:rPr>
                                  </w:pPr>
                                  <w:r>
                                    <w:rPr>
                                      <w:rFonts w:ascii="Arial" w:hAnsi="Arial" w:cs="Arial"/>
                                      <w:sz w:val="20"/>
                                    </w:rPr>
                                    <w:t>Hazard ratio 0,</w:t>
                                  </w:r>
                                  <w:r w:rsidRPr="0055776F">
                                    <w:rPr>
                                      <w:rFonts w:ascii="Arial" w:hAnsi="Arial" w:cs="Arial"/>
                                      <w:sz w:val="20"/>
                                    </w:rPr>
                                    <w:t>4</w:t>
                                  </w:r>
                                  <w:r>
                                    <w:rPr>
                                      <w:rFonts w:ascii="Arial" w:hAnsi="Arial" w:cs="Arial"/>
                                      <w:sz w:val="20"/>
                                    </w:rPr>
                                    <w:t>6</w:t>
                                  </w:r>
                                </w:p>
                                <w:p w14:paraId="7EB71206" w14:textId="77777777" w:rsidR="003E7632" w:rsidRPr="0055776F" w:rsidRDefault="003E7632" w:rsidP="00DE4832">
                                  <w:pPr>
                                    <w:rPr>
                                      <w:rFonts w:ascii="Arial" w:hAnsi="Arial" w:cs="Arial"/>
                                      <w:sz w:val="20"/>
                                      <w:lang w:val="de-DE"/>
                                    </w:rPr>
                                  </w:pPr>
                                  <w:r>
                                    <w:rPr>
                                      <w:rFonts w:ascii="Arial" w:hAnsi="Arial" w:cs="Arial"/>
                                      <w:sz w:val="20"/>
                                    </w:rPr>
                                    <w:t>(95 % Kl,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3E7632" w:rsidRPr="0055776F" w14:paraId="53A063C4" w14:textId="77777777" w:rsidTr="009039A5">
                              <w:tc>
                                <w:tcPr>
                                  <w:tcW w:w="817" w:type="dxa"/>
                                  <w:shd w:val="clear" w:color="auto" w:fill="auto"/>
                                </w:tcPr>
                                <w:p w14:paraId="130B54A9" w14:textId="77777777" w:rsidR="003E7632" w:rsidRPr="0055776F" w:rsidRDefault="003E7632" w:rsidP="0061715E">
                                  <w:pPr>
                                    <w:rPr>
                                      <w:rFonts w:ascii="Arial" w:hAnsi="Arial" w:cs="Arial"/>
                                      <w:sz w:val="20"/>
                                    </w:rPr>
                                  </w:pPr>
                                </w:p>
                              </w:tc>
                              <w:tc>
                                <w:tcPr>
                                  <w:tcW w:w="2693" w:type="dxa"/>
                                  <w:gridSpan w:val="2"/>
                                  <w:shd w:val="clear" w:color="auto" w:fill="auto"/>
                                </w:tcPr>
                                <w:p w14:paraId="34BB8C4C" w14:textId="77777777" w:rsidR="003E7632" w:rsidRPr="0055776F" w:rsidRDefault="003E7632" w:rsidP="0061715E">
                                  <w:pPr>
                                    <w:rPr>
                                      <w:rFonts w:ascii="Arial" w:hAnsi="Arial" w:cs="Arial"/>
                                      <w:sz w:val="20"/>
                                    </w:rPr>
                                  </w:pPr>
                                </w:p>
                              </w:tc>
                              <w:tc>
                                <w:tcPr>
                                  <w:tcW w:w="851" w:type="dxa"/>
                                  <w:tcBorders>
                                    <w:bottom w:val="single" w:sz="4" w:space="0" w:color="auto"/>
                                  </w:tcBorders>
                                  <w:shd w:val="clear" w:color="auto" w:fill="auto"/>
                                </w:tcPr>
                                <w:p w14:paraId="1A01FC3B" w14:textId="77777777" w:rsidR="003E7632" w:rsidRPr="0055776F" w:rsidRDefault="003E7632" w:rsidP="0061715E">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593614E3" w14:textId="77777777" w:rsidR="003E7632" w:rsidRPr="0055776F" w:rsidRDefault="003E7632" w:rsidP="0061715E">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0ACC1DD0" w14:textId="77777777" w:rsidR="003E7632" w:rsidRPr="0055776F" w:rsidRDefault="003E7632" w:rsidP="0061715E">
                                  <w:pPr>
                                    <w:rPr>
                                      <w:rFonts w:ascii="Arial" w:hAnsi="Arial" w:cs="Arial"/>
                                      <w:sz w:val="20"/>
                                    </w:rPr>
                                  </w:pPr>
                                  <w:r w:rsidRPr="0055776F">
                                    <w:rPr>
                                      <w:rFonts w:ascii="Arial" w:hAnsi="Arial" w:cs="Arial"/>
                                      <w:sz w:val="20"/>
                                      <w:lang w:val="de-DE"/>
                                    </w:rPr>
                                    <w:t>Cen</w:t>
                                  </w:r>
                                </w:p>
                              </w:tc>
                            </w:tr>
                            <w:tr w:rsidR="003E7632" w:rsidRPr="0055776F" w14:paraId="4898887E" w14:textId="77777777" w:rsidTr="009039A5">
                              <w:tc>
                                <w:tcPr>
                                  <w:tcW w:w="817" w:type="dxa"/>
                                  <w:shd w:val="clear" w:color="auto" w:fill="auto"/>
                                </w:tcPr>
                                <w:p w14:paraId="4B2040AD" w14:textId="77777777" w:rsidR="003E7632" w:rsidRPr="0055776F" w:rsidRDefault="003E7632" w:rsidP="0061715E">
                                  <w:pPr>
                                    <w:rPr>
                                      <w:rFonts w:ascii="Arial" w:hAnsi="Arial" w:cs="Arial"/>
                                      <w:sz w:val="20"/>
                                    </w:rPr>
                                  </w:pPr>
                                  <w:r w:rsidRPr="0055776F">
                                    <w:rPr>
                                      <w:rFonts w:ascii="Arial" w:hAnsi="Arial" w:cs="Arial"/>
                                      <w:b/>
                                      <w:sz w:val="20"/>
                                    </w:rPr>
                                    <w:t>——</w:t>
                                  </w:r>
                                </w:p>
                              </w:tc>
                              <w:tc>
                                <w:tcPr>
                                  <w:tcW w:w="2693" w:type="dxa"/>
                                  <w:gridSpan w:val="2"/>
                                  <w:shd w:val="clear" w:color="auto" w:fill="auto"/>
                                </w:tcPr>
                                <w:p w14:paraId="2F5E0AF5" w14:textId="77777777" w:rsidR="003E7632" w:rsidRPr="0055776F" w:rsidRDefault="003E7632" w:rsidP="000D0F5C">
                                  <w:pPr>
                                    <w:rPr>
                                      <w:rFonts w:ascii="Arial" w:hAnsi="Arial" w:cs="Arial"/>
                                      <w:sz w:val="20"/>
                                    </w:rPr>
                                  </w:pPr>
                                  <w:r>
                                    <w:rPr>
                                      <w:rFonts w:ascii="Arial" w:hAnsi="Arial" w:cs="Arial"/>
                                      <w:sz w:val="20"/>
                                    </w:rPr>
                                    <w:t>(1) Imatinib 12 månader</w:t>
                                  </w:r>
                                  <w:r w:rsidRPr="0055776F">
                                    <w:rPr>
                                      <w:rFonts w:ascii="Arial" w:hAnsi="Arial" w:cs="Arial"/>
                                      <w:sz w:val="20"/>
                                    </w:rPr>
                                    <w:t>:</w:t>
                                  </w:r>
                                </w:p>
                              </w:tc>
                              <w:tc>
                                <w:tcPr>
                                  <w:tcW w:w="851" w:type="dxa"/>
                                  <w:tcBorders>
                                    <w:top w:val="single" w:sz="4" w:space="0" w:color="auto"/>
                                  </w:tcBorders>
                                  <w:shd w:val="clear" w:color="auto" w:fill="auto"/>
                                </w:tcPr>
                                <w:p w14:paraId="45D7383D" w14:textId="77777777" w:rsidR="003E7632" w:rsidRPr="0055776F" w:rsidRDefault="003E7632" w:rsidP="0061715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C9550D4" w14:textId="77777777" w:rsidR="003E7632" w:rsidRPr="0055776F" w:rsidRDefault="003E7632" w:rsidP="0061715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374AB899" w14:textId="77777777" w:rsidR="003E7632" w:rsidRPr="0055776F" w:rsidRDefault="003E7632" w:rsidP="0061715E">
                                  <w:pPr>
                                    <w:rPr>
                                      <w:rFonts w:ascii="Arial" w:hAnsi="Arial" w:cs="Arial"/>
                                      <w:sz w:val="20"/>
                                    </w:rPr>
                                  </w:pPr>
                                  <w:r w:rsidRPr="0055776F">
                                    <w:rPr>
                                      <w:rFonts w:ascii="Arial" w:hAnsi="Arial" w:cs="Arial"/>
                                      <w:sz w:val="20"/>
                                    </w:rPr>
                                    <w:t>115</w:t>
                                  </w:r>
                                </w:p>
                              </w:tc>
                            </w:tr>
                            <w:tr w:rsidR="003E7632" w:rsidRPr="0055776F" w14:paraId="0890C189" w14:textId="77777777" w:rsidTr="009039A5">
                              <w:tc>
                                <w:tcPr>
                                  <w:tcW w:w="817" w:type="dxa"/>
                                  <w:shd w:val="clear" w:color="auto" w:fill="auto"/>
                                </w:tcPr>
                                <w:p w14:paraId="1EB92B7B"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gridSpan w:val="2"/>
                                  <w:shd w:val="clear" w:color="auto" w:fill="auto"/>
                                </w:tcPr>
                                <w:p w14:paraId="40C5E221" w14:textId="77777777" w:rsidR="003E7632" w:rsidRPr="0055776F" w:rsidRDefault="003E7632" w:rsidP="000D0F5C">
                                  <w:pPr>
                                    <w:rPr>
                                      <w:rFonts w:ascii="Arial" w:hAnsi="Arial" w:cs="Arial"/>
                                      <w:sz w:val="20"/>
                                    </w:rPr>
                                  </w:pPr>
                                  <w:r>
                                    <w:rPr>
                                      <w:rFonts w:ascii="Arial" w:hAnsi="Arial" w:cs="Arial"/>
                                      <w:sz w:val="20"/>
                                    </w:rPr>
                                    <w:t>(2) Imatinib 36 månader</w:t>
                                  </w:r>
                                  <w:r w:rsidRPr="0055776F">
                                    <w:rPr>
                                      <w:rFonts w:ascii="Arial" w:hAnsi="Arial" w:cs="Arial"/>
                                      <w:sz w:val="20"/>
                                    </w:rPr>
                                    <w:t>:</w:t>
                                  </w:r>
                                </w:p>
                              </w:tc>
                              <w:tc>
                                <w:tcPr>
                                  <w:tcW w:w="851" w:type="dxa"/>
                                  <w:tcBorders>
                                    <w:bottom w:val="single" w:sz="4" w:space="0" w:color="auto"/>
                                  </w:tcBorders>
                                  <w:shd w:val="clear" w:color="auto" w:fill="auto"/>
                                </w:tcPr>
                                <w:p w14:paraId="0280DAAB" w14:textId="77777777" w:rsidR="003E7632" w:rsidRPr="0055776F" w:rsidRDefault="003E7632" w:rsidP="0061715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24517AF6" w14:textId="77777777" w:rsidR="003E7632" w:rsidRPr="0055776F" w:rsidRDefault="003E7632" w:rsidP="0061715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64E6E29E" w14:textId="77777777" w:rsidR="003E7632" w:rsidRPr="0055776F" w:rsidRDefault="003E7632" w:rsidP="0061715E">
                                  <w:pPr>
                                    <w:rPr>
                                      <w:rFonts w:ascii="Arial" w:hAnsi="Arial" w:cs="Arial"/>
                                      <w:sz w:val="20"/>
                                    </w:rPr>
                                  </w:pPr>
                                  <w:r w:rsidRPr="0055776F">
                                    <w:rPr>
                                      <w:rFonts w:ascii="Arial" w:hAnsi="Arial" w:cs="Arial"/>
                                      <w:sz w:val="20"/>
                                    </w:rPr>
                                    <w:t>148</w:t>
                                  </w:r>
                                </w:p>
                              </w:tc>
                            </w:tr>
                            <w:tr w:rsidR="003E7632" w:rsidRPr="0055776F" w14:paraId="0BDB43D1" w14:textId="77777777" w:rsidTr="009039A5">
                              <w:tc>
                                <w:tcPr>
                                  <w:tcW w:w="817" w:type="dxa"/>
                                  <w:shd w:val="clear" w:color="auto" w:fill="auto"/>
                                </w:tcPr>
                                <w:p w14:paraId="345D5B18"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gridSpan w:val="2"/>
                                  <w:shd w:val="clear" w:color="auto" w:fill="auto"/>
                                </w:tcPr>
                                <w:p w14:paraId="7C7C75A4" w14:textId="77777777" w:rsidR="003E7632" w:rsidRPr="0055776F" w:rsidRDefault="003E7632" w:rsidP="0061715E">
                                  <w:pPr>
                                    <w:rPr>
                                      <w:rFonts w:ascii="Arial" w:hAnsi="Arial" w:cs="Arial"/>
                                      <w:sz w:val="20"/>
                                    </w:rPr>
                                  </w:pPr>
                                  <w:r>
                                    <w:rPr>
                                      <w:rFonts w:ascii="Arial" w:hAnsi="Arial" w:cs="Arial"/>
                                      <w:sz w:val="20"/>
                                    </w:rPr>
                                    <w:t>Censurerade observationer</w:t>
                                  </w:r>
                                </w:p>
                              </w:tc>
                              <w:tc>
                                <w:tcPr>
                                  <w:tcW w:w="851" w:type="dxa"/>
                                  <w:tcBorders>
                                    <w:top w:val="single" w:sz="4" w:space="0" w:color="auto"/>
                                  </w:tcBorders>
                                  <w:shd w:val="clear" w:color="auto" w:fill="auto"/>
                                </w:tcPr>
                                <w:p w14:paraId="4DBA112F" w14:textId="77777777" w:rsidR="003E7632" w:rsidRPr="0055776F" w:rsidRDefault="003E7632" w:rsidP="0061715E">
                                  <w:pPr>
                                    <w:rPr>
                                      <w:rFonts w:ascii="Arial" w:hAnsi="Arial" w:cs="Arial"/>
                                      <w:sz w:val="20"/>
                                    </w:rPr>
                                  </w:pPr>
                                </w:p>
                              </w:tc>
                              <w:tc>
                                <w:tcPr>
                                  <w:tcW w:w="709" w:type="dxa"/>
                                  <w:tcBorders>
                                    <w:top w:val="single" w:sz="4" w:space="0" w:color="auto"/>
                                  </w:tcBorders>
                                  <w:shd w:val="clear" w:color="auto" w:fill="auto"/>
                                </w:tcPr>
                                <w:p w14:paraId="7632149C" w14:textId="77777777" w:rsidR="003E7632" w:rsidRPr="0055776F" w:rsidRDefault="003E7632" w:rsidP="0061715E">
                                  <w:pPr>
                                    <w:rPr>
                                      <w:rFonts w:ascii="Arial" w:hAnsi="Arial" w:cs="Arial"/>
                                      <w:sz w:val="20"/>
                                    </w:rPr>
                                  </w:pPr>
                                </w:p>
                              </w:tc>
                              <w:tc>
                                <w:tcPr>
                                  <w:tcW w:w="850" w:type="dxa"/>
                                  <w:tcBorders>
                                    <w:top w:val="single" w:sz="4" w:space="0" w:color="auto"/>
                                  </w:tcBorders>
                                  <w:shd w:val="clear" w:color="auto" w:fill="auto"/>
                                </w:tcPr>
                                <w:p w14:paraId="7A4D8B05" w14:textId="77777777" w:rsidR="003E7632" w:rsidRPr="0055776F" w:rsidRDefault="003E7632" w:rsidP="0061715E">
                                  <w:pPr>
                                    <w:rPr>
                                      <w:rFonts w:ascii="Arial" w:hAnsi="Arial" w:cs="Arial"/>
                                      <w:sz w:val="20"/>
                                    </w:rPr>
                                  </w:pPr>
                                </w:p>
                              </w:tc>
                            </w:tr>
                          </w:tbl>
                          <w:p w14:paraId="75C56C49" w14:textId="77777777" w:rsidR="003E7632" w:rsidRPr="00A33DBA" w:rsidRDefault="003E7632" w:rsidP="00311830">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58B98" id="_x0000_t202" coordsize="21600,21600" o:spt="202" path="m,l,21600r21600,l21600,xe">
                <v:stroke joinstyle="miter"/>
                <v:path gradientshapeok="t" o:connecttype="rect"/>
              </v:shapetype>
              <v:shape id="Text Box 2" o:spid="_x0000_s1026" type="#_x0000_t202" style="position:absolute;margin-left:27.6pt;margin-top:95.4pt;width:361.05pt;height:97.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" filled="f" stroked="f">
                <v:textbox>
                  <w:txbxContent>
                    <w:tbl>
                      <w:tblPr>
                        <w:tblW w:w="0" w:type="auto"/>
                        <w:tblLook w:val="04A0" w:firstRow="1" w:lastRow="0" w:firstColumn="1" w:lastColumn="0" w:noHBand="0" w:noVBand="1"/>
                      </w:tblPr>
                      <w:tblGrid>
                        <w:gridCol w:w="817"/>
                        <w:gridCol w:w="2464"/>
                        <w:gridCol w:w="229"/>
                        <w:gridCol w:w="851"/>
                        <w:gridCol w:w="709"/>
                        <w:gridCol w:w="850"/>
                      </w:tblGrid>
                      <w:tr w:rsidR="003E7632" w:rsidRPr="0055776F" w14:paraId="503B6E82" w14:textId="77777777" w:rsidTr="00DE4832">
                        <w:trPr>
                          <w:gridAfter w:val="4"/>
                          <w:wAfter w:w="2639" w:type="dxa"/>
                        </w:trPr>
                        <w:tc>
                          <w:tcPr>
                            <w:tcW w:w="3281" w:type="dxa"/>
                            <w:gridSpan w:val="2"/>
                            <w:shd w:val="clear" w:color="auto" w:fill="auto"/>
                          </w:tcPr>
                          <w:p w14:paraId="5F54B979" w14:textId="77777777" w:rsidR="003E7632" w:rsidRPr="0055776F" w:rsidRDefault="003E7632" w:rsidP="00DE4832">
                            <w:pPr>
                              <w:rPr>
                                <w:rFonts w:ascii="Arial" w:hAnsi="Arial" w:cs="Arial"/>
                                <w:sz w:val="20"/>
                              </w:rPr>
                            </w:pPr>
                            <w:r>
                              <w:rPr>
                                <w:rFonts w:ascii="Arial" w:hAnsi="Arial" w:cs="Arial"/>
                                <w:sz w:val="20"/>
                              </w:rPr>
                              <w:t>P &lt; 0,0001</w:t>
                            </w:r>
                          </w:p>
                          <w:p w14:paraId="505C445A" w14:textId="77777777" w:rsidR="003E7632" w:rsidRPr="0055776F" w:rsidRDefault="003E7632" w:rsidP="00DE4832">
                            <w:pPr>
                              <w:rPr>
                                <w:rFonts w:ascii="Arial" w:hAnsi="Arial" w:cs="Arial"/>
                                <w:sz w:val="20"/>
                              </w:rPr>
                            </w:pPr>
                            <w:r>
                              <w:rPr>
                                <w:rFonts w:ascii="Arial" w:hAnsi="Arial" w:cs="Arial"/>
                                <w:sz w:val="20"/>
                              </w:rPr>
                              <w:t>Hazard ratio 0,</w:t>
                            </w:r>
                            <w:r w:rsidRPr="0055776F">
                              <w:rPr>
                                <w:rFonts w:ascii="Arial" w:hAnsi="Arial" w:cs="Arial"/>
                                <w:sz w:val="20"/>
                              </w:rPr>
                              <w:t>4</w:t>
                            </w:r>
                            <w:r>
                              <w:rPr>
                                <w:rFonts w:ascii="Arial" w:hAnsi="Arial" w:cs="Arial"/>
                                <w:sz w:val="20"/>
                              </w:rPr>
                              <w:t>6</w:t>
                            </w:r>
                          </w:p>
                          <w:p w14:paraId="7EB71206" w14:textId="77777777" w:rsidR="003E7632" w:rsidRPr="0055776F" w:rsidRDefault="003E7632" w:rsidP="00DE4832">
                            <w:pPr>
                              <w:rPr>
                                <w:rFonts w:ascii="Arial" w:hAnsi="Arial" w:cs="Arial"/>
                                <w:sz w:val="20"/>
                                <w:lang w:val="de-DE"/>
                              </w:rPr>
                            </w:pPr>
                            <w:r>
                              <w:rPr>
                                <w:rFonts w:ascii="Arial" w:hAnsi="Arial" w:cs="Arial"/>
                                <w:sz w:val="20"/>
                              </w:rPr>
                              <w:t>(95 % Kl,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3E7632" w:rsidRPr="0055776F" w14:paraId="53A063C4" w14:textId="77777777" w:rsidTr="009039A5">
                        <w:tc>
                          <w:tcPr>
                            <w:tcW w:w="817" w:type="dxa"/>
                            <w:shd w:val="clear" w:color="auto" w:fill="auto"/>
                          </w:tcPr>
                          <w:p w14:paraId="130B54A9" w14:textId="77777777" w:rsidR="003E7632" w:rsidRPr="0055776F" w:rsidRDefault="003E7632" w:rsidP="0061715E">
                            <w:pPr>
                              <w:rPr>
                                <w:rFonts w:ascii="Arial" w:hAnsi="Arial" w:cs="Arial"/>
                                <w:sz w:val="20"/>
                              </w:rPr>
                            </w:pPr>
                          </w:p>
                        </w:tc>
                        <w:tc>
                          <w:tcPr>
                            <w:tcW w:w="2693" w:type="dxa"/>
                            <w:gridSpan w:val="2"/>
                            <w:shd w:val="clear" w:color="auto" w:fill="auto"/>
                          </w:tcPr>
                          <w:p w14:paraId="34BB8C4C" w14:textId="77777777" w:rsidR="003E7632" w:rsidRPr="0055776F" w:rsidRDefault="003E7632" w:rsidP="0061715E">
                            <w:pPr>
                              <w:rPr>
                                <w:rFonts w:ascii="Arial" w:hAnsi="Arial" w:cs="Arial"/>
                                <w:sz w:val="20"/>
                              </w:rPr>
                            </w:pPr>
                          </w:p>
                        </w:tc>
                        <w:tc>
                          <w:tcPr>
                            <w:tcW w:w="851" w:type="dxa"/>
                            <w:tcBorders>
                              <w:bottom w:val="single" w:sz="4" w:space="0" w:color="auto"/>
                            </w:tcBorders>
                            <w:shd w:val="clear" w:color="auto" w:fill="auto"/>
                          </w:tcPr>
                          <w:p w14:paraId="1A01FC3B" w14:textId="77777777" w:rsidR="003E7632" w:rsidRPr="0055776F" w:rsidRDefault="003E7632" w:rsidP="0061715E">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593614E3" w14:textId="77777777" w:rsidR="003E7632" w:rsidRPr="0055776F" w:rsidRDefault="003E7632" w:rsidP="0061715E">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0ACC1DD0" w14:textId="77777777" w:rsidR="003E7632" w:rsidRPr="0055776F" w:rsidRDefault="003E7632" w:rsidP="0061715E">
                            <w:pPr>
                              <w:rPr>
                                <w:rFonts w:ascii="Arial" w:hAnsi="Arial" w:cs="Arial"/>
                                <w:sz w:val="20"/>
                              </w:rPr>
                            </w:pPr>
                            <w:r w:rsidRPr="0055776F">
                              <w:rPr>
                                <w:rFonts w:ascii="Arial" w:hAnsi="Arial" w:cs="Arial"/>
                                <w:sz w:val="20"/>
                                <w:lang w:val="de-DE"/>
                              </w:rPr>
                              <w:t>Cen</w:t>
                            </w:r>
                          </w:p>
                        </w:tc>
                      </w:tr>
                      <w:tr w:rsidR="003E7632" w:rsidRPr="0055776F" w14:paraId="4898887E" w14:textId="77777777" w:rsidTr="009039A5">
                        <w:tc>
                          <w:tcPr>
                            <w:tcW w:w="817" w:type="dxa"/>
                            <w:shd w:val="clear" w:color="auto" w:fill="auto"/>
                          </w:tcPr>
                          <w:p w14:paraId="4B2040AD" w14:textId="77777777" w:rsidR="003E7632" w:rsidRPr="0055776F" w:rsidRDefault="003E7632" w:rsidP="0061715E">
                            <w:pPr>
                              <w:rPr>
                                <w:rFonts w:ascii="Arial" w:hAnsi="Arial" w:cs="Arial"/>
                                <w:sz w:val="20"/>
                              </w:rPr>
                            </w:pPr>
                            <w:r w:rsidRPr="0055776F">
                              <w:rPr>
                                <w:rFonts w:ascii="Arial" w:hAnsi="Arial" w:cs="Arial"/>
                                <w:b/>
                                <w:sz w:val="20"/>
                              </w:rPr>
                              <w:t>——</w:t>
                            </w:r>
                          </w:p>
                        </w:tc>
                        <w:tc>
                          <w:tcPr>
                            <w:tcW w:w="2693" w:type="dxa"/>
                            <w:gridSpan w:val="2"/>
                            <w:shd w:val="clear" w:color="auto" w:fill="auto"/>
                          </w:tcPr>
                          <w:p w14:paraId="2F5E0AF5" w14:textId="77777777" w:rsidR="003E7632" w:rsidRPr="0055776F" w:rsidRDefault="003E7632" w:rsidP="000D0F5C">
                            <w:pPr>
                              <w:rPr>
                                <w:rFonts w:ascii="Arial" w:hAnsi="Arial" w:cs="Arial"/>
                                <w:sz w:val="20"/>
                              </w:rPr>
                            </w:pPr>
                            <w:r>
                              <w:rPr>
                                <w:rFonts w:ascii="Arial" w:hAnsi="Arial" w:cs="Arial"/>
                                <w:sz w:val="20"/>
                              </w:rPr>
                              <w:t>(1) Imatinib 12 månader</w:t>
                            </w:r>
                            <w:r w:rsidRPr="0055776F">
                              <w:rPr>
                                <w:rFonts w:ascii="Arial" w:hAnsi="Arial" w:cs="Arial"/>
                                <w:sz w:val="20"/>
                              </w:rPr>
                              <w:t>:</w:t>
                            </w:r>
                          </w:p>
                        </w:tc>
                        <w:tc>
                          <w:tcPr>
                            <w:tcW w:w="851" w:type="dxa"/>
                            <w:tcBorders>
                              <w:top w:val="single" w:sz="4" w:space="0" w:color="auto"/>
                            </w:tcBorders>
                            <w:shd w:val="clear" w:color="auto" w:fill="auto"/>
                          </w:tcPr>
                          <w:p w14:paraId="45D7383D" w14:textId="77777777" w:rsidR="003E7632" w:rsidRPr="0055776F" w:rsidRDefault="003E7632" w:rsidP="0061715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C9550D4" w14:textId="77777777" w:rsidR="003E7632" w:rsidRPr="0055776F" w:rsidRDefault="003E7632" w:rsidP="0061715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374AB899" w14:textId="77777777" w:rsidR="003E7632" w:rsidRPr="0055776F" w:rsidRDefault="003E7632" w:rsidP="0061715E">
                            <w:pPr>
                              <w:rPr>
                                <w:rFonts w:ascii="Arial" w:hAnsi="Arial" w:cs="Arial"/>
                                <w:sz w:val="20"/>
                              </w:rPr>
                            </w:pPr>
                            <w:r w:rsidRPr="0055776F">
                              <w:rPr>
                                <w:rFonts w:ascii="Arial" w:hAnsi="Arial" w:cs="Arial"/>
                                <w:sz w:val="20"/>
                              </w:rPr>
                              <w:t>115</w:t>
                            </w:r>
                          </w:p>
                        </w:tc>
                      </w:tr>
                      <w:tr w:rsidR="003E7632" w:rsidRPr="0055776F" w14:paraId="0890C189" w14:textId="77777777" w:rsidTr="009039A5">
                        <w:tc>
                          <w:tcPr>
                            <w:tcW w:w="817" w:type="dxa"/>
                            <w:shd w:val="clear" w:color="auto" w:fill="auto"/>
                          </w:tcPr>
                          <w:p w14:paraId="1EB92B7B"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gridSpan w:val="2"/>
                            <w:shd w:val="clear" w:color="auto" w:fill="auto"/>
                          </w:tcPr>
                          <w:p w14:paraId="40C5E221" w14:textId="77777777" w:rsidR="003E7632" w:rsidRPr="0055776F" w:rsidRDefault="003E7632" w:rsidP="000D0F5C">
                            <w:pPr>
                              <w:rPr>
                                <w:rFonts w:ascii="Arial" w:hAnsi="Arial" w:cs="Arial"/>
                                <w:sz w:val="20"/>
                              </w:rPr>
                            </w:pPr>
                            <w:r>
                              <w:rPr>
                                <w:rFonts w:ascii="Arial" w:hAnsi="Arial" w:cs="Arial"/>
                                <w:sz w:val="20"/>
                              </w:rPr>
                              <w:t>(2) Imatinib 36 månader</w:t>
                            </w:r>
                            <w:r w:rsidRPr="0055776F">
                              <w:rPr>
                                <w:rFonts w:ascii="Arial" w:hAnsi="Arial" w:cs="Arial"/>
                                <w:sz w:val="20"/>
                              </w:rPr>
                              <w:t>:</w:t>
                            </w:r>
                          </w:p>
                        </w:tc>
                        <w:tc>
                          <w:tcPr>
                            <w:tcW w:w="851" w:type="dxa"/>
                            <w:tcBorders>
                              <w:bottom w:val="single" w:sz="4" w:space="0" w:color="auto"/>
                            </w:tcBorders>
                            <w:shd w:val="clear" w:color="auto" w:fill="auto"/>
                          </w:tcPr>
                          <w:p w14:paraId="0280DAAB" w14:textId="77777777" w:rsidR="003E7632" w:rsidRPr="0055776F" w:rsidRDefault="003E7632" w:rsidP="0061715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24517AF6" w14:textId="77777777" w:rsidR="003E7632" w:rsidRPr="0055776F" w:rsidRDefault="003E7632" w:rsidP="0061715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64E6E29E" w14:textId="77777777" w:rsidR="003E7632" w:rsidRPr="0055776F" w:rsidRDefault="003E7632" w:rsidP="0061715E">
                            <w:pPr>
                              <w:rPr>
                                <w:rFonts w:ascii="Arial" w:hAnsi="Arial" w:cs="Arial"/>
                                <w:sz w:val="20"/>
                              </w:rPr>
                            </w:pPr>
                            <w:r w:rsidRPr="0055776F">
                              <w:rPr>
                                <w:rFonts w:ascii="Arial" w:hAnsi="Arial" w:cs="Arial"/>
                                <w:sz w:val="20"/>
                              </w:rPr>
                              <w:t>148</w:t>
                            </w:r>
                          </w:p>
                        </w:tc>
                      </w:tr>
                      <w:tr w:rsidR="003E7632" w:rsidRPr="0055776F" w14:paraId="0BDB43D1" w14:textId="77777777" w:rsidTr="009039A5">
                        <w:tc>
                          <w:tcPr>
                            <w:tcW w:w="817" w:type="dxa"/>
                            <w:shd w:val="clear" w:color="auto" w:fill="auto"/>
                          </w:tcPr>
                          <w:p w14:paraId="345D5B18"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gridSpan w:val="2"/>
                            <w:shd w:val="clear" w:color="auto" w:fill="auto"/>
                          </w:tcPr>
                          <w:p w14:paraId="7C7C75A4" w14:textId="77777777" w:rsidR="003E7632" w:rsidRPr="0055776F" w:rsidRDefault="003E7632" w:rsidP="0061715E">
                            <w:pPr>
                              <w:rPr>
                                <w:rFonts w:ascii="Arial" w:hAnsi="Arial" w:cs="Arial"/>
                                <w:sz w:val="20"/>
                              </w:rPr>
                            </w:pPr>
                            <w:r>
                              <w:rPr>
                                <w:rFonts w:ascii="Arial" w:hAnsi="Arial" w:cs="Arial"/>
                                <w:sz w:val="20"/>
                              </w:rPr>
                              <w:t>Censurerade observationer</w:t>
                            </w:r>
                          </w:p>
                        </w:tc>
                        <w:tc>
                          <w:tcPr>
                            <w:tcW w:w="851" w:type="dxa"/>
                            <w:tcBorders>
                              <w:top w:val="single" w:sz="4" w:space="0" w:color="auto"/>
                            </w:tcBorders>
                            <w:shd w:val="clear" w:color="auto" w:fill="auto"/>
                          </w:tcPr>
                          <w:p w14:paraId="4DBA112F" w14:textId="77777777" w:rsidR="003E7632" w:rsidRPr="0055776F" w:rsidRDefault="003E7632" w:rsidP="0061715E">
                            <w:pPr>
                              <w:rPr>
                                <w:rFonts w:ascii="Arial" w:hAnsi="Arial" w:cs="Arial"/>
                                <w:sz w:val="20"/>
                              </w:rPr>
                            </w:pPr>
                          </w:p>
                        </w:tc>
                        <w:tc>
                          <w:tcPr>
                            <w:tcW w:w="709" w:type="dxa"/>
                            <w:tcBorders>
                              <w:top w:val="single" w:sz="4" w:space="0" w:color="auto"/>
                            </w:tcBorders>
                            <w:shd w:val="clear" w:color="auto" w:fill="auto"/>
                          </w:tcPr>
                          <w:p w14:paraId="7632149C" w14:textId="77777777" w:rsidR="003E7632" w:rsidRPr="0055776F" w:rsidRDefault="003E7632" w:rsidP="0061715E">
                            <w:pPr>
                              <w:rPr>
                                <w:rFonts w:ascii="Arial" w:hAnsi="Arial" w:cs="Arial"/>
                                <w:sz w:val="20"/>
                              </w:rPr>
                            </w:pPr>
                          </w:p>
                        </w:tc>
                        <w:tc>
                          <w:tcPr>
                            <w:tcW w:w="850" w:type="dxa"/>
                            <w:tcBorders>
                              <w:top w:val="single" w:sz="4" w:space="0" w:color="auto"/>
                            </w:tcBorders>
                            <w:shd w:val="clear" w:color="auto" w:fill="auto"/>
                          </w:tcPr>
                          <w:p w14:paraId="7A4D8B05" w14:textId="77777777" w:rsidR="003E7632" w:rsidRPr="0055776F" w:rsidRDefault="003E7632" w:rsidP="0061715E">
                            <w:pPr>
                              <w:rPr>
                                <w:rFonts w:ascii="Arial" w:hAnsi="Arial" w:cs="Arial"/>
                                <w:sz w:val="20"/>
                              </w:rPr>
                            </w:pPr>
                          </w:p>
                        </w:tc>
                      </w:tr>
                    </w:tbl>
                    <w:p w14:paraId="75C56C49" w14:textId="77777777" w:rsidR="003E7632" w:rsidRPr="00A33DBA" w:rsidRDefault="003E7632" w:rsidP="00311830">
                      <w:pPr>
                        <w:rPr>
                          <w:rFonts w:ascii="Arial" w:hAnsi="Arial" w:cs="Arial"/>
                          <w:sz w:val="20"/>
                        </w:rPr>
                      </w:pPr>
                    </w:p>
                  </w:txbxContent>
                </v:textbox>
              </v:shape>
            </w:pict>
          </mc:Fallback>
        </mc:AlternateContent>
      </w:r>
      <w:r w:rsidRPr="00D82973">
        <w:rPr>
          <w:noProof/>
          <w:lang w:val="en-US"/>
        </w:rPr>
        <w:drawing>
          <wp:inline distT="0" distB="0" distL="0" distR="0" wp14:anchorId="78ACE7F4" wp14:editId="1C4B6A03">
            <wp:extent cx="5938520" cy="2682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8520" cy="2682240"/>
                    </a:xfrm>
                    <a:prstGeom prst="rect">
                      <a:avLst/>
                    </a:prstGeom>
                    <a:noFill/>
                    <a:ln>
                      <a:noFill/>
                    </a:ln>
                  </pic:spPr>
                </pic:pic>
              </a:graphicData>
            </a:graphic>
          </wp:inline>
        </w:drawing>
      </w:r>
    </w:p>
    <w:p w14:paraId="1FD87FC8" w14:textId="77777777" w:rsidR="00311830" w:rsidRDefault="000B798D" w:rsidP="00463647">
      <w:pPr>
        <w:keepNext/>
        <w:keepLines/>
        <w:widowControl w:val="0"/>
        <w:tabs>
          <w:tab w:val="clear" w:pos="567"/>
        </w:tabs>
        <w:spacing w:line="240" w:lineRule="auto"/>
        <w:rPr>
          <w:rFonts w:eastAsia="MS Mincho"/>
          <w:szCs w:val="22"/>
          <w:lang w:val="en-US"/>
        </w:rPr>
      </w:pPr>
      <w:r>
        <w:rPr>
          <w:rFonts w:eastAsia="MS Mincho"/>
          <w:noProof/>
          <w:szCs w:val="22"/>
          <w:lang w:val="en-US"/>
        </w:rPr>
        <mc:AlternateContent>
          <mc:Choice Requires="wps">
            <w:drawing>
              <wp:anchor distT="0" distB="0" distL="114300" distR="114300" simplePos="0" relativeHeight="251653632" behindDoc="0" locked="0" layoutInCell="1" allowOverlap="1" wp14:anchorId="142EBE00" wp14:editId="603BAF5C">
                <wp:simplePos x="0" y="0"/>
                <wp:positionH relativeFrom="column">
                  <wp:posOffset>2320290</wp:posOffset>
                </wp:positionH>
                <wp:positionV relativeFrom="paragraph">
                  <wp:posOffset>13335</wp:posOffset>
                </wp:positionV>
                <wp:extent cx="1903730" cy="2857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D5B7" w14:textId="77777777" w:rsidR="003E7632" w:rsidRPr="00A33DBA" w:rsidRDefault="003E7632" w:rsidP="009039A5">
                            <w:pPr>
                              <w:rPr>
                                <w:rFonts w:ascii="Arial" w:hAnsi="Arial" w:cs="Arial"/>
                                <w:sz w:val="20"/>
                              </w:rPr>
                            </w:pPr>
                            <w:r>
                              <w:rPr>
                                <w:rFonts w:ascii="Arial" w:hAnsi="Arial" w:cs="Arial"/>
                                <w:sz w:val="20"/>
                                <w:lang w:val="de-DE"/>
                              </w:rPr>
                              <w:t>Överlevnadstid (månader)</w:t>
                            </w:r>
                          </w:p>
                          <w:p w14:paraId="0B55AC58" w14:textId="77777777" w:rsidR="003E7632" w:rsidRPr="00A33DBA" w:rsidRDefault="003E7632" w:rsidP="00311830">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2EBE00" id="_x0000_s1027" type="#_x0000_t202" style="position:absolute;margin-left:182.7pt;margin-top:1.05pt;width:149.9pt;height: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" stroked="f">
                <v:fill opacity="0"/>
                <v:textbox>
                  <w:txbxContent>
                    <w:p w14:paraId="492AD5B7" w14:textId="77777777" w:rsidR="003E7632" w:rsidRPr="00A33DBA" w:rsidRDefault="003E7632" w:rsidP="009039A5">
                      <w:pPr>
                        <w:rPr>
                          <w:rFonts w:ascii="Arial" w:hAnsi="Arial" w:cs="Arial"/>
                          <w:sz w:val="20"/>
                        </w:rPr>
                      </w:pPr>
                      <w:r>
                        <w:rPr>
                          <w:rFonts w:ascii="Arial" w:hAnsi="Arial" w:cs="Arial"/>
                          <w:sz w:val="20"/>
                          <w:lang w:val="de-DE"/>
                        </w:rPr>
                        <w:t>Överlevnadstid (månader)</w:t>
                      </w:r>
                    </w:p>
                    <w:p w14:paraId="0B55AC58" w14:textId="77777777" w:rsidR="003E7632" w:rsidRPr="00A33DBA" w:rsidRDefault="003E7632" w:rsidP="00311830">
                      <w:pPr>
                        <w:rPr>
                          <w:rFonts w:ascii="Arial" w:hAnsi="Arial" w:cs="Arial"/>
                          <w:sz w:val="20"/>
                        </w:rPr>
                      </w:pPr>
                    </w:p>
                  </w:txbxContent>
                </v:textbox>
              </v:shape>
            </w:pict>
          </mc:Fallback>
        </mc:AlternateContent>
      </w:r>
    </w:p>
    <w:p w14:paraId="4FAAE802" w14:textId="77777777" w:rsidR="00311830" w:rsidRDefault="00311830" w:rsidP="00463647">
      <w:pPr>
        <w:keepNext/>
        <w:keepLines/>
        <w:widowControl w:val="0"/>
        <w:tabs>
          <w:tab w:val="clear" w:pos="567"/>
        </w:tabs>
        <w:spacing w:line="240" w:lineRule="auto"/>
        <w:rPr>
          <w:rFonts w:eastAsia="MS Mincho"/>
          <w:szCs w:val="22"/>
          <w:lang w:val="en-US"/>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311830" w:rsidRPr="009039A5" w14:paraId="358C9C45" w14:textId="77777777" w:rsidTr="008D2766">
        <w:tc>
          <w:tcPr>
            <w:tcW w:w="10599" w:type="dxa"/>
            <w:gridSpan w:val="16"/>
            <w:shd w:val="clear" w:color="auto" w:fill="auto"/>
          </w:tcPr>
          <w:p w14:paraId="6A937216" w14:textId="77777777" w:rsidR="00311830" w:rsidRPr="009039A5" w:rsidRDefault="009039A5" w:rsidP="00463647">
            <w:pPr>
              <w:keepNext/>
              <w:keepLines/>
              <w:widowControl w:val="0"/>
              <w:spacing w:line="240" w:lineRule="auto"/>
              <w:ind w:left="-27"/>
              <w:rPr>
                <w:rFonts w:ascii="Arial" w:hAnsi="Arial" w:cs="Arial"/>
                <w:sz w:val="16"/>
                <w:szCs w:val="16"/>
              </w:rPr>
            </w:pPr>
            <w:r w:rsidRPr="009039A5">
              <w:rPr>
                <w:rFonts w:ascii="Arial" w:hAnsi="Arial" w:cs="Arial"/>
                <w:sz w:val="20"/>
              </w:rPr>
              <w:t>Risk : Händelser</w:t>
            </w:r>
          </w:p>
        </w:tc>
      </w:tr>
      <w:tr w:rsidR="00311830" w:rsidRPr="00311830" w14:paraId="075C4DCD" w14:textId="77777777" w:rsidTr="008D2766">
        <w:tc>
          <w:tcPr>
            <w:tcW w:w="450" w:type="dxa"/>
            <w:shd w:val="clear" w:color="auto" w:fill="auto"/>
          </w:tcPr>
          <w:p w14:paraId="6E53DA95" w14:textId="77777777" w:rsidR="00311830" w:rsidRPr="00311830" w:rsidRDefault="00311830" w:rsidP="00463647">
            <w:pPr>
              <w:keepNext/>
              <w:keepLines/>
              <w:widowControl w:val="0"/>
              <w:spacing w:line="240" w:lineRule="auto"/>
              <w:rPr>
                <w:sz w:val="18"/>
                <w:szCs w:val="18"/>
              </w:rPr>
            </w:pPr>
            <w:r w:rsidRPr="00311830">
              <w:rPr>
                <w:sz w:val="18"/>
                <w:szCs w:val="18"/>
              </w:rPr>
              <w:t>(1)</w:t>
            </w:r>
          </w:p>
        </w:tc>
        <w:tc>
          <w:tcPr>
            <w:tcW w:w="646" w:type="dxa"/>
            <w:shd w:val="clear" w:color="auto" w:fill="auto"/>
          </w:tcPr>
          <w:p w14:paraId="21F565F7" w14:textId="77777777" w:rsidR="00311830" w:rsidRPr="00311830" w:rsidRDefault="00311830" w:rsidP="00463647">
            <w:pPr>
              <w:keepNext/>
              <w:keepLines/>
              <w:widowControl w:val="0"/>
              <w:spacing w:line="240" w:lineRule="auto"/>
              <w:ind w:left="-27"/>
              <w:rPr>
                <w:sz w:val="18"/>
                <w:szCs w:val="18"/>
              </w:rPr>
            </w:pPr>
            <w:r w:rsidRPr="00311830">
              <w:rPr>
                <w:sz w:val="18"/>
                <w:szCs w:val="18"/>
              </w:rPr>
              <w:t>199:0</w:t>
            </w:r>
          </w:p>
        </w:tc>
        <w:tc>
          <w:tcPr>
            <w:tcW w:w="645" w:type="dxa"/>
            <w:shd w:val="clear" w:color="auto" w:fill="auto"/>
          </w:tcPr>
          <w:p w14:paraId="5E55747E" w14:textId="77777777" w:rsidR="00311830" w:rsidRPr="00311830" w:rsidRDefault="00311830" w:rsidP="00463647">
            <w:pPr>
              <w:keepNext/>
              <w:keepLines/>
              <w:widowControl w:val="0"/>
              <w:spacing w:line="240" w:lineRule="auto"/>
              <w:ind w:left="-27"/>
              <w:rPr>
                <w:sz w:val="18"/>
                <w:szCs w:val="18"/>
              </w:rPr>
            </w:pPr>
            <w:r w:rsidRPr="00311830">
              <w:rPr>
                <w:sz w:val="18"/>
                <w:szCs w:val="18"/>
              </w:rPr>
              <w:t>182:8</w:t>
            </w:r>
          </w:p>
        </w:tc>
        <w:tc>
          <w:tcPr>
            <w:tcW w:w="745" w:type="dxa"/>
            <w:shd w:val="clear" w:color="auto" w:fill="auto"/>
          </w:tcPr>
          <w:p w14:paraId="0F62F5B8" w14:textId="77777777" w:rsidR="00311830" w:rsidRPr="00311830" w:rsidRDefault="00311830" w:rsidP="00463647">
            <w:pPr>
              <w:keepNext/>
              <w:keepLines/>
              <w:widowControl w:val="0"/>
              <w:spacing w:line="240" w:lineRule="auto"/>
              <w:ind w:left="-27"/>
              <w:rPr>
                <w:sz w:val="18"/>
                <w:szCs w:val="18"/>
              </w:rPr>
            </w:pPr>
            <w:r w:rsidRPr="00311830">
              <w:rPr>
                <w:sz w:val="18"/>
                <w:szCs w:val="18"/>
              </w:rPr>
              <w:t>177:12</w:t>
            </w:r>
          </w:p>
        </w:tc>
        <w:tc>
          <w:tcPr>
            <w:tcW w:w="745" w:type="dxa"/>
            <w:shd w:val="clear" w:color="auto" w:fill="auto"/>
          </w:tcPr>
          <w:p w14:paraId="6279558E" w14:textId="77777777" w:rsidR="00311830" w:rsidRPr="00311830" w:rsidRDefault="00311830" w:rsidP="00463647">
            <w:pPr>
              <w:keepNext/>
              <w:keepLines/>
              <w:widowControl w:val="0"/>
              <w:spacing w:line="240" w:lineRule="auto"/>
              <w:ind w:left="-27"/>
              <w:rPr>
                <w:sz w:val="18"/>
                <w:szCs w:val="18"/>
              </w:rPr>
            </w:pPr>
            <w:r w:rsidRPr="00311830">
              <w:rPr>
                <w:sz w:val="18"/>
                <w:szCs w:val="18"/>
              </w:rPr>
              <w:t>163:25</w:t>
            </w:r>
          </w:p>
        </w:tc>
        <w:tc>
          <w:tcPr>
            <w:tcW w:w="745" w:type="dxa"/>
            <w:shd w:val="clear" w:color="auto" w:fill="auto"/>
          </w:tcPr>
          <w:p w14:paraId="63D40DE3" w14:textId="77777777" w:rsidR="00311830" w:rsidRPr="00311830" w:rsidRDefault="00311830" w:rsidP="00463647">
            <w:pPr>
              <w:keepNext/>
              <w:keepLines/>
              <w:widowControl w:val="0"/>
              <w:spacing w:line="240" w:lineRule="auto"/>
              <w:ind w:left="-27"/>
              <w:rPr>
                <w:sz w:val="18"/>
                <w:szCs w:val="18"/>
              </w:rPr>
            </w:pPr>
            <w:r w:rsidRPr="00311830">
              <w:rPr>
                <w:sz w:val="18"/>
                <w:szCs w:val="18"/>
              </w:rPr>
              <w:t>137:46</w:t>
            </w:r>
          </w:p>
        </w:tc>
        <w:tc>
          <w:tcPr>
            <w:tcW w:w="752" w:type="dxa"/>
            <w:shd w:val="clear" w:color="auto" w:fill="auto"/>
          </w:tcPr>
          <w:p w14:paraId="5925AD7B" w14:textId="77777777" w:rsidR="00311830" w:rsidRPr="00311830" w:rsidRDefault="00311830" w:rsidP="00463647">
            <w:pPr>
              <w:keepNext/>
              <w:keepLines/>
              <w:widowControl w:val="0"/>
              <w:spacing w:line="240" w:lineRule="auto"/>
              <w:ind w:left="-27"/>
              <w:rPr>
                <w:sz w:val="18"/>
                <w:szCs w:val="18"/>
              </w:rPr>
            </w:pPr>
            <w:r w:rsidRPr="00311830">
              <w:rPr>
                <w:sz w:val="18"/>
                <w:szCs w:val="18"/>
              </w:rPr>
              <w:t>105:65</w:t>
            </w:r>
          </w:p>
        </w:tc>
        <w:tc>
          <w:tcPr>
            <w:tcW w:w="745" w:type="dxa"/>
            <w:shd w:val="clear" w:color="auto" w:fill="auto"/>
          </w:tcPr>
          <w:p w14:paraId="157D36BB" w14:textId="77777777" w:rsidR="00311830" w:rsidRPr="00311830" w:rsidRDefault="00311830" w:rsidP="00463647">
            <w:pPr>
              <w:keepNext/>
              <w:keepLines/>
              <w:widowControl w:val="0"/>
              <w:spacing w:line="240" w:lineRule="auto"/>
              <w:ind w:left="-27"/>
              <w:rPr>
                <w:sz w:val="18"/>
                <w:szCs w:val="18"/>
              </w:rPr>
            </w:pPr>
            <w:r w:rsidRPr="00311830">
              <w:rPr>
                <w:sz w:val="18"/>
                <w:szCs w:val="18"/>
              </w:rPr>
              <w:t>88:72</w:t>
            </w:r>
          </w:p>
        </w:tc>
        <w:tc>
          <w:tcPr>
            <w:tcW w:w="745" w:type="dxa"/>
            <w:shd w:val="clear" w:color="auto" w:fill="auto"/>
          </w:tcPr>
          <w:p w14:paraId="7FA95EC0" w14:textId="77777777" w:rsidR="00311830" w:rsidRPr="00311830" w:rsidRDefault="00311830" w:rsidP="00463647">
            <w:pPr>
              <w:keepNext/>
              <w:keepLines/>
              <w:widowControl w:val="0"/>
              <w:spacing w:line="240" w:lineRule="auto"/>
              <w:ind w:left="-27"/>
              <w:rPr>
                <w:sz w:val="18"/>
                <w:szCs w:val="18"/>
              </w:rPr>
            </w:pPr>
            <w:r w:rsidRPr="00311830">
              <w:rPr>
                <w:sz w:val="18"/>
                <w:szCs w:val="18"/>
              </w:rPr>
              <w:t>61:77</w:t>
            </w:r>
          </w:p>
        </w:tc>
        <w:tc>
          <w:tcPr>
            <w:tcW w:w="652" w:type="dxa"/>
            <w:shd w:val="clear" w:color="auto" w:fill="auto"/>
          </w:tcPr>
          <w:p w14:paraId="1FA4DC25" w14:textId="77777777" w:rsidR="00311830" w:rsidRPr="00311830" w:rsidRDefault="00311830" w:rsidP="00463647">
            <w:pPr>
              <w:keepNext/>
              <w:keepLines/>
              <w:widowControl w:val="0"/>
              <w:spacing w:line="240" w:lineRule="auto"/>
              <w:ind w:left="-27"/>
              <w:rPr>
                <w:sz w:val="18"/>
                <w:szCs w:val="18"/>
              </w:rPr>
            </w:pPr>
            <w:r w:rsidRPr="00311830">
              <w:rPr>
                <w:sz w:val="18"/>
                <w:szCs w:val="18"/>
              </w:rPr>
              <w:t>49:81</w:t>
            </w:r>
          </w:p>
        </w:tc>
        <w:tc>
          <w:tcPr>
            <w:tcW w:w="652" w:type="dxa"/>
            <w:shd w:val="clear" w:color="auto" w:fill="auto"/>
          </w:tcPr>
          <w:p w14:paraId="129E3C9A" w14:textId="77777777" w:rsidR="00311830" w:rsidRPr="00311830" w:rsidRDefault="00311830" w:rsidP="00463647">
            <w:pPr>
              <w:keepNext/>
              <w:keepLines/>
              <w:widowControl w:val="0"/>
              <w:spacing w:line="240" w:lineRule="auto"/>
              <w:ind w:left="-27"/>
              <w:rPr>
                <w:sz w:val="18"/>
                <w:szCs w:val="18"/>
              </w:rPr>
            </w:pPr>
            <w:r w:rsidRPr="00311830">
              <w:rPr>
                <w:sz w:val="18"/>
                <w:szCs w:val="18"/>
              </w:rPr>
              <w:t>36:83</w:t>
            </w:r>
          </w:p>
        </w:tc>
        <w:tc>
          <w:tcPr>
            <w:tcW w:w="649" w:type="dxa"/>
            <w:shd w:val="clear" w:color="auto" w:fill="auto"/>
          </w:tcPr>
          <w:p w14:paraId="5B87AC85" w14:textId="77777777" w:rsidR="00311830" w:rsidRPr="00311830" w:rsidRDefault="00311830" w:rsidP="00463647">
            <w:pPr>
              <w:keepNext/>
              <w:keepLines/>
              <w:widowControl w:val="0"/>
              <w:spacing w:line="240" w:lineRule="auto"/>
              <w:ind w:left="-27"/>
              <w:rPr>
                <w:sz w:val="18"/>
                <w:szCs w:val="18"/>
              </w:rPr>
            </w:pPr>
            <w:r w:rsidRPr="00311830">
              <w:rPr>
                <w:sz w:val="18"/>
                <w:szCs w:val="18"/>
              </w:rPr>
              <w:t>27:84</w:t>
            </w:r>
          </w:p>
        </w:tc>
        <w:tc>
          <w:tcPr>
            <w:tcW w:w="660" w:type="dxa"/>
            <w:shd w:val="clear" w:color="auto" w:fill="auto"/>
          </w:tcPr>
          <w:p w14:paraId="7EF25C94" w14:textId="77777777" w:rsidR="00311830" w:rsidRPr="00311830" w:rsidRDefault="00311830" w:rsidP="00463647">
            <w:pPr>
              <w:keepNext/>
              <w:keepLines/>
              <w:widowControl w:val="0"/>
              <w:spacing w:line="240" w:lineRule="auto"/>
              <w:ind w:left="-27"/>
              <w:rPr>
                <w:sz w:val="18"/>
                <w:szCs w:val="18"/>
              </w:rPr>
            </w:pPr>
            <w:r w:rsidRPr="00311830">
              <w:rPr>
                <w:sz w:val="18"/>
                <w:szCs w:val="18"/>
              </w:rPr>
              <w:t>14:84</w:t>
            </w:r>
          </w:p>
        </w:tc>
        <w:tc>
          <w:tcPr>
            <w:tcW w:w="649" w:type="dxa"/>
            <w:shd w:val="clear" w:color="auto" w:fill="auto"/>
          </w:tcPr>
          <w:p w14:paraId="32D69A0B" w14:textId="77777777" w:rsidR="00311830" w:rsidRPr="00311830" w:rsidRDefault="00311830" w:rsidP="00463647">
            <w:pPr>
              <w:keepNext/>
              <w:keepLines/>
              <w:widowControl w:val="0"/>
              <w:spacing w:line="240" w:lineRule="auto"/>
              <w:ind w:left="-27"/>
              <w:rPr>
                <w:sz w:val="18"/>
                <w:szCs w:val="18"/>
              </w:rPr>
            </w:pPr>
            <w:r w:rsidRPr="00311830">
              <w:rPr>
                <w:sz w:val="18"/>
                <w:szCs w:val="18"/>
              </w:rPr>
              <w:t>10:84</w:t>
            </w:r>
          </w:p>
        </w:tc>
        <w:tc>
          <w:tcPr>
            <w:tcW w:w="564" w:type="dxa"/>
            <w:shd w:val="clear" w:color="auto" w:fill="auto"/>
          </w:tcPr>
          <w:p w14:paraId="6DE070A2" w14:textId="77777777" w:rsidR="00311830" w:rsidRPr="00311830" w:rsidRDefault="00311830" w:rsidP="00463647">
            <w:pPr>
              <w:keepNext/>
              <w:keepLines/>
              <w:widowControl w:val="0"/>
              <w:spacing w:line="240" w:lineRule="auto"/>
              <w:ind w:left="-27"/>
              <w:rPr>
                <w:sz w:val="18"/>
                <w:szCs w:val="18"/>
              </w:rPr>
            </w:pPr>
            <w:r w:rsidRPr="00311830">
              <w:rPr>
                <w:sz w:val="18"/>
                <w:szCs w:val="18"/>
              </w:rPr>
              <w:t>2:84</w:t>
            </w:r>
          </w:p>
        </w:tc>
        <w:tc>
          <w:tcPr>
            <w:tcW w:w="555" w:type="dxa"/>
            <w:shd w:val="clear" w:color="auto" w:fill="auto"/>
          </w:tcPr>
          <w:p w14:paraId="564DF27B" w14:textId="77777777" w:rsidR="00311830" w:rsidRPr="00311830" w:rsidRDefault="00311830" w:rsidP="00463647">
            <w:pPr>
              <w:keepNext/>
              <w:keepLines/>
              <w:widowControl w:val="0"/>
              <w:spacing w:line="240" w:lineRule="auto"/>
              <w:ind w:left="-27"/>
              <w:rPr>
                <w:sz w:val="18"/>
                <w:szCs w:val="18"/>
              </w:rPr>
            </w:pPr>
            <w:r w:rsidRPr="00311830">
              <w:rPr>
                <w:sz w:val="18"/>
                <w:szCs w:val="18"/>
              </w:rPr>
              <w:t>0:84</w:t>
            </w:r>
          </w:p>
        </w:tc>
      </w:tr>
      <w:tr w:rsidR="00311830" w:rsidRPr="00311830" w14:paraId="49814B1D" w14:textId="77777777" w:rsidTr="008D2766">
        <w:tc>
          <w:tcPr>
            <w:tcW w:w="450" w:type="dxa"/>
            <w:shd w:val="clear" w:color="auto" w:fill="auto"/>
          </w:tcPr>
          <w:p w14:paraId="7B216146" w14:textId="77777777" w:rsidR="00311830" w:rsidRPr="00311830" w:rsidRDefault="00311830" w:rsidP="00463647">
            <w:pPr>
              <w:keepNext/>
              <w:keepLines/>
              <w:widowControl w:val="0"/>
              <w:spacing w:line="240" w:lineRule="auto"/>
              <w:rPr>
                <w:sz w:val="18"/>
                <w:szCs w:val="18"/>
              </w:rPr>
            </w:pPr>
            <w:r w:rsidRPr="00311830">
              <w:rPr>
                <w:sz w:val="18"/>
                <w:szCs w:val="18"/>
              </w:rPr>
              <w:t>(2)</w:t>
            </w:r>
          </w:p>
        </w:tc>
        <w:tc>
          <w:tcPr>
            <w:tcW w:w="646" w:type="dxa"/>
            <w:shd w:val="clear" w:color="auto" w:fill="auto"/>
          </w:tcPr>
          <w:p w14:paraId="4A9DB649" w14:textId="77777777" w:rsidR="00311830" w:rsidRPr="00311830" w:rsidRDefault="00311830" w:rsidP="00463647">
            <w:pPr>
              <w:keepNext/>
              <w:keepLines/>
              <w:widowControl w:val="0"/>
              <w:spacing w:line="240" w:lineRule="auto"/>
              <w:ind w:left="-27"/>
              <w:rPr>
                <w:sz w:val="18"/>
                <w:szCs w:val="18"/>
              </w:rPr>
            </w:pPr>
            <w:r w:rsidRPr="00311830">
              <w:rPr>
                <w:sz w:val="18"/>
                <w:szCs w:val="18"/>
              </w:rPr>
              <w:t>198:0</w:t>
            </w:r>
          </w:p>
        </w:tc>
        <w:tc>
          <w:tcPr>
            <w:tcW w:w="645" w:type="dxa"/>
            <w:shd w:val="clear" w:color="auto" w:fill="auto"/>
          </w:tcPr>
          <w:p w14:paraId="1F66F21A" w14:textId="77777777" w:rsidR="00311830" w:rsidRPr="00311830" w:rsidRDefault="00311830" w:rsidP="00463647">
            <w:pPr>
              <w:keepNext/>
              <w:keepLines/>
              <w:widowControl w:val="0"/>
              <w:spacing w:line="240" w:lineRule="auto"/>
              <w:ind w:left="-27"/>
              <w:rPr>
                <w:sz w:val="18"/>
                <w:szCs w:val="18"/>
              </w:rPr>
            </w:pPr>
            <w:r w:rsidRPr="00311830">
              <w:rPr>
                <w:sz w:val="18"/>
                <w:szCs w:val="18"/>
              </w:rPr>
              <w:t>189:5</w:t>
            </w:r>
          </w:p>
        </w:tc>
        <w:tc>
          <w:tcPr>
            <w:tcW w:w="745" w:type="dxa"/>
            <w:shd w:val="clear" w:color="auto" w:fill="auto"/>
          </w:tcPr>
          <w:p w14:paraId="4B629248" w14:textId="77777777" w:rsidR="00311830" w:rsidRPr="00311830" w:rsidRDefault="00311830" w:rsidP="00463647">
            <w:pPr>
              <w:keepNext/>
              <w:keepLines/>
              <w:widowControl w:val="0"/>
              <w:spacing w:line="240" w:lineRule="auto"/>
              <w:ind w:left="-27"/>
              <w:rPr>
                <w:sz w:val="18"/>
                <w:szCs w:val="18"/>
              </w:rPr>
            </w:pPr>
            <w:r w:rsidRPr="00311830">
              <w:rPr>
                <w:sz w:val="18"/>
                <w:szCs w:val="18"/>
              </w:rPr>
              <w:t>184:8</w:t>
            </w:r>
          </w:p>
        </w:tc>
        <w:tc>
          <w:tcPr>
            <w:tcW w:w="745" w:type="dxa"/>
            <w:shd w:val="clear" w:color="auto" w:fill="auto"/>
          </w:tcPr>
          <w:p w14:paraId="1F92AEE6" w14:textId="77777777" w:rsidR="00311830" w:rsidRPr="00311830" w:rsidRDefault="00311830" w:rsidP="00463647">
            <w:pPr>
              <w:keepNext/>
              <w:keepLines/>
              <w:widowControl w:val="0"/>
              <w:spacing w:line="240" w:lineRule="auto"/>
              <w:ind w:left="-27"/>
              <w:rPr>
                <w:sz w:val="18"/>
                <w:szCs w:val="18"/>
              </w:rPr>
            </w:pPr>
            <w:r w:rsidRPr="00311830">
              <w:rPr>
                <w:sz w:val="18"/>
                <w:szCs w:val="18"/>
              </w:rPr>
              <w:t>181:11</w:t>
            </w:r>
          </w:p>
        </w:tc>
        <w:tc>
          <w:tcPr>
            <w:tcW w:w="745" w:type="dxa"/>
            <w:shd w:val="clear" w:color="auto" w:fill="auto"/>
          </w:tcPr>
          <w:p w14:paraId="594C5FC1" w14:textId="77777777" w:rsidR="00311830" w:rsidRPr="00311830" w:rsidRDefault="00311830" w:rsidP="00463647">
            <w:pPr>
              <w:keepNext/>
              <w:keepLines/>
              <w:widowControl w:val="0"/>
              <w:spacing w:line="240" w:lineRule="auto"/>
              <w:ind w:left="-27"/>
              <w:rPr>
                <w:sz w:val="18"/>
                <w:szCs w:val="18"/>
              </w:rPr>
            </w:pPr>
            <w:r w:rsidRPr="00311830">
              <w:rPr>
                <w:sz w:val="18"/>
                <w:szCs w:val="18"/>
              </w:rPr>
              <w:t>173:18</w:t>
            </w:r>
          </w:p>
        </w:tc>
        <w:tc>
          <w:tcPr>
            <w:tcW w:w="752" w:type="dxa"/>
            <w:shd w:val="clear" w:color="auto" w:fill="auto"/>
          </w:tcPr>
          <w:p w14:paraId="620263C6" w14:textId="77777777" w:rsidR="00311830" w:rsidRPr="00311830" w:rsidRDefault="00311830" w:rsidP="00463647">
            <w:pPr>
              <w:keepNext/>
              <w:keepLines/>
              <w:widowControl w:val="0"/>
              <w:spacing w:line="240" w:lineRule="auto"/>
              <w:ind w:left="-27"/>
              <w:rPr>
                <w:sz w:val="18"/>
                <w:szCs w:val="18"/>
              </w:rPr>
            </w:pPr>
            <w:r w:rsidRPr="00311830">
              <w:rPr>
                <w:sz w:val="18"/>
                <w:szCs w:val="18"/>
              </w:rPr>
              <w:t>152:22</w:t>
            </w:r>
          </w:p>
        </w:tc>
        <w:tc>
          <w:tcPr>
            <w:tcW w:w="745" w:type="dxa"/>
            <w:shd w:val="clear" w:color="auto" w:fill="auto"/>
          </w:tcPr>
          <w:p w14:paraId="10BA9C04" w14:textId="77777777" w:rsidR="00311830" w:rsidRPr="00311830" w:rsidRDefault="00311830" w:rsidP="00463647">
            <w:pPr>
              <w:keepNext/>
              <w:keepLines/>
              <w:widowControl w:val="0"/>
              <w:spacing w:line="240" w:lineRule="auto"/>
              <w:ind w:left="-27"/>
              <w:rPr>
                <w:sz w:val="18"/>
                <w:szCs w:val="18"/>
              </w:rPr>
            </w:pPr>
            <w:r w:rsidRPr="00311830">
              <w:rPr>
                <w:sz w:val="18"/>
                <w:szCs w:val="18"/>
              </w:rPr>
              <w:t>133:25</w:t>
            </w:r>
          </w:p>
        </w:tc>
        <w:tc>
          <w:tcPr>
            <w:tcW w:w="745" w:type="dxa"/>
            <w:shd w:val="clear" w:color="auto" w:fill="auto"/>
          </w:tcPr>
          <w:p w14:paraId="62000D4F" w14:textId="77777777" w:rsidR="00311830" w:rsidRPr="00311830" w:rsidRDefault="00311830" w:rsidP="00463647">
            <w:pPr>
              <w:keepNext/>
              <w:keepLines/>
              <w:widowControl w:val="0"/>
              <w:spacing w:line="240" w:lineRule="auto"/>
              <w:ind w:left="-27"/>
              <w:rPr>
                <w:sz w:val="18"/>
                <w:szCs w:val="18"/>
              </w:rPr>
            </w:pPr>
            <w:r w:rsidRPr="00311830">
              <w:rPr>
                <w:sz w:val="18"/>
                <w:szCs w:val="18"/>
              </w:rPr>
              <w:t>102:29</w:t>
            </w:r>
          </w:p>
        </w:tc>
        <w:tc>
          <w:tcPr>
            <w:tcW w:w="652" w:type="dxa"/>
            <w:shd w:val="clear" w:color="auto" w:fill="auto"/>
          </w:tcPr>
          <w:p w14:paraId="370B70F5" w14:textId="77777777" w:rsidR="00311830" w:rsidRPr="00311830" w:rsidRDefault="00311830" w:rsidP="00463647">
            <w:pPr>
              <w:keepNext/>
              <w:keepLines/>
              <w:widowControl w:val="0"/>
              <w:spacing w:line="240" w:lineRule="auto"/>
              <w:ind w:left="-27"/>
              <w:rPr>
                <w:sz w:val="18"/>
                <w:szCs w:val="18"/>
              </w:rPr>
            </w:pPr>
            <w:r w:rsidRPr="00311830">
              <w:rPr>
                <w:sz w:val="18"/>
                <w:szCs w:val="18"/>
              </w:rPr>
              <w:t>82:35</w:t>
            </w:r>
          </w:p>
        </w:tc>
        <w:tc>
          <w:tcPr>
            <w:tcW w:w="652" w:type="dxa"/>
            <w:shd w:val="clear" w:color="auto" w:fill="auto"/>
          </w:tcPr>
          <w:p w14:paraId="4CF93800" w14:textId="77777777" w:rsidR="00311830" w:rsidRPr="00311830" w:rsidRDefault="00311830" w:rsidP="00463647">
            <w:pPr>
              <w:keepNext/>
              <w:keepLines/>
              <w:widowControl w:val="0"/>
              <w:spacing w:line="240" w:lineRule="auto"/>
              <w:ind w:left="-27"/>
              <w:rPr>
                <w:sz w:val="18"/>
                <w:szCs w:val="18"/>
              </w:rPr>
            </w:pPr>
            <w:r w:rsidRPr="00311830">
              <w:rPr>
                <w:sz w:val="18"/>
                <w:szCs w:val="18"/>
              </w:rPr>
              <w:t>54:46</w:t>
            </w:r>
          </w:p>
        </w:tc>
        <w:tc>
          <w:tcPr>
            <w:tcW w:w="649" w:type="dxa"/>
            <w:shd w:val="clear" w:color="auto" w:fill="auto"/>
          </w:tcPr>
          <w:p w14:paraId="0FE63F68" w14:textId="77777777" w:rsidR="00311830" w:rsidRPr="00311830" w:rsidRDefault="00311830" w:rsidP="00463647">
            <w:pPr>
              <w:keepNext/>
              <w:keepLines/>
              <w:widowControl w:val="0"/>
              <w:spacing w:line="240" w:lineRule="auto"/>
              <w:ind w:left="-27"/>
              <w:rPr>
                <w:sz w:val="18"/>
                <w:szCs w:val="18"/>
              </w:rPr>
            </w:pPr>
            <w:r w:rsidRPr="00311830">
              <w:rPr>
                <w:sz w:val="18"/>
                <w:szCs w:val="18"/>
              </w:rPr>
              <w:t>39:47</w:t>
            </w:r>
          </w:p>
        </w:tc>
        <w:tc>
          <w:tcPr>
            <w:tcW w:w="660" w:type="dxa"/>
            <w:shd w:val="clear" w:color="auto" w:fill="auto"/>
          </w:tcPr>
          <w:p w14:paraId="0F1B1F5F" w14:textId="77777777" w:rsidR="00311830" w:rsidRPr="00311830" w:rsidRDefault="00311830" w:rsidP="00463647">
            <w:pPr>
              <w:keepNext/>
              <w:keepLines/>
              <w:widowControl w:val="0"/>
              <w:spacing w:line="240" w:lineRule="auto"/>
              <w:ind w:left="-27"/>
              <w:rPr>
                <w:sz w:val="18"/>
                <w:szCs w:val="18"/>
              </w:rPr>
            </w:pPr>
            <w:r w:rsidRPr="00311830">
              <w:rPr>
                <w:sz w:val="18"/>
                <w:szCs w:val="18"/>
              </w:rPr>
              <w:t>21:49</w:t>
            </w:r>
          </w:p>
        </w:tc>
        <w:tc>
          <w:tcPr>
            <w:tcW w:w="649" w:type="dxa"/>
            <w:shd w:val="clear" w:color="auto" w:fill="auto"/>
          </w:tcPr>
          <w:p w14:paraId="1E8F47E5" w14:textId="77777777" w:rsidR="00311830" w:rsidRPr="00311830" w:rsidRDefault="00311830" w:rsidP="00463647">
            <w:pPr>
              <w:keepNext/>
              <w:keepLines/>
              <w:widowControl w:val="0"/>
              <w:spacing w:line="240" w:lineRule="auto"/>
              <w:ind w:left="-27"/>
              <w:rPr>
                <w:sz w:val="18"/>
                <w:szCs w:val="18"/>
              </w:rPr>
            </w:pPr>
            <w:r w:rsidRPr="00311830">
              <w:rPr>
                <w:sz w:val="18"/>
                <w:szCs w:val="18"/>
              </w:rPr>
              <w:t>8:50</w:t>
            </w:r>
          </w:p>
        </w:tc>
        <w:tc>
          <w:tcPr>
            <w:tcW w:w="564" w:type="dxa"/>
            <w:shd w:val="clear" w:color="auto" w:fill="auto"/>
          </w:tcPr>
          <w:p w14:paraId="79C5E17F" w14:textId="77777777" w:rsidR="00311830" w:rsidRPr="00311830" w:rsidRDefault="00311830" w:rsidP="00463647">
            <w:pPr>
              <w:keepNext/>
              <w:keepLines/>
              <w:widowControl w:val="0"/>
              <w:spacing w:line="240" w:lineRule="auto"/>
              <w:ind w:left="-27"/>
              <w:rPr>
                <w:sz w:val="18"/>
                <w:szCs w:val="18"/>
              </w:rPr>
            </w:pPr>
            <w:r w:rsidRPr="00311830">
              <w:rPr>
                <w:sz w:val="18"/>
                <w:szCs w:val="18"/>
              </w:rPr>
              <w:t>0:50</w:t>
            </w:r>
          </w:p>
        </w:tc>
        <w:tc>
          <w:tcPr>
            <w:tcW w:w="555" w:type="dxa"/>
            <w:shd w:val="clear" w:color="auto" w:fill="auto"/>
          </w:tcPr>
          <w:p w14:paraId="3768C604" w14:textId="77777777" w:rsidR="00311830" w:rsidRPr="00311830" w:rsidRDefault="00311830" w:rsidP="00463647">
            <w:pPr>
              <w:keepNext/>
              <w:keepLines/>
              <w:widowControl w:val="0"/>
              <w:spacing w:line="240" w:lineRule="auto"/>
              <w:ind w:left="-27"/>
              <w:rPr>
                <w:sz w:val="18"/>
                <w:szCs w:val="18"/>
              </w:rPr>
            </w:pPr>
          </w:p>
        </w:tc>
      </w:tr>
    </w:tbl>
    <w:p w14:paraId="002B7234" w14:textId="77777777" w:rsidR="00311830" w:rsidRDefault="00311830" w:rsidP="00463647">
      <w:pPr>
        <w:widowControl w:val="0"/>
        <w:tabs>
          <w:tab w:val="clear" w:pos="567"/>
        </w:tabs>
        <w:spacing w:line="240" w:lineRule="auto"/>
        <w:rPr>
          <w:rFonts w:eastAsia="MS Mincho"/>
          <w:szCs w:val="22"/>
          <w:lang w:val="en-US"/>
        </w:rPr>
      </w:pPr>
    </w:p>
    <w:p w14:paraId="1DC8E020" w14:textId="77777777" w:rsidR="00311830" w:rsidRPr="00420EF0" w:rsidRDefault="00311830" w:rsidP="00463647">
      <w:pPr>
        <w:keepNext/>
        <w:keepLines/>
        <w:widowControl w:val="0"/>
        <w:tabs>
          <w:tab w:val="clear" w:pos="567"/>
        </w:tabs>
        <w:spacing w:line="240" w:lineRule="auto"/>
        <w:ind w:left="1134" w:hanging="1134"/>
        <w:outlineLvl w:val="6"/>
        <w:rPr>
          <w:rFonts w:eastAsia="MS Mincho"/>
          <w:b/>
          <w:szCs w:val="22"/>
          <w:lang w:val="sv-SE"/>
        </w:rPr>
      </w:pPr>
      <w:r>
        <w:rPr>
          <w:rFonts w:eastAsia="MS Mincho"/>
          <w:b/>
          <w:szCs w:val="22"/>
          <w:lang w:val="sv-SE"/>
        </w:rPr>
        <w:lastRenderedPageBreak/>
        <w:t>Figur</w:t>
      </w:r>
      <w:r w:rsidRPr="00420EF0">
        <w:rPr>
          <w:rFonts w:eastAsia="MS Mincho"/>
          <w:b/>
          <w:szCs w:val="22"/>
          <w:lang w:val="sv-SE"/>
        </w:rPr>
        <w:t> 2</w:t>
      </w:r>
      <w:r w:rsidRPr="00420EF0">
        <w:rPr>
          <w:rFonts w:eastAsia="MS Mincho"/>
          <w:b/>
          <w:szCs w:val="22"/>
          <w:lang w:val="sv-SE"/>
        </w:rPr>
        <w:tab/>
        <w:t>Kaplan-Meier skattning för total överlevnad (ITT population)</w:t>
      </w:r>
    </w:p>
    <w:p w14:paraId="3E4AFE0C" w14:textId="77777777" w:rsidR="00311830" w:rsidRPr="00311830" w:rsidRDefault="000B798D" w:rsidP="00463647">
      <w:pPr>
        <w:keepNext/>
        <w:keepLines/>
        <w:widowControl w:val="0"/>
        <w:tabs>
          <w:tab w:val="clear" w:pos="567"/>
        </w:tabs>
        <w:spacing w:line="240" w:lineRule="auto"/>
        <w:rPr>
          <w:rFonts w:eastAsia="MS Mincho"/>
          <w:szCs w:val="22"/>
          <w:lang w:val="sv-SE"/>
        </w:rPr>
      </w:pPr>
      <w:r>
        <w:rPr>
          <w:noProof/>
          <w:lang w:val="en-US"/>
        </w:rPr>
        <mc:AlternateContent>
          <mc:Choice Requires="wps">
            <w:drawing>
              <wp:anchor distT="0" distB="0" distL="114300" distR="114300" simplePos="0" relativeHeight="251654656" behindDoc="0" locked="0" layoutInCell="1" allowOverlap="1" wp14:anchorId="6CC34073" wp14:editId="198C686D">
                <wp:simplePos x="0" y="0"/>
                <wp:positionH relativeFrom="column">
                  <wp:posOffset>-207645</wp:posOffset>
                </wp:positionH>
                <wp:positionV relativeFrom="paragraph">
                  <wp:posOffset>99695</wp:posOffset>
                </wp:positionV>
                <wp:extent cx="335915" cy="22326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82CEE" w14:textId="77777777" w:rsidR="003E7632" w:rsidRPr="00A33DBA" w:rsidRDefault="003E7632" w:rsidP="009039A5">
                            <w:pPr>
                              <w:rPr>
                                <w:rFonts w:ascii="Arial" w:hAnsi="Arial" w:cs="Arial"/>
                                <w:sz w:val="20"/>
                              </w:rPr>
                            </w:pPr>
                            <w:r>
                              <w:rPr>
                                <w:rFonts w:ascii="Arial" w:hAnsi="Arial" w:cs="Arial"/>
                                <w:sz w:val="20"/>
                              </w:rPr>
                              <w:t>Sannolikhet för total överlevnad</w:t>
                            </w:r>
                          </w:p>
                          <w:p w14:paraId="17208DCA" w14:textId="77777777" w:rsidR="003E7632" w:rsidRPr="00A33DBA" w:rsidRDefault="003E7632" w:rsidP="009039A5">
                            <w:pPr>
                              <w:rPr>
                                <w:rFonts w:ascii="Arial" w:hAnsi="Arial" w:cs="Arial"/>
                                <w:sz w:val="20"/>
                              </w:rPr>
                            </w:pPr>
                          </w:p>
                          <w:p w14:paraId="56EC445D" w14:textId="77777777" w:rsidR="003E7632" w:rsidRPr="00A33DBA" w:rsidRDefault="003E7632" w:rsidP="00311830">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34073" id="_x0000_s1028" type="#_x0000_t202" style="position:absolute;margin-left:-16.35pt;margin-top:7.85pt;width:26.45pt;height:175.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" stroked="f">
                <v:fill opacity="0"/>
                <v:textbox style="layout-flow:vertical;mso-layout-flow-alt:bottom-to-top">
                  <w:txbxContent>
                    <w:p w14:paraId="45382CEE" w14:textId="77777777" w:rsidR="003E7632" w:rsidRPr="00A33DBA" w:rsidRDefault="003E7632" w:rsidP="009039A5">
                      <w:pPr>
                        <w:rPr>
                          <w:rFonts w:ascii="Arial" w:hAnsi="Arial" w:cs="Arial"/>
                          <w:sz w:val="20"/>
                        </w:rPr>
                      </w:pPr>
                      <w:r>
                        <w:rPr>
                          <w:rFonts w:ascii="Arial" w:hAnsi="Arial" w:cs="Arial"/>
                          <w:sz w:val="20"/>
                        </w:rPr>
                        <w:t>Sannolikhet för total överlevnad</w:t>
                      </w:r>
                    </w:p>
                    <w:p w14:paraId="17208DCA" w14:textId="77777777" w:rsidR="003E7632" w:rsidRPr="00A33DBA" w:rsidRDefault="003E7632" w:rsidP="009039A5">
                      <w:pPr>
                        <w:rPr>
                          <w:rFonts w:ascii="Arial" w:hAnsi="Arial" w:cs="Arial"/>
                          <w:sz w:val="20"/>
                        </w:rPr>
                      </w:pPr>
                    </w:p>
                    <w:p w14:paraId="56EC445D" w14:textId="77777777" w:rsidR="003E7632" w:rsidRPr="00A33DBA" w:rsidRDefault="003E7632" w:rsidP="00311830">
                      <w:pPr>
                        <w:rPr>
                          <w:rFonts w:ascii="Arial" w:hAnsi="Arial" w:cs="Arial"/>
                          <w:sz w:val="20"/>
                        </w:rPr>
                      </w:pPr>
                    </w:p>
                  </w:txbxContent>
                </v:textbox>
              </v:shape>
            </w:pict>
          </mc:Fallback>
        </mc:AlternateContent>
      </w:r>
    </w:p>
    <w:p w14:paraId="5E00F317" w14:textId="77777777" w:rsidR="00311830" w:rsidRDefault="000B798D" w:rsidP="00463647">
      <w:pPr>
        <w:keepNext/>
        <w:keepLines/>
        <w:widowControl w:val="0"/>
        <w:tabs>
          <w:tab w:val="clear" w:pos="567"/>
        </w:tabs>
        <w:spacing w:line="240" w:lineRule="auto"/>
        <w:rPr>
          <w:rFonts w:eastAsia="MS Mincho"/>
          <w:szCs w:val="22"/>
          <w:lang w:val="en-US"/>
        </w:rPr>
      </w:pPr>
      <w:r>
        <w:rPr>
          <w:noProof/>
          <w:lang w:val="en-US"/>
        </w:rPr>
        <mc:AlternateContent>
          <mc:Choice Requires="wps">
            <w:drawing>
              <wp:anchor distT="0" distB="0" distL="114300" distR="114300" simplePos="0" relativeHeight="251655680" behindDoc="0" locked="0" layoutInCell="1" allowOverlap="1" wp14:anchorId="3A8EDFC3" wp14:editId="162AFE3B">
                <wp:simplePos x="0" y="0"/>
                <wp:positionH relativeFrom="column">
                  <wp:posOffset>350520</wp:posOffset>
                </wp:positionH>
                <wp:positionV relativeFrom="paragraph">
                  <wp:posOffset>934720</wp:posOffset>
                </wp:positionV>
                <wp:extent cx="4585335" cy="1428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B499A" w14:textId="77777777" w:rsidR="003E7632" w:rsidRDefault="003E7632" w:rsidP="009039A5">
                            <w:pPr>
                              <w:rPr>
                                <w:rFonts w:ascii="Arial" w:hAnsi="Arial" w:cs="Arial"/>
                                <w:sz w:val="20"/>
                              </w:rPr>
                            </w:pPr>
                          </w:p>
                          <w:tbl>
                            <w:tblPr>
                              <w:tblW w:w="0" w:type="auto"/>
                              <w:tblLook w:val="04A0" w:firstRow="1" w:lastRow="0" w:firstColumn="1" w:lastColumn="0" w:noHBand="0" w:noVBand="1"/>
                            </w:tblPr>
                            <w:tblGrid>
                              <w:gridCol w:w="817"/>
                              <w:gridCol w:w="2693"/>
                              <w:gridCol w:w="851"/>
                              <w:gridCol w:w="709"/>
                              <w:gridCol w:w="850"/>
                            </w:tblGrid>
                            <w:tr w:rsidR="003E7632" w:rsidRPr="0055776F" w14:paraId="09B80CE2" w14:textId="77777777" w:rsidTr="009039A5">
                              <w:tc>
                                <w:tcPr>
                                  <w:tcW w:w="5920" w:type="dxa"/>
                                  <w:gridSpan w:val="5"/>
                                  <w:shd w:val="clear" w:color="auto" w:fill="auto"/>
                                </w:tcPr>
                                <w:p w14:paraId="26B376FB" w14:textId="77777777" w:rsidR="003E7632" w:rsidRPr="0055776F" w:rsidRDefault="003E7632" w:rsidP="0061715E">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4DE85373" w14:textId="77777777" w:rsidR="003E7632" w:rsidRPr="0055776F" w:rsidRDefault="003E7632" w:rsidP="0061715E">
                                  <w:pPr>
                                    <w:rPr>
                                      <w:rFonts w:ascii="Arial" w:hAnsi="Arial" w:cs="Arial"/>
                                      <w:sz w:val="20"/>
                                    </w:rPr>
                                  </w:pPr>
                                  <w:r w:rsidRPr="0055776F">
                                    <w:rPr>
                                      <w:rFonts w:ascii="Arial" w:hAnsi="Arial" w:cs="Arial"/>
                                      <w:sz w:val="20"/>
                                    </w:rPr>
                                    <w:t>Hazard ratio 0.45</w:t>
                                  </w:r>
                                </w:p>
                                <w:p w14:paraId="64D63B91" w14:textId="77777777" w:rsidR="003E7632" w:rsidRPr="0055776F" w:rsidRDefault="003E7632" w:rsidP="009039A5">
                                  <w:pPr>
                                    <w:rPr>
                                      <w:rFonts w:ascii="Arial" w:hAnsi="Arial" w:cs="Arial"/>
                                      <w:sz w:val="20"/>
                                      <w:lang w:val="de-DE"/>
                                    </w:rPr>
                                  </w:pPr>
                                  <w:r>
                                    <w:rPr>
                                      <w:rFonts w:ascii="Arial" w:hAnsi="Arial" w:cs="Arial"/>
                                      <w:sz w:val="20"/>
                                    </w:rPr>
                                    <w:t>(95 % Kl, 0,22</w:t>
                                  </w:r>
                                  <w:r>
                                    <w:rPr>
                                      <w:rFonts w:ascii="Arial" w:hAnsi="Arial" w:cs="Arial"/>
                                      <w:sz w:val="20"/>
                                    </w:rPr>
                                    <w:noBreakHyphen/>
                                    <w:t>0,</w:t>
                                  </w:r>
                                  <w:r w:rsidRPr="00A33DBA">
                                    <w:rPr>
                                      <w:rFonts w:ascii="Arial" w:hAnsi="Arial" w:cs="Arial"/>
                                      <w:sz w:val="20"/>
                                    </w:rPr>
                                    <w:t>89)</w:t>
                                  </w:r>
                                </w:p>
                              </w:tc>
                            </w:tr>
                            <w:tr w:rsidR="003E7632" w:rsidRPr="0055776F" w14:paraId="44FAD397" w14:textId="77777777" w:rsidTr="009039A5">
                              <w:tc>
                                <w:tcPr>
                                  <w:tcW w:w="817" w:type="dxa"/>
                                  <w:shd w:val="clear" w:color="auto" w:fill="auto"/>
                                </w:tcPr>
                                <w:p w14:paraId="74D30075" w14:textId="77777777" w:rsidR="003E7632" w:rsidRPr="0055776F" w:rsidRDefault="003E7632" w:rsidP="0061715E">
                                  <w:pPr>
                                    <w:rPr>
                                      <w:rFonts w:ascii="Arial" w:hAnsi="Arial" w:cs="Arial"/>
                                      <w:sz w:val="20"/>
                                    </w:rPr>
                                  </w:pPr>
                                </w:p>
                              </w:tc>
                              <w:tc>
                                <w:tcPr>
                                  <w:tcW w:w="2693" w:type="dxa"/>
                                  <w:shd w:val="clear" w:color="auto" w:fill="auto"/>
                                </w:tcPr>
                                <w:p w14:paraId="5DC577D9" w14:textId="77777777" w:rsidR="003E7632" w:rsidRPr="0055776F" w:rsidRDefault="003E7632" w:rsidP="0061715E">
                                  <w:pPr>
                                    <w:rPr>
                                      <w:rFonts w:ascii="Arial" w:hAnsi="Arial" w:cs="Arial"/>
                                      <w:sz w:val="20"/>
                                    </w:rPr>
                                  </w:pPr>
                                </w:p>
                              </w:tc>
                              <w:tc>
                                <w:tcPr>
                                  <w:tcW w:w="851" w:type="dxa"/>
                                  <w:tcBorders>
                                    <w:bottom w:val="single" w:sz="4" w:space="0" w:color="auto"/>
                                  </w:tcBorders>
                                  <w:shd w:val="clear" w:color="auto" w:fill="auto"/>
                                </w:tcPr>
                                <w:p w14:paraId="7B9396AC" w14:textId="77777777" w:rsidR="003E7632" w:rsidRPr="0055776F" w:rsidRDefault="003E7632" w:rsidP="0061715E">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68083254" w14:textId="77777777" w:rsidR="003E7632" w:rsidRPr="0055776F" w:rsidRDefault="003E7632" w:rsidP="0061715E">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D7FA572" w14:textId="77777777" w:rsidR="003E7632" w:rsidRPr="0055776F" w:rsidRDefault="003E7632" w:rsidP="0061715E">
                                  <w:pPr>
                                    <w:rPr>
                                      <w:rFonts w:ascii="Arial" w:hAnsi="Arial" w:cs="Arial"/>
                                      <w:sz w:val="20"/>
                                    </w:rPr>
                                  </w:pPr>
                                  <w:r w:rsidRPr="0055776F">
                                    <w:rPr>
                                      <w:rFonts w:ascii="Arial" w:hAnsi="Arial" w:cs="Arial"/>
                                      <w:sz w:val="20"/>
                                      <w:lang w:val="de-DE"/>
                                    </w:rPr>
                                    <w:t>Cen</w:t>
                                  </w:r>
                                </w:p>
                              </w:tc>
                            </w:tr>
                            <w:tr w:rsidR="003E7632" w:rsidRPr="0055776F" w14:paraId="39E04E62" w14:textId="77777777" w:rsidTr="009039A5">
                              <w:tc>
                                <w:tcPr>
                                  <w:tcW w:w="817" w:type="dxa"/>
                                  <w:shd w:val="clear" w:color="auto" w:fill="auto"/>
                                </w:tcPr>
                                <w:p w14:paraId="65942524" w14:textId="77777777" w:rsidR="003E7632" w:rsidRPr="0055776F" w:rsidRDefault="003E7632" w:rsidP="0061715E">
                                  <w:pPr>
                                    <w:rPr>
                                      <w:rFonts w:ascii="Arial" w:hAnsi="Arial" w:cs="Arial"/>
                                      <w:sz w:val="20"/>
                                    </w:rPr>
                                  </w:pPr>
                                  <w:r w:rsidRPr="0055776F">
                                    <w:rPr>
                                      <w:rFonts w:ascii="Arial" w:hAnsi="Arial" w:cs="Arial"/>
                                      <w:b/>
                                      <w:sz w:val="20"/>
                                    </w:rPr>
                                    <w:t>——</w:t>
                                  </w:r>
                                </w:p>
                              </w:tc>
                              <w:tc>
                                <w:tcPr>
                                  <w:tcW w:w="2693" w:type="dxa"/>
                                  <w:shd w:val="clear" w:color="auto" w:fill="auto"/>
                                </w:tcPr>
                                <w:p w14:paraId="7F61B562" w14:textId="77777777" w:rsidR="003E7632" w:rsidRPr="0055776F" w:rsidRDefault="003E7632" w:rsidP="007E1E98">
                                  <w:pPr>
                                    <w:rPr>
                                      <w:rFonts w:ascii="Arial" w:hAnsi="Arial" w:cs="Arial"/>
                                      <w:sz w:val="20"/>
                                    </w:rPr>
                                  </w:pPr>
                                  <w:r>
                                    <w:rPr>
                                      <w:rFonts w:ascii="Arial" w:hAnsi="Arial" w:cs="Arial"/>
                                      <w:sz w:val="20"/>
                                    </w:rPr>
                                    <w:t>(1) Imatinib 12 månader</w:t>
                                  </w:r>
                                  <w:r w:rsidRPr="0055776F">
                                    <w:rPr>
                                      <w:rFonts w:ascii="Arial" w:hAnsi="Arial" w:cs="Arial"/>
                                      <w:sz w:val="20"/>
                                    </w:rPr>
                                    <w:t>:</w:t>
                                  </w:r>
                                </w:p>
                              </w:tc>
                              <w:tc>
                                <w:tcPr>
                                  <w:tcW w:w="851" w:type="dxa"/>
                                  <w:tcBorders>
                                    <w:top w:val="single" w:sz="4" w:space="0" w:color="auto"/>
                                  </w:tcBorders>
                                  <w:shd w:val="clear" w:color="auto" w:fill="auto"/>
                                </w:tcPr>
                                <w:p w14:paraId="6278729A" w14:textId="77777777" w:rsidR="003E7632" w:rsidRPr="0055776F" w:rsidRDefault="003E7632" w:rsidP="0061715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41D15D7B" w14:textId="77777777" w:rsidR="003E7632" w:rsidRPr="0055776F" w:rsidRDefault="003E7632" w:rsidP="0061715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7FC01DE" w14:textId="77777777" w:rsidR="003E7632" w:rsidRPr="0055776F" w:rsidRDefault="003E7632" w:rsidP="0061715E">
                                  <w:pPr>
                                    <w:rPr>
                                      <w:rFonts w:ascii="Arial" w:hAnsi="Arial" w:cs="Arial"/>
                                      <w:sz w:val="20"/>
                                    </w:rPr>
                                  </w:pPr>
                                  <w:r w:rsidRPr="0055776F">
                                    <w:rPr>
                                      <w:rFonts w:ascii="Arial" w:hAnsi="Arial" w:cs="Arial"/>
                                      <w:sz w:val="20"/>
                                    </w:rPr>
                                    <w:t>174</w:t>
                                  </w:r>
                                </w:p>
                              </w:tc>
                            </w:tr>
                            <w:tr w:rsidR="003E7632" w:rsidRPr="0055776F" w14:paraId="0F861AAE" w14:textId="77777777" w:rsidTr="009039A5">
                              <w:tc>
                                <w:tcPr>
                                  <w:tcW w:w="817" w:type="dxa"/>
                                  <w:shd w:val="clear" w:color="auto" w:fill="auto"/>
                                </w:tcPr>
                                <w:p w14:paraId="6D2BC9EF"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shd w:val="clear" w:color="auto" w:fill="auto"/>
                                </w:tcPr>
                                <w:p w14:paraId="43EEC8D7" w14:textId="77777777" w:rsidR="003E7632" w:rsidRPr="0055776F" w:rsidRDefault="003E7632" w:rsidP="007E1E98">
                                  <w:pPr>
                                    <w:rPr>
                                      <w:rFonts w:ascii="Arial" w:hAnsi="Arial" w:cs="Arial"/>
                                      <w:sz w:val="20"/>
                                    </w:rPr>
                                  </w:pPr>
                                  <w:r>
                                    <w:rPr>
                                      <w:rFonts w:ascii="Arial" w:hAnsi="Arial" w:cs="Arial"/>
                                      <w:sz w:val="20"/>
                                    </w:rPr>
                                    <w:t>(2) Imatinib 36 månader</w:t>
                                  </w:r>
                                  <w:r w:rsidRPr="0055776F">
                                    <w:rPr>
                                      <w:rFonts w:ascii="Arial" w:hAnsi="Arial" w:cs="Arial"/>
                                      <w:sz w:val="20"/>
                                    </w:rPr>
                                    <w:t>:</w:t>
                                  </w:r>
                                </w:p>
                              </w:tc>
                              <w:tc>
                                <w:tcPr>
                                  <w:tcW w:w="851" w:type="dxa"/>
                                  <w:tcBorders>
                                    <w:bottom w:val="single" w:sz="4" w:space="0" w:color="auto"/>
                                  </w:tcBorders>
                                  <w:shd w:val="clear" w:color="auto" w:fill="auto"/>
                                </w:tcPr>
                                <w:p w14:paraId="3A9BB30D" w14:textId="77777777" w:rsidR="003E7632" w:rsidRPr="0055776F" w:rsidRDefault="003E7632" w:rsidP="0061715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0230D67D" w14:textId="77777777" w:rsidR="003E7632" w:rsidRPr="0055776F" w:rsidRDefault="003E7632" w:rsidP="0061715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6A127F1" w14:textId="77777777" w:rsidR="003E7632" w:rsidRPr="0055776F" w:rsidRDefault="003E7632" w:rsidP="0061715E">
                                  <w:pPr>
                                    <w:rPr>
                                      <w:rFonts w:ascii="Arial" w:hAnsi="Arial" w:cs="Arial"/>
                                      <w:sz w:val="20"/>
                                    </w:rPr>
                                  </w:pPr>
                                  <w:r w:rsidRPr="0055776F">
                                    <w:rPr>
                                      <w:rFonts w:ascii="Arial" w:hAnsi="Arial" w:cs="Arial"/>
                                      <w:sz w:val="20"/>
                                    </w:rPr>
                                    <w:t>186</w:t>
                                  </w:r>
                                </w:p>
                              </w:tc>
                            </w:tr>
                            <w:tr w:rsidR="003E7632" w:rsidRPr="0055776F" w14:paraId="071A9088" w14:textId="77777777" w:rsidTr="009039A5">
                              <w:tc>
                                <w:tcPr>
                                  <w:tcW w:w="817" w:type="dxa"/>
                                  <w:shd w:val="clear" w:color="auto" w:fill="auto"/>
                                </w:tcPr>
                                <w:p w14:paraId="26BA2C53"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shd w:val="clear" w:color="auto" w:fill="auto"/>
                                </w:tcPr>
                                <w:p w14:paraId="4F433EF3" w14:textId="77777777" w:rsidR="003E7632" w:rsidRPr="0055776F" w:rsidRDefault="003E7632" w:rsidP="0061715E">
                                  <w:pPr>
                                    <w:rPr>
                                      <w:rFonts w:ascii="Arial" w:hAnsi="Arial" w:cs="Arial"/>
                                      <w:sz w:val="20"/>
                                    </w:rPr>
                                  </w:pPr>
                                  <w:r>
                                    <w:rPr>
                                      <w:rFonts w:ascii="Arial" w:hAnsi="Arial" w:cs="Arial"/>
                                      <w:sz w:val="20"/>
                                    </w:rPr>
                                    <w:t>Censurerade observationer</w:t>
                                  </w:r>
                                </w:p>
                              </w:tc>
                              <w:tc>
                                <w:tcPr>
                                  <w:tcW w:w="851" w:type="dxa"/>
                                  <w:tcBorders>
                                    <w:top w:val="single" w:sz="4" w:space="0" w:color="auto"/>
                                  </w:tcBorders>
                                  <w:shd w:val="clear" w:color="auto" w:fill="auto"/>
                                </w:tcPr>
                                <w:p w14:paraId="61D2BF1A" w14:textId="77777777" w:rsidR="003E7632" w:rsidRPr="0055776F" w:rsidRDefault="003E7632" w:rsidP="0061715E">
                                  <w:pPr>
                                    <w:rPr>
                                      <w:rFonts w:ascii="Arial" w:hAnsi="Arial" w:cs="Arial"/>
                                      <w:sz w:val="20"/>
                                    </w:rPr>
                                  </w:pPr>
                                </w:p>
                              </w:tc>
                              <w:tc>
                                <w:tcPr>
                                  <w:tcW w:w="709" w:type="dxa"/>
                                  <w:tcBorders>
                                    <w:top w:val="single" w:sz="4" w:space="0" w:color="auto"/>
                                  </w:tcBorders>
                                  <w:shd w:val="clear" w:color="auto" w:fill="auto"/>
                                </w:tcPr>
                                <w:p w14:paraId="6CFA2594" w14:textId="77777777" w:rsidR="003E7632" w:rsidRPr="0055776F" w:rsidRDefault="003E7632" w:rsidP="0061715E">
                                  <w:pPr>
                                    <w:rPr>
                                      <w:rFonts w:ascii="Arial" w:hAnsi="Arial" w:cs="Arial"/>
                                      <w:sz w:val="20"/>
                                    </w:rPr>
                                  </w:pPr>
                                </w:p>
                              </w:tc>
                              <w:tc>
                                <w:tcPr>
                                  <w:tcW w:w="850" w:type="dxa"/>
                                  <w:tcBorders>
                                    <w:top w:val="single" w:sz="4" w:space="0" w:color="auto"/>
                                  </w:tcBorders>
                                  <w:shd w:val="clear" w:color="auto" w:fill="auto"/>
                                </w:tcPr>
                                <w:p w14:paraId="53809680" w14:textId="77777777" w:rsidR="003E7632" w:rsidRPr="0055776F" w:rsidRDefault="003E7632" w:rsidP="0061715E">
                                  <w:pPr>
                                    <w:rPr>
                                      <w:rFonts w:ascii="Arial" w:hAnsi="Arial" w:cs="Arial"/>
                                      <w:sz w:val="20"/>
                                    </w:rPr>
                                  </w:pPr>
                                </w:p>
                              </w:tc>
                            </w:tr>
                          </w:tbl>
                          <w:p w14:paraId="212777B1" w14:textId="77777777" w:rsidR="003E7632" w:rsidRPr="00A33DBA" w:rsidRDefault="003E7632" w:rsidP="009039A5">
                            <w:pPr>
                              <w:rPr>
                                <w:rFonts w:ascii="Arial" w:hAnsi="Arial" w:cs="Arial"/>
                                <w:sz w:val="20"/>
                              </w:rPr>
                            </w:pPr>
                          </w:p>
                          <w:p w14:paraId="02278351" w14:textId="77777777" w:rsidR="003E7632" w:rsidRPr="00A33DBA" w:rsidRDefault="003E7632" w:rsidP="00311830">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8EDFC3" id="_x0000_s1029" type="#_x0000_t202" style="position:absolute;margin-left:27.6pt;margin-top:73.6pt;width:361.05pt;height:11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" filled="f" stroked="f">
                <v:textbox>
                  <w:txbxContent>
                    <w:p w14:paraId="5B2B499A" w14:textId="77777777" w:rsidR="003E7632" w:rsidRDefault="003E7632" w:rsidP="009039A5">
                      <w:pPr>
                        <w:rPr>
                          <w:rFonts w:ascii="Arial" w:hAnsi="Arial" w:cs="Arial"/>
                          <w:sz w:val="20"/>
                        </w:rPr>
                      </w:pPr>
                    </w:p>
                    <w:tbl>
                      <w:tblPr>
                        <w:tblW w:w="0" w:type="auto"/>
                        <w:tblLook w:val="04A0" w:firstRow="1" w:lastRow="0" w:firstColumn="1" w:lastColumn="0" w:noHBand="0" w:noVBand="1"/>
                      </w:tblPr>
                      <w:tblGrid>
                        <w:gridCol w:w="817"/>
                        <w:gridCol w:w="2693"/>
                        <w:gridCol w:w="851"/>
                        <w:gridCol w:w="709"/>
                        <w:gridCol w:w="850"/>
                      </w:tblGrid>
                      <w:tr w:rsidR="003E7632" w:rsidRPr="0055776F" w14:paraId="09B80CE2" w14:textId="77777777" w:rsidTr="009039A5">
                        <w:tc>
                          <w:tcPr>
                            <w:tcW w:w="5920" w:type="dxa"/>
                            <w:gridSpan w:val="5"/>
                            <w:shd w:val="clear" w:color="auto" w:fill="auto"/>
                          </w:tcPr>
                          <w:p w14:paraId="26B376FB" w14:textId="77777777" w:rsidR="003E7632" w:rsidRPr="0055776F" w:rsidRDefault="003E7632" w:rsidP="0061715E">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4DE85373" w14:textId="77777777" w:rsidR="003E7632" w:rsidRPr="0055776F" w:rsidRDefault="003E7632" w:rsidP="0061715E">
                            <w:pPr>
                              <w:rPr>
                                <w:rFonts w:ascii="Arial" w:hAnsi="Arial" w:cs="Arial"/>
                                <w:sz w:val="20"/>
                              </w:rPr>
                            </w:pPr>
                            <w:r w:rsidRPr="0055776F">
                              <w:rPr>
                                <w:rFonts w:ascii="Arial" w:hAnsi="Arial" w:cs="Arial"/>
                                <w:sz w:val="20"/>
                              </w:rPr>
                              <w:t>Hazard ratio 0.45</w:t>
                            </w:r>
                          </w:p>
                          <w:p w14:paraId="64D63B91" w14:textId="77777777" w:rsidR="003E7632" w:rsidRPr="0055776F" w:rsidRDefault="003E7632" w:rsidP="009039A5">
                            <w:pPr>
                              <w:rPr>
                                <w:rFonts w:ascii="Arial" w:hAnsi="Arial" w:cs="Arial"/>
                                <w:sz w:val="20"/>
                                <w:lang w:val="de-DE"/>
                              </w:rPr>
                            </w:pPr>
                            <w:r>
                              <w:rPr>
                                <w:rFonts w:ascii="Arial" w:hAnsi="Arial" w:cs="Arial"/>
                                <w:sz w:val="20"/>
                              </w:rPr>
                              <w:t>(95 % Kl, 0,22</w:t>
                            </w:r>
                            <w:r>
                              <w:rPr>
                                <w:rFonts w:ascii="Arial" w:hAnsi="Arial" w:cs="Arial"/>
                                <w:sz w:val="20"/>
                              </w:rPr>
                              <w:noBreakHyphen/>
                              <w:t>0,</w:t>
                            </w:r>
                            <w:r w:rsidRPr="00A33DBA">
                              <w:rPr>
                                <w:rFonts w:ascii="Arial" w:hAnsi="Arial" w:cs="Arial"/>
                                <w:sz w:val="20"/>
                              </w:rPr>
                              <w:t>89)</w:t>
                            </w:r>
                          </w:p>
                        </w:tc>
                      </w:tr>
                      <w:tr w:rsidR="003E7632" w:rsidRPr="0055776F" w14:paraId="44FAD397" w14:textId="77777777" w:rsidTr="009039A5">
                        <w:tc>
                          <w:tcPr>
                            <w:tcW w:w="817" w:type="dxa"/>
                            <w:shd w:val="clear" w:color="auto" w:fill="auto"/>
                          </w:tcPr>
                          <w:p w14:paraId="74D30075" w14:textId="77777777" w:rsidR="003E7632" w:rsidRPr="0055776F" w:rsidRDefault="003E7632" w:rsidP="0061715E">
                            <w:pPr>
                              <w:rPr>
                                <w:rFonts w:ascii="Arial" w:hAnsi="Arial" w:cs="Arial"/>
                                <w:sz w:val="20"/>
                              </w:rPr>
                            </w:pPr>
                          </w:p>
                        </w:tc>
                        <w:tc>
                          <w:tcPr>
                            <w:tcW w:w="2693" w:type="dxa"/>
                            <w:shd w:val="clear" w:color="auto" w:fill="auto"/>
                          </w:tcPr>
                          <w:p w14:paraId="5DC577D9" w14:textId="77777777" w:rsidR="003E7632" w:rsidRPr="0055776F" w:rsidRDefault="003E7632" w:rsidP="0061715E">
                            <w:pPr>
                              <w:rPr>
                                <w:rFonts w:ascii="Arial" w:hAnsi="Arial" w:cs="Arial"/>
                                <w:sz w:val="20"/>
                              </w:rPr>
                            </w:pPr>
                          </w:p>
                        </w:tc>
                        <w:tc>
                          <w:tcPr>
                            <w:tcW w:w="851" w:type="dxa"/>
                            <w:tcBorders>
                              <w:bottom w:val="single" w:sz="4" w:space="0" w:color="auto"/>
                            </w:tcBorders>
                            <w:shd w:val="clear" w:color="auto" w:fill="auto"/>
                          </w:tcPr>
                          <w:p w14:paraId="7B9396AC" w14:textId="77777777" w:rsidR="003E7632" w:rsidRPr="0055776F" w:rsidRDefault="003E7632" w:rsidP="0061715E">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68083254" w14:textId="77777777" w:rsidR="003E7632" w:rsidRPr="0055776F" w:rsidRDefault="003E7632" w:rsidP="0061715E">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1D7FA572" w14:textId="77777777" w:rsidR="003E7632" w:rsidRPr="0055776F" w:rsidRDefault="003E7632" w:rsidP="0061715E">
                            <w:pPr>
                              <w:rPr>
                                <w:rFonts w:ascii="Arial" w:hAnsi="Arial" w:cs="Arial"/>
                                <w:sz w:val="20"/>
                              </w:rPr>
                            </w:pPr>
                            <w:r w:rsidRPr="0055776F">
                              <w:rPr>
                                <w:rFonts w:ascii="Arial" w:hAnsi="Arial" w:cs="Arial"/>
                                <w:sz w:val="20"/>
                                <w:lang w:val="de-DE"/>
                              </w:rPr>
                              <w:t>Cen</w:t>
                            </w:r>
                          </w:p>
                        </w:tc>
                      </w:tr>
                      <w:tr w:rsidR="003E7632" w:rsidRPr="0055776F" w14:paraId="39E04E62" w14:textId="77777777" w:rsidTr="009039A5">
                        <w:tc>
                          <w:tcPr>
                            <w:tcW w:w="817" w:type="dxa"/>
                            <w:shd w:val="clear" w:color="auto" w:fill="auto"/>
                          </w:tcPr>
                          <w:p w14:paraId="65942524" w14:textId="77777777" w:rsidR="003E7632" w:rsidRPr="0055776F" w:rsidRDefault="003E7632" w:rsidP="0061715E">
                            <w:pPr>
                              <w:rPr>
                                <w:rFonts w:ascii="Arial" w:hAnsi="Arial" w:cs="Arial"/>
                                <w:sz w:val="20"/>
                              </w:rPr>
                            </w:pPr>
                            <w:r w:rsidRPr="0055776F">
                              <w:rPr>
                                <w:rFonts w:ascii="Arial" w:hAnsi="Arial" w:cs="Arial"/>
                                <w:b/>
                                <w:sz w:val="20"/>
                              </w:rPr>
                              <w:t>——</w:t>
                            </w:r>
                          </w:p>
                        </w:tc>
                        <w:tc>
                          <w:tcPr>
                            <w:tcW w:w="2693" w:type="dxa"/>
                            <w:shd w:val="clear" w:color="auto" w:fill="auto"/>
                          </w:tcPr>
                          <w:p w14:paraId="7F61B562" w14:textId="77777777" w:rsidR="003E7632" w:rsidRPr="0055776F" w:rsidRDefault="003E7632" w:rsidP="007E1E98">
                            <w:pPr>
                              <w:rPr>
                                <w:rFonts w:ascii="Arial" w:hAnsi="Arial" w:cs="Arial"/>
                                <w:sz w:val="20"/>
                              </w:rPr>
                            </w:pPr>
                            <w:r>
                              <w:rPr>
                                <w:rFonts w:ascii="Arial" w:hAnsi="Arial" w:cs="Arial"/>
                                <w:sz w:val="20"/>
                              </w:rPr>
                              <w:t>(1) Imatinib 12 månader</w:t>
                            </w:r>
                            <w:r w:rsidRPr="0055776F">
                              <w:rPr>
                                <w:rFonts w:ascii="Arial" w:hAnsi="Arial" w:cs="Arial"/>
                                <w:sz w:val="20"/>
                              </w:rPr>
                              <w:t>:</w:t>
                            </w:r>
                          </w:p>
                        </w:tc>
                        <w:tc>
                          <w:tcPr>
                            <w:tcW w:w="851" w:type="dxa"/>
                            <w:tcBorders>
                              <w:top w:val="single" w:sz="4" w:space="0" w:color="auto"/>
                            </w:tcBorders>
                            <w:shd w:val="clear" w:color="auto" w:fill="auto"/>
                          </w:tcPr>
                          <w:p w14:paraId="6278729A" w14:textId="77777777" w:rsidR="003E7632" w:rsidRPr="0055776F" w:rsidRDefault="003E7632" w:rsidP="0061715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41D15D7B" w14:textId="77777777" w:rsidR="003E7632" w:rsidRPr="0055776F" w:rsidRDefault="003E7632" w:rsidP="0061715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7FC01DE" w14:textId="77777777" w:rsidR="003E7632" w:rsidRPr="0055776F" w:rsidRDefault="003E7632" w:rsidP="0061715E">
                            <w:pPr>
                              <w:rPr>
                                <w:rFonts w:ascii="Arial" w:hAnsi="Arial" w:cs="Arial"/>
                                <w:sz w:val="20"/>
                              </w:rPr>
                            </w:pPr>
                            <w:r w:rsidRPr="0055776F">
                              <w:rPr>
                                <w:rFonts w:ascii="Arial" w:hAnsi="Arial" w:cs="Arial"/>
                                <w:sz w:val="20"/>
                              </w:rPr>
                              <w:t>174</w:t>
                            </w:r>
                          </w:p>
                        </w:tc>
                      </w:tr>
                      <w:tr w:rsidR="003E7632" w:rsidRPr="0055776F" w14:paraId="0F861AAE" w14:textId="77777777" w:rsidTr="009039A5">
                        <w:tc>
                          <w:tcPr>
                            <w:tcW w:w="817" w:type="dxa"/>
                            <w:shd w:val="clear" w:color="auto" w:fill="auto"/>
                          </w:tcPr>
                          <w:p w14:paraId="6D2BC9EF"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shd w:val="clear" w:color="auto" w:fill="auto"/>
                          </w:tcPr>
                          <w:p w14:paraId="43EEC8D7" w14:textId="77777777" w:rsidR="003E7632" w:rsidRPr="0055776F" w:rsidRDefault="003E7632" w:rsidP="007E1E98">
                            <w:pPr>
                              <w:rPr>
                                <w:rFonts w:ascii="Arial" w:hAnsi="Arial" w:cs="Arial"/>
                                <w:sz w:val="20"/>
                              </w:rPr>
                            </w:pPr>
                            <w:r>
                              <w:rPr>
                                <w:rFonts w:ascii="Arial" w:hAnsi="Arial" w:cs="Arial"/>
                                <w:sz w:val="20"/>
                              </w:rPr>
                              <w:t>(2) Imatinib 36 månader</w:t>
                            </w:r>
                            <w:r w:rsidRPr="0055776F">
                              <w:rPr>
                                <w:rFonts w:ascii="Arial" w:hAnsi="Arial" w:cs="Arial"/>
                                <w:sz w:val="20"/>
                              </w:rPr>
                              <w:t>:</w:t>
                            </w:r>
                          </w:p>
                        </w:tc>
                        <w:tc>
                          <w:tcPr>
                            <w:tcW w:w="851" w:type="dxa"/>
                            <w:tcBorders>
                              <w:bottom w:val="single" w:sz="4" w:space="0" w:color="auto"/>
                            </w:tcBorders>
                            <w:shd w:val="clear" w:color="auto" w:fill="auto"/>
                          </w:tcPr>
                          <w:p w14:paraId="3A9BB30D" w14:textId="77777777" w:rsidR="003E7632" w:rsidRPr="0055776F" w:rsidRDefault="003E7632" w:rsidP="0061715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0230D67D" w14:textId="77777777" w:rsidR="003E7632" w:rsidRPr="0055776F" w:rsidRDefault="003E7632" w:rsidP="0061715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6A127F1" w14:textId="77777777" w:rsidR="003E7632" w:rsidRPr="0055776F" w:rsidRDefault="003E7632" w:rsidP="0061715E">
                            <w:pPr>
                              <w:rPr>
                                <w:rFonts w:ascii="Arial" w:hAnsi="Arial" w:cs="Arial"/>
                                <w:sz w:val="20"/>
                              </w:rPr>
                            </w:pPr>
                            <w:r w:rsidRPr="0055776F">
                              <w:rPr>
                                <w:rFonts w:ascii="Arial" w:hAnsi="Arial" w:cs="Arial"/>
                                <w:sz w:val="20"/>
                              </w:rPr>
                              <w:t>186</w:t>
                            </w:r>
                          </w:p>
                        </w:tc>
                      </w:tr>
                      <w:tr w:rsidR="003E7632" w:rsidRPr="0055776F" w14:paraId="071A9088" w14:textId="77777777" w:rsidTr="009039A5">
                        <w:tc>
                          <w:tcPr>
                            <w:tcW w:w="817" w:type="dxa"/>
                            <w:shd w:val="clear" w:color="auto" w:fill="auto"/>
                          </w:tcPr>
                          <w:p w14:paraId="26BA2C53"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shd w:val="clear" w:color="auto" w:fill="auto"/>
                          </w:tcPr>
                          <w:p w14:paraId="4F433EF3" w14:textId="77777777" w:rsidR="003E7632" w:rsidRPr="0055776F" w:rsidRDefault="003E7632" w:rsidP="0061715E">
                            <w:pPr>
                              <w:rPr>
                                <w:rFonts w:ascii="Arial" w:hAnsi="Arial" w:cs="Arial"/>
                                <w:sz w:val="20"/>
                              </w:rPr>
                            </w:pPr>
                            <w:r>
                              <w:rPr>
                                <w:rFonts w:ascii="Arial" w:hAnsi="Arial" w:cs="Arial"/>
                                <w:sz w:val="20"/>
                              </w:rPr>
                              <w:t>Censurerade observationer</w:t>
                            </w:r>
                          </w:p>
                        </w:tc>
                        <w:tc>
                          <w:tcPr>
                            <w:tcW w:w="851" w:type="dxa"/>
                            <w:tcBorders>
                              <w:top w:val="single" w:sz="4" w:space="0" w:color="auto"/>
                            </w:tcBorders>
                            <w:shd w:val="clear" w:color="auto" w:fill="auto"/>
                          </w:tcPr>
                          <w:p w14:paraId="61D2BF1A" w14:textId="77777777" w:rsidR="003E7632" w:rsidRPr="0055776F" w:rsidRDefault="003E7632" w:rsidP="0061715E">
                            <w:pPr>
                              <w:rPr>
                                <w:rFonts w:ascii="Arial" w:hAnsi="Arial" w:cs="Arial"/>
                                <w:sz w:val="20"/>
                              </w:rPr>
                            </w:pPr>
                          </w:p>
                        </w:tc>
                        <w:tc>
                          <w:tcPr>
                            <w:tcW w:w="709" w:type="dxa"/>
                            <w:tcBorders>
                              <w:top w:val="single" w:sz="4" w:space="0" w:color="auto"/>
                            </w:tcBorders>
                            <w:shd w:val="clear" w:color="auto" w:fill="auto"/>
                          </w:tcPr>
                          <w:p w14:paraId="6CFA2594" w14:textId="77777777" w:rsidR="003E7632" w:rsidRPr="0055776F" w:rsidRDefault="003E7632" w:rsidP="0061715E">
                            <w:pPr>
                              <w:rPr>
                                <w:rFonts w:ascii="Arial" w:hAnsi="Arial" w:cs="Arial"/>
                                <w:sz w:val="20"/>
                              </w:rPr>
                            </w:pPr>
                          </w:p>
                        </w:tc>
                        <w:tc>
                          <w:tcPr>
                            <w:tcW w:w="850" w:type="dxa"/>
                            <w:tcBorders>
                              <w:top w:val="single" w:sz="4" w:space="0" w:color="auto"/>
                            </w:tcBorders>
                            <w:shd w:val="clear" w:color="auto" w:fill="auto"/>
                          </w:tcPr>
                          <w:p w14:paraId="53809680" w14:textId="77777777" w:rsidR="003E7632" w:rsidRPr="0055776F" w:rsidRDefault="003E7632" w:rsidP="0061715E">
                            <w:pPr>
                              <w:rPr>
                                <w:rFonts w:ascii="Arial" w:hAnsi="Arial" w:cs="Arial"/>
                                <w:sz w:val="20"/>
                              </w:rPr>
                            </w:pPr>
                          </w:p>
                        </w:tc>
                      </w:tr>
                    </w:tbl>
                    <w:p w14:paraId="212777B1" w14:textId="77777777" w:rsidR="003E7632" w:rsidRPr="00A33DBA" w:rsidRDefault="003E7632" w:rsidP="009039A5">
                      <w:pPr>
                        <w:rPr>
                          <w:rFonts w:ascii="Arial" w:hAnsi="Arial" w:cs="Arial"/>
                          <w:sz w:val="20"/>
                        </w:rPr>
                      </w:pPr>
                    </w:p>
                    <w:p w14:paraId="02278351" w14:textId="77777777" w:rsidR="003E7632" w:rsidRPr="00A33DBA" w:rsidRDefault="003E7632" w:rsidP="00311830">
                      <w:pPr>
                        <w:rPr>
                          <w:rFonts w:ascii="Arial" w:hAnsi="Arial" w:cs="Arial"/>
                          <w:sz w:val="20"/>
                        </w:rPr>
                      </w:pPr>
                    </w:p>
                  </w:txbxContent>
                </v:textbox>
              </v:shape>
            </w:pict>
          </mc:Fallback>
        </mc:AlternateContent>
      </w:r>
      <w:r w:rsidRPr="00D82973">
        <w:rPr>
          <w:noProof/>
          <w:lang w:val="en-US"/>
        </w:rPr>
        <w:drawing>
          <wp:inline distT="0" distB="0" distL="0" distR="0" wp14:anchorId="0A67CE5E" wp14:editId="4B6490B7">
            <wp:extent cx="5948680" cy="2636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8680" cy="2636520"/>
                    </a:xfrm>
                    <a:prstGeom prst="rect">
                      <a:avLst/>
                    </a:prstGeom>
                    <a:noFill/>
                    <a:ln>
                      <a:noFill/>
                    </a:ln>
                  </pic:spPr>
                </pic:pic>
              </a:graphicData>
            </a:graphic>
          </wp:inline>
        </w:drawing>
      </w:r>
    </w:p>
    <w:p w14:paraId="657AA64D" w14:textId="77777777" w:rsidR="00311830" w:rsidRDefault="000B798D" w:rsidP="00463647">
      <w:pPr>
        <w:keepNext/>
        <w:keepLines/>
        <w:widowControl w:val="0"/>
        <w:tabs>
          <w:tab w:val="clear" w:pos="567"/>
        </w:tabs>
        <w:spacing w:line="240" w:lineRule="auto"/>
        <w:rPr>
          <w:rFonts w:eastAsia="MS Mincho"/>
          <w:szCs w:val="22"/>
          <w:lang w:val="en-US"/>
        </w:rPr>
      </w:pPr>
      <w:r>
        <w:rPr>
          <w:rFonts w:eastAsia="MS Mincho"/>
          <w:noProof/>
          <w:szCs w:val="22"/>
          <w:lang w:val="en-US"/>
        </w:rPr>
        <mc:AlternateContent>
          <mc:Choice Requires="wps">
            <w:drawing>
              <wp:anchor distT="0" distB="0" distL="114300" distR="114300" simplePos="0" relativeHeight="251656704" behindDoc="0" locked="0" layoutInCell="1" allowOverlap="1" wp14:anchorId="6C108888" wp14:editId="5152B142">
                <wp:simplePos x="0" y="0"/>
                <wp:positionH relativeFrom="column">
                  <wp:posOffset>2320290</wp:posOffset>
                </wp:positionH>
                <wp:positionV relativeFrom="paragraph">
                  <wp:posOffset>11430</wp:posOffset>
                </wp:positionV>
                <wp:extent cx="2268220" cy="39052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390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DB66E9" w14:textId="77777777" w:rsidR="003E7632" w:rsidRPr="00A33DBA" w:rsidRDefault="003E7632" w:rsidP="00311830">
                            <w:pPr>
                              <w:rPr>
                                <w:rFonts w:ascii="Arial" w:hAnsi="Arial" w:cs="Arial"/>
                                <w:sz w:val="20"/>
                              </w:rPr>
                            </w:pPr>
                            <w:r>
                              <w:rPr>
                                <w:rFonts w:ascii="Arial" w:hAnsi="Arial" w:cs="Arial"/>
                                <w:sz w:val="20"/>
                                <w:lang w:val="de-DE"/>
                              </w:rPr>
                              <w:t>Överlevnadstid (månader)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108888" id="_x0000_s1030" type="#_x0000_t202" style="position:absolute;margin-left:182.7pt;margin-top:.9pt;width:178.6pt;height:3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" stroked="f">
                <v:fill opacity="0"/>
                <v:textbox>
                  <w:txbxContent>
                    <w:p w14:paraId="3CDB66E9" w14:textId="77777777" w:rsidR="003E7632" w:rsidRPr="00A33DBA" w:rsidRDefault="003E7632" w:rsidP="00311830">
                      <w:pPr>
                        <w:rPr>
                          <w:rFonts w:ascii="Arial" w:hAnsi="Arial" w:cs="Arial"/>
                          <w:sz w:val="20"/>
                        </w:rPr>
                      </w:pPr>
                      <w:r>
                        <w:rPr>
                          <w:rFonts w:ascii="Arial" w:hAnsi="Arial" w:cs="Arial"/>
                          <w:sz w:val="20"/>
                          <w:lang w:val="de-DE"/>
                        </w:rPr>
                        <w:t>Överlevnadstid (månader)</w:t>
                      </w:r>
                    </w:p>
                  </w:txbxContent>
                </v:textbox>
              </v:shape>
            </w:pict>
          </mc:Fallback>
        </mc:AlternateContent>
      </w:r>
    </w:p>
    <w:p w14:paraId="2D4AB5DC" w14:textId="77777777" w:rsidR="00311830" w:rsidRDefault="00311830" w:rsidP="00463647">
      <w:pPr>
        <w:keepNext/>
        <w:keepLines/>
        <w:widowControl w:val="0"/>
        <w:spacing w:line="240" w:lineRule="auto"/>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311830" w:rsidRPr="0055776F" w14:paraId="07CB0F49" w14:textId="77777777" w:rsidTr="008D2766">
        <w:tc>
          <w:tcPr>
            <w:tcW w:w="10632" w:type="dxa"/>
            <w:gridSpan w:val="16"/>
            <w:shd w:val="clear" w:color="auto" w:fill="auto"/>
          </w:tcPr>
          <w:p w14:paraId="262F8341" w14:textId="77777777" w:rsidR="00311830" w:rsidRPr="0055776F" w:rsidRDefault="009039A5" w:rsidP="00463647">
            <w:pPr>
              <w:keepNext/>
              <w:keepLines/>
              <w:widowControl w:val="0"/>
              <w:spacing w:line="240" w:lineRule="auto"/>
              <w:ind w:left="-27"/>
              <w:rPr>
                <w:rFonts w:ascii="Arial" w:hAnsi="Arial" w:cs="Arial"/>
                <w:sz w:val="16"/>
                <w:szCs w:val="16"/>
              </w:rPr>
            </w:pPr>
            <w:r w:rsidRPr="009039A5">
              <w:rPr>
                <w:rFonts w:ascii="Arial" w:hAnsi="Arial" w:cs="Arial"/>
                <w:sz w:val="20"/>
              </w:rPr>
              <w:t>Risk : Händelser</w:t>
            </w:r>
          </w:p>
        </w:tc>
      </w:tr>
      <w:tr w:rsidR="00311830" w:rsidRPr="0055776F" w14:paraId="0D5880A6" w14:textId="77777777" w:rsidTr="008D2766">
        <w:tc>
          <w:tcPr>
            <w:tcW w:w="450" w:type="dxa"/>
            <w:shd w:val="clear" w:color="auto" w:fill="auto"/>
          </w:tcPr>
          <w:p w14:paraId="14161F9D" w14:textId="77777777" w:rsidR="00311830" w:rsidRPr="0055776F" w:rsidRDefault="00311830" w:rsidP="00463647">
            <w:pPr>
              <w:keepNext/>
              <w:keepLines/>
              <w:widowControl w:val="0"/>
              <w:spacing w:line="240" w:lineRule="auto"/>
              <w:rPr>
                <w:sz w:val="20"/>
              </w:rPr>
            </w:pPr>
            <w:r w:rsidRPr="0055776F">
              <w:rPr>
                <w:sz w:val="20"/>
              </w:rPr>
              <w:t>(1)</w:t>
            </w:r>
          </w:p>
        </w:tc>
        <w:tc>
          <w:tcPr>
            <w:tcW w:w="691" w:type="dxa"/>
            <w:shd w:val="clear" w:color="auto" w:fill="auto"/>
          </w:tcPr>
          <w:p w14:paraId="2FC79770" w14:textId="77777777" w:rsidR="00311830" w:rsidRPr="0055776F" w:rsidRDefault="00311830" w:rsidP="00463647">
            <w:pPr>
              <w:keepNext/>
              <w:keepLines/>
              <w:widowControl w:val="0"/>
              <w:spacing w:line="240" w:lineRule="auto"/>
              <w:ind w:left="-45"/>
              <w:rPr>
                <w:sz w:val="20"/>
              </w:rPr>
            </w:pPr>
            <w:r w:rsidRPr="0055776F">
              <w:rPr>
                <w:sz w:val="20"/>
              </w:rPr>
              <w:t>199:0</w:t>
            </w:r>
          </w:p>
        </w:tc>
        <w:tc>
          <w:tcPr>
            <w:tcW w:w="672" w:type="dxa"/>
            <w:shd w:val="clear" w:color="auto" w:fill="auto"/>
          </w:tcPr>
          <w:p w14:paraId="17096F85" w14:textId="77777777" w:rsidR="00311830" w:rsidRPr="0055776F" w:rsidRDefault="00311830" w:rsidP="00463647">
            <w:pPr>
              <w:keepNext/>
              <w:keepLines/>
              <w:widowControl w:val="0"/>
              <w:spacing w:line="240" w:lineRule="auto"/>
              <w:ind w:left="-45"/>
              <w:rPr>
                <w:sz w:val="20"/>
              </w:rPr>
            </w:pPr>
            <w:r w:rsidRPr="0055776F">
              <w:rPr>
                <w:sz w:val="20"/>
              </w:rPr>
              <w:t>190:2</w:t>
            </w:r>
          </w:p>
        </w:tc>
        <w:tc>
          <w:tcPr>
            <w:tcW w:w="714" w:type="dxa"/>
            <w:shd w:val="clear" w:color="auto" w:fill="auto"/>
          </w:tcPr>
          <w:p w14:paraId="6007EDE6" w14:textId="77777777" w:rsidR="00311830" w:rsidRPr="0055776F" w:rsidRDefault="00311830" w:rsidP="00463647">
            <w:pPr>
              <w:keepNext/>
              <w:keepLines/>
              <w:widowControl w:val="0"/>
              <w:spacing w:line="240" w:lineRule="auto"/>
              <w:ind w:left="-45"/>
              <w:rPr>
                <w:sz w:val="20"/>
              </w:rPr>
            </w:pPr>
            <w:r w:rsidRPr="0055776F">
              <w:rPr>
                <w:sz w:val="20"/>
              </w:rPr>
              <w:t>188:2</w:t>
            </w:r>
          </w:p>
        </w:tc>
        <w:tc>
          <w:tcPr>
            <w:tcW w:w="722" w:type="dxa"/>
            <w:shd w:val="clear" w:color="auto" w:fill="auto"/>
          </w:tcPr>
          <w:p w14:paraId="2B3E6D51" w14:textId="77777777" w:rsidR="00311830" w:rsidRPr="0055776F" w:rsidRDefault="00311830" w:rsidP="00463647">
            <w:pPr>
              <w:keepNext/>
              <w:keepLines/>
              <w:widowControl w:val="0"/>
              <w:spacing w:line="240" w:lineRule="auto"/>
              <w:ind w:left="-45"/>
              <w:rPr>
                <w:sz w:val="20"/>
              </w:rPr>
            </w:pPr>
            <w:r w:rsidRPr="0055776F">
              <w:rPr>
                <w:sz w:val="20"/>
              </w:rPr>
              <w:t>183:6</w:t>
            </w:r>
          </w:p>
        </w:tc>
        <w:tc>
          <w:tcPr>
            <w:tcW w:w="694" w:type="dxa"/>
            <w:shd w:val="clear" w:color="auto" w:fill="auto"/>
          </w:tcPr>
          <w:p w14:paraId="14F49153" w14:textId="77777777" w:rsidR="00311830" w:rsidRPr="0055776F" w:rsidRDefault="00311830" w:rsidP="00463647">
            <w:pPr>
              <w:keepNext/>
              <w:keepLines/>
              <w:widowControl w:val="0"/>
              <w:spacing w:line="240" w:lineRule="auto"/>
              <w:ind w:left="-45"/>
              <w:rPr>
                <w:sz w:val="20"/>
              </w:rPr>
            </w:pPr>
            <w:r w:rsidRPr="0055776F">
              <w:rPr>
                <w:sz w:val="20"/>
              </w:rPr>
              <w:t>176:8</w:t>
            </w:r>
          </w:p>
        </w:tc>
        <w:tc>
          <w:tcPr>
            <w:tcW w:w="772" w:type="dxa"/>
            <w:shd w:val="clear" w:color="auto" w:fill="auto"/>
          </w:tcPr>
          <w:p w14:paraId="0577C8EA" w14:textId="77777777" w:rsidR="00311830" w:rsidRPr="0055776F" w:rsidRDefault="00311830" w:rsidP="00463647">
            <w:pPr>
              <w:keepNext/>
              <w:keepLines/>
              <w:widowControl w:val="0"/>
              <w:spacing w:line="240" w:lineRule="auto"/>
              <w:ind w:left="-45"/>
              <w:rPr>
                <w:sz w:val="20"/>
              </w:rPr>
            </w:pPr>
            <w:r w:rsidRPr="0055776F">
              <w:rPr>
                <w:sz w:val="20"/>
              </w:rPr>
              <w:t>156:10</w:t>
            </w:r>
          </w:p>
        </w:tc>
        <w:tc>
          <w:tcPr>
            <w:tcW w:w="782" w:type="dxa"/>
            <w:shd w:val="clear" w:color="auto" w:fill="auto"/>
          </w:tcPr>
          <w:p w14:paraId="5F636F7B" w14:textId="77777777" w:rsidR="00311830" w:rsidRPr="0055776F" w:rsidRDefault="00311830" w:rsidP="00463647">
            <w:pPr>
              <w:keepNext/>
              <w:keepLines/>
              <w:widowControl w:val="0"/>
              <w:spacing w:line="240" w:lineRule="auto"/>
              <w:ind w:left="-45"/>
              <w:rPr>
                <w:sz w:val="20"/>
              </w:rPr>
            </w:pPr>
            <w:r w:rsidRPr="0055776F">
              <w:rPr>
                <w:sz w:val="20"/>
              </w:rPr>
              <w:t>140:11</w:t>
            </w:r>
          </w:p>
        </w:tc>
        <w:tc>
          <w:tcPr>
            <w:tcW w:w="798" w:type="dxa"/>
            <w:shd w:val="clear" w:color="auto" w:fill="auto"/>
          </w:tcPr>
          <w:p w14:paraId="04B89D8D" w14:textId="77777777" w:rsidR="00311830" w:rsidRPr="0055776F" w:rsidRDefault="00311830" w:rsidP="00463647">
            <w:pPr>
              <w:keepNext/>
              <w:keepLines/>
              <w:widowControl w:val="0"/>
              <w:spacing w:line="240" w:lineRule="auto"/>
              <w:ind w:left="-45"/>
              <w:rPr>
                <w:sz w:val="20"/>
              </w:rPr>
            </w:pPr>
            <w:r w:rsidRPr="0055776F">
              <w:rPr>
                <w:sz w:val="20"/>
              </w:rPr>
              <w:t>105:14</w:t>
            </w:r>
          </w:p>
        </w:tc>
        <w:tc>
          <w:tcPr>
            <w:tcW w:w="654" w:type="dxa"/>
            <w:shd w:val="clear" w:color="auto" w:fill="auto"/>
          </w:tcPr>
          <w:p w14:paraId="3980D1DC" w14:textId="77777777" w:rsidR="00311830" w:rsidRPr="0055776F" w:rsidRDefault="00311830" w:rsidP="00463647">
            <w:pPr>
              <w:keepNext/>
              <w:keepLines/>
              <w:widowControl w:val="0"/>
              <w:spacing w:line="240" w:lineRule="auto"/>
              <w:ind w:left="-45"/>
              <w:rPr>
                <w:sz w:val="20"/>
              </w:rPr>
            </w:pPr>
            <w:r w:rsidRPr="0055776F">
              <w:rPr>
                <w:sz w:val="20"/>
              </w:rPr>
              <w:t>87:18</w:t>
            </w:r>
          </w:p>
        </w:tc>
        <w:tc>
          <w:tcPr>
            <w:tcW w:w="630" w:type="dxa"/>
            <w:shd w:val="clear" w:color="auto" w:fill="auto"/>
          </w:tcPr>
          <w:p w14:paraId="1DFFC223" w14:textId="77777777" w:rsidR="00311830" w:rsidRPr="0055776F" w:rsidRDefault="00311830" w:rsidP="00463647">
            <w:pPr>
              <w:keepNext/>
              <w:keepLines/>
              <w:widowControl w:val="0"/>
              <w:spacing w:line="240" w:lineRule="auto"/>
              <w:ind w:left="-45"/>
              <w:rPr>
                <w:sz w:val="20"/>
              </w:rPr>
            </w:pPr>
            <w:r w:rsidRPr="0055776F">
              <w:rPr>
                <w:sz w:val="20"/>
              </w:rPr>
              <w:t>64:22</w:t>
            </w:r>
          </w:p>
        </w:tc>
        <w:tc>
          <w:tcPr>
            <w:tcW w:w="644" w:type="dxa"/>
            <w:shd w:val="clear" w:color="auto" w:fill="auto"/>
          </w:tcPr>
          <w:p w14:paraId="77C76AB0" w14:textId="77777777" w:rsidR="00311830" w:rsidRPr="0055776F" w:rsidRDefault="00311830" w:rsidP="00463647">
            <w:pPr>
              <w:keepNext/>
              <w:keepLines/>
              <w:widowControl w:val="0"/>
              <w:spacing w:line="240" w:lineRule="auto"/>
              <w:ind w:left="-45"/>
              <w:rPr>
                <w:sz w:val="20"/>
              </w:rPr>
            </w:pPr>
            <w:r w:rsidRPr="0055776F">
              <w:rPr>
                <w:sz w:val="20"/>
              </w:rPr>
              <w:t>46:23</w:t>
            </w:r>
          </w:p>
        </w:tc>
        <w:tc>
          <w:tcPr>
            <w:tcW w:w="672" w:type="dxa"/>
            <w:shd w:val="clear" w:color="auto" w:fill="auto"/>
          </w:tcPr>
          <w:p w14:paraId="3854E80F" w14:textId="77777777" w:rsidR="00311830" w:rsidRPr="0055776F" w:rsidRDefault="00311830" w:rsidP="00463647">
            <w:pPr>
              <w:keepNext/>
              <w:keepLines/>
              <w:widowControl w:val="0"/>
              <w:spacing w:line="240" w:lineRule="auto"/>
              <w:ind w:left="-45"/>
              <w:rPr>
                <w:sz w:val="20"/>
              </w:rPr>
            </w:pPr>
            <w:r w:rsidRPr="0055776F">
              <w:rPr>
                <w:sz w:val="20"/>
              </w:rPr>
              <w:t>27:25</w:t>
            </w:r>
          </w:p>
        </w:tc>
        <w:tc>
          <w:tcPr>
            <w:tcW w:w="686" w:type="dxa"/>
            <w:shd w:val="clear" w:color="auto" w:fill="auto"/>
          </w:tcPr>
          <w:p w14:paraId="2C5766AF" w14:textId="77777777" w:rsidR="00311830" w:rsidRPr="0055776F" w:rsidRDefault="00311830" w:rsidP="00463647">
            <w:pPr>
              <w:keepNext/>
              <w:keepLines/>
              <w:widowControl w:val="0"/>
              <w:spacing w:line="240" w:lineRule="auto"/>
              <w:ind w:left="-45"/>
              <w:rPr>
                <w:sz w:val="20"/>
              </w:rPr>
            </w:pPr>
            <w:r w:rsidRPr="0055776F">
              <w:rPr>
                <w:sz w:val="20"/>
              </w:rPr>
              <w:t>20:25</w:t>
            </w:r>
          </w:p>
        </w:tc>
        <w:tc>
          <w:tcPr>
            <w:tcW w:w="560" w:type="dxa"/>
            <w:shd w:val="clear" w:color="auto" w:fill="auto"/>
          </w:tcPr>
          <w:p w14:paraId="300B1C3F" w14:textId="77777777" w:rsidR="00311830" w:rsidRPr="0055776F" w:rsidRDefault="00311830" w:rsidP="00463647">
            <w:pPr>
              <w:keepNext/>
              <w:keepLines/>
              <w:widowControl w:val="0"/>
              <w:spacing w:line="240" w:lineRule="auto"/>
              <w:ind w:left="-45"/>
              <w:rPr>
                <w:sz w:val="20"/>
              </w:rPr>
            </w:pPr>
            <w:r w:rsidRPr="0055776F">
              <w:rPr>
                <w:sz w:val="20"/>
              </w:rPr>
              <w:t>2:25</w:t>
            </w:r>
          </w:p>
        </w:tc>
        <w:tc>
          <w:tcPr>
            <w:tcW w:w="491" w:type="dxa"/>
            <w:shd w:val="clear" w:color="auto" w:fill="auto"/>
          </w:tcPr>
          <w:p w14:paraId="35475A1B" w14:textId="77777777" w:rsidR="00311830" w:rsidRPr="0055776F" w:rsidRDefault="00311830" w:rsidP="00463647">
            <w:pPr>
              <w:keepNext/>
              <w:keepLines/>
              <w:widowControl w:val="0"/>
              <w:spacing w:line="240" w:lineRule="auto"/>
              <w:ind w:left="-45"/>
              <w:rPr>
                <w:sz w:val="20"/>
              </w:rPr>
            </w:pPr>
            <w:r w:rsidRPr="0055776F">
              <w:rPr>
                <w:sz w:val="20"/>
              </w:rPr>
              <w:t>0:25</w:t>
            </w:r>
          </w:p>
        </w:tc>
      </w:tr>
      <w:tr w:rsidR="00311830" w:rsidRPr="0055776F" w14:paraId="6ABD427E" w14:textId="77777777" w:rsidTr="008D2766">
        <w:tc>
          <w:tcPr>
            <w:tcW w:w="450" w:type="dxa"/>
            <w:shd w:val="clear" w:color="auto" w:fill="auto"/>
          </w:tcPr>
          <w:p w14:paraId="174C14AF" w14:textId="77777777" w:rsidR="00311830" w:rsidRPr="0055776F" w:rsidRDefault="00311830" w:rsidP="00463647">
            <w:pPr>
              <w:keepNext/>
              <w:keepLines/>
              <w:widowControl w:val="0"/>
              <w:spacing w:line="240" w:lineRule="auto"/>
              <w:rPr>
                <w:sz w:val="20"/>
              </w:rPr>
            </w:pPr>
            <w:r w:rsidRPr="0055776F">
              <w:rPr>
                <w:sz w:val="20"/>
              </w:rPr>
              <w:t>(2)</w:t>
            </w:r>
          </w:p>
        </w:tc>
        <w:tc>
          <w:tcPr>
            <w:tcW w:w="691" w:type="dxa"/>
            <w:shd w:val="clear" w:color="auto" w:fill="auto"/>
          </w:tcPr>
          <w:p w14:paraId="5CC22FC6" w14:textId="77777777" w:rsidR="00311830" w:rsidRPr="0055776F" w:rsidRDefault="00311830" w:rsidP="00463647">
            <w:pPr>
              <w:keepNext/>
              <w:keepLines/>
              <w:widowControl w:val="0"/>
              <w:spacing w:line="240" w:lineRule="auto"/>
              <w:ind w:left="-45"/>
              <w:rPr>
                <w:sz w:val="20"/>
              </w:rPr>
            </w:pPr>
            <w:r w:rsidRPr="0055776F">
              <w:rPr>
                <w:sz w:val="20"/>
              </w:rPr>
              <w:t>198:0</w:t>
            </w:r>
          </w:p>
        </w:tc>
        <w:tc>
          <w:tcPr>
            <w:tcW w:w="672" w:type="dxa"/>
            <w:shd w:val="clear" w:color="auto" w:fill="auto"/>
          </w:tcPr>
          <w:p w14:paraId="20AFB398" w14:textId="77777777" w:rsidR="00311830" w:rsidRPr="0055776F" w:rsidRDefault="00311830" w:rsidP="00463647">
            <w:pPr>
              <w:keepNext/>
              <w:keepLines/>
              <w:widowControl w:val="0"/>
              <w:spacing w:line="240" w:lineRule="auto"/>
              <w:ind w:left="-45"/>
              <w:rPr>
                <w:sz w:val="20"/>
              </w:rPr>
            </w:pPr>
            <w:r w:rsidRPr="0055776F">
              <w:rPr>
                <w:sz w:val="20"/>
              </w:rPr>
              <w:t>196:0</w:t>
            </w:r>
          </w:p>
        </w:tc>
        <w:tc>
          <w:tcPr>
            <w:tcW w:w="714" w:type="dxa"/>
            <w:shd w:val="clear" w:color="auto" w:fill="auto"/>
          </w:tcPr>
          <w:p w14:paraId="0F89A0F1" w14:textId="77777777" w:rsidR="00311830" w:rsidRPr="0055776F" w:rsidRDefault="00311830" w:rsidP="00463647">
            <w:pPr>
              <w:keepNext/>
              <w:keepLines/>
              <w:widowControl w:val="0"/>
              <w:spacing w:line="240" w:lineRule="auto"/>
              <w:ind w:left="-45"/>
              <w:rPr>
                <w:sz w:val="20"/>
              </w:rPr>
            </w:pPr>
            <w:r w:rsidRPr="0055776F">
              <w:rPr>
                <w:sz w:val="20"/>
              </w:rPr>
              <w:t>192:0</w:t>
            </w:r>
          </w:p>
        </w:tc>
        <w:tc>
          <w:tcPr>
            <w:tcW w:w="722" w:type="dxa"/>
            <w:shd w:val="clear" w:color="auto" w:fill="auto"/>
          </w:tcPr>
          <w:p w14:paraId="2DF00569" w14:textId="77777777" w:rsidR="00311830" w:rsidRPr="0055776F" w:rsidRDefault="00311830" w:rsidP="00463647">
            <w:pPr>
              <w:keepNext/>
              <w:keepLines/>
              <w:widowControl w:val="0"/>
              <w:spacing w:line="240" w:lineRule="auto"/>
              <w:ind w:left="-45"/>
              <w:rPr>
                <w:sz w:val="20"/>
              </w:rPr>
            </w:pPr>
            <w:r w:rsidRPr="0055776F">
              <w:rPr>
                <w:sz w:val="20"/>
              </w:rPr>
              <w:t>187:4</w:t>
            </w:r>
          </w:p>
        </w:tc>
        <w:tc>
          <w:tcPr>
            <w:tcW w:w="694" w:type="dxa"/>
            <w:shd w:val="clear" w:color="auto" w:fill="auto"/>
          </w:tcPr>
          <w:p w14:paraId="6C0C4809" w14:textId="77777777" w:rsidR="00311830" w:rsidRPr="0055776F" w:rsidRDefault="00311830" w:rsidP="00463647">
            <w:pPr>
              <w:keepNext/>
              <w:keepLines/>
              <w:widowControl w:val="0"/>
              <w:spacing w:line="240" w:lineRule="auto"/>
              <w:ind w:left="-45"/>
              <w:rPr>
                <w:sz w:val="20"/>
              </w:rPr>
            </w:pPr>
            <w:r w:rsidRPr="0055776F">
              <w:rPr>
                <w:sz w:val="20"/>
              </w:rPr>
              <w:t>184:5</w:t>
            </w:r>
          </w:p>
        </w:tc>
        <w:tc>
          <w:tcPr>
            <w:tcW w:w="772" w:type="dxa"/>
            <w:shd w:val="clear" w:color="auto" w:fill="auto"/>
          </w:tcPr>
          <w:p w14:paraId="2E3478A2" w14:textId="77777777" w:rsidR="00311830" w:rsidRPr="0055776F" w:rsidRDefault="00311830" w:rsidP="00463647">
            <w:pPr>
              <w:keepNext/>
              <w:keepLines/>
              <w:widowControl w:val="0"/>
              <w:spacing w:line="240" w:lineRule="auto"/>
              <w:ind w:left="-45"/>
              <w:rPr>
                <w:sz w:val="20"/>
              </w:rPr>
            </w:pPr>
            <w:r w:rsidRPr="0055776F">
              <w:rPr>
                <w:sz w:val="20"/>
              </w:rPr>
              <w:t>164:7</w:t>
            </w:r>
          </w:p>
        </w:tc>
        <w:tc>
          <w:tcPr>
            <w:tcW w:w="782" w:type="dxa"/>
            <w:shd w:val="clear" w:color="auto" w:fill="auto"/>
          </w:tcPr>
          <w:p w14:paraId="2E049FF7" w14:textId="77777777" w:rsidR="00311830" w:rsidRPr="0055776F" w:rsidRDefault="00311830" w:rsidP="00463647">
            <w:pPr>
              <w:keepNext/>
              <w:keepLines/>
              <w:widowControl w:val="0"/>
              <w:spacing w:line="240" w:lineRule="auto"/>
              <w:ind w:left="-45"/>
              <w:rPr>
                <w:sz w:val="20"/>
              </w:rPr>
            </w:pPr>
            <w:r w:rsidRPr="0055776F">
              <w:rPr>
                <w:sz w:val="20"/>
              </w:rPr>
              <w:t>152:7</w:t>
            </w:r>
          </w:p>
        </w:tc>
        <w:tc>
          <w:tcPr>
            <w:tcW w:w="798" w:type="dxa"/>
            <w:shd w:val="clear" w:color="auto" w:fill="auto"/>
          </w:tcPr>
          <w:p w14:paraId="02799AA7" w14:textId="77777777" w:rsidR="00311830" w:rsidRPr="0055776F" w:rsidRDefault="00311830" w:rsidP="00463647">
            <w:pPr>
              <w:keepNext/>
              <w:keepLines/>
              <w:widowControl w:val="0"/>
              <w:spacing w:line="240" w:lineRule="auto"/>
              <w:ind w:left="-45"/>
              <w:rPr>
                <w:sz w:val="20"/>
              </w:rPr>
            </w:pPr>
            <w:r w:rsidRPr="0055776F">
              <w:rPr>
                <w:sz w:val="20"/>
              </w:rPr>
              <w:t>119:8</w:t>
            </w:r>
          </w:p>
        </w:tc>
        <w:tc>
          <w:tcPr>
            <w:tcW w:w="654" w:type="dxa"/>
            <w:shd w:val="clear" w:color="auto" w:fill="auto"/>
          </w:tcPr>
          <w:p w14:paraId="0E2EBCEE" w14:textId="77777777" w:rsidR="00311830" w:rsidRPr="0055776F" w:rsidRDefault="00311830" w:rsidP="00463647">
            <w:pPr>
              <w:keepNext/>
              <w:keepLines/>
              <w:widowControl w:val="0"/>
              <w:spacing w:line="240" w:lineRule="auto"/>
              <w:ind w:left="-45"/>
              <w:rPr>
                <w:sz w:val="20"/>
              </w:rPr>
            </w:pPr>
            <w:r w:rsidRPr="0055776F">
              <w:rPr>
                <w:sz w:val="20"/>
              </w:rPr>
              <w:t>100:8</w:t>
            </w:r>
          </w:p>
        </w:tc>
        <w:tc>
          <w:tcPr>
            <w:tcW w:w="630" w:type="dxa"/>
            <w:shd w:val="clear" w:color="auto" w:fill="auto"/>
          </w:tcPr>
          <w:p w14:paraId="3212BC26" w14:textId="77777777" w:rsidR="00311830" w:rsidRPr="0055776F" w:rsidRDefault="00311830" w:rsidP="00463647">
            <w:pPr>
              <w:keepNext/>
              <w:keepLines/>
              <w:widowControl w:val="0"/>
              <w:spacing w:line="240" w:lineRule="auto"/>
              <w:ind w:left="-45"/>
              <w:rPr>
                <w:sz w:val="20"/>
              </w:rPr>
            </w:pPr>
            <w:r w:rsidRPr="0055776F">
              <w:rPr>
                <w:sz w:val="20"/>
              </w:rPr>
              <w:t>76:10</w:t>
            </w:r>
          </w:p>
        </w:tc>
        <w:tc>
          <w:tcPr>
            <w:tcW w:w="644" w:type="dxa"/>
            <w:shd w:val="clear" w:color="auto" w:fill="auto"/>
          </w:tcPr>
          <w:p w14:paraId="13C8C570" w14:textId="77777777" w:rsidR="00311830" w:rsidRPr="0055776F" w:rsidRDefault="00311830" w:rsidP="00463647">
            <w:pPr>
              <w:keepNext/>
              <w:keepLines/>
              <w:widowControl w:val="0"/>
              <w:spacing w:line="240" w:lineRule="auto"/>
              <w:ind w:left="-45"/>
              <w:rPr>
                <w:sz w:val="20"/>
              </w:rPr>
            </w:pPr>
            <w:r w:rsidRPr="0055776F">
              <w:rPr>
                <w:sz w:val="20"/>
              </w:rPr>
              <w:t>56:11</w:t>
            </w:r>
          </w:p>
        </w:tc>
        <w:tc>
          <w:tcPr>
            <w:tcW w:w="672" w:type="dxa"/>
            <w:shd w:val="clear" w:color="auto" w:fill="auto"/>
          </w:tcPr>
          <w:p w14:paraId="184B260B" w14:textId="77777777" w:rsidR="00311830" w:rsidRPr="0055776F" w:rsidRDefault="00311830" w:rsidP="00463647">
            <w:pPr>
              <w:keepNext/>
              <w:keepLines/>
              <w:widowControl w:val="0"/>
              <w:spacing w:line="240" w:lineRule="auto"/>
              <w:ind w:left="-45"/>
              <w:rPr>
                <w:sz w:val="20"/>
              </w:rPr>
            </w:pPr>
            <w:r w:rsidRPr="0055776F">
              <w:rPr>
                <w:sz w:val="20"/>
              </w:rPr>
              <w:t>31:11</w:t>
            </w:r>
          </w:p>
        </w:tc>
        <w:tc>
          <w:tcPr>
            <w:tcW w:w="686" w:type="dxa"/>
            <w:shd w:val="clear" w:color="auto" w:fill="auto"/>
          </w:tcPr>
          <w:p w14:paraId="15FF2AFF" w14:textId="77777777" w:rsidR="00311830" w:rsidRPr="0055776F" w:rsidRDefault="00311830" w:rsidP="00463647">
            <w:pPr>
              <w:keepNext/>
              <w:keepLines/>
              <w:widowControl w:val="0"/>
              <w:spacing w:line="240" w:lineRule="auto"/>
              <w:ind w:left="-45"/>
              <w:rPr>
                <w:sz w:val="20"/>
              </w:rPr>
            </w:pPr>
            <w:r w:rsidRPr="0055776F">
              <w:rPr>
                <w:sz w:val="20"/>
              </w:rPr>
              <w:t>13:12</w:t>
            </w:r>
          </w:p>
        </w:tc>
        <w:tc>
          <w:tcPr>
            <w:tcW w:w="560" w:type="dxa"/>
            <w:shd w:val="clear" w:color="auto" w:fill="auto"/>
          </w:tcPr>
          <w:p w14:paraId="7921388C" w14:textId="77777777" w:rsidR="00311830" w:rsidRPr="0055776F" w:rsidRDefault="00434EAA" w:rsidP="00463647">
            <w:pPr>
              <w:keepNext/>
              <w:keepLines/>
              <w:widowControl w:val="0"/>
              <w:spacing w:line="240" w:lineRule="auto"/>
              <w:ind w:left="-45"/>
              <w:rPr>
                <w:sz w:val="20"/>
              </w:rPr>
            </w:pPr>
            <w:r>
              <w:rPr>
                <w:sz w:val="20"/>
              </w:rPr>
              <w:t>0</w:t>
            </w:r>
            <w:r w:rsidR="00311830" w:rsidRPr="0055776F">
              <w:rPr>
                <w:sz w:val="20"/>
              </w:rPr>
              <w:t>:12</w:t>
            </w:r>
          </w:p>
        </w:tc>
        <w:tc>
          <w:tcPr>
            <w:tcW w:w="491" w:type="dxa"/>
            <w:shd w:val="clear" w:color="auto" w:fill="auto"/>
          </w:tcPr>
          <w:p w14:paraId="0A8350BE" w14:textId="77777777" w:rsidR="00311830" w:rsidRPr="0055776F" w:rsidRDefault="00311830" w:rsidP="00463647">
            <w:pPr>
              <w:keepNext/>
              <w:keepLines/>
              <w:widowControl w:val="0"/>
              <w:spacing w:line="240" w:lineRule="auto"/>
              <w:ind w:left="-45"/>
              <w:rPr>
                <w:sz w:val="20"/>
              </w:rPr>
            </w:pPr>
          </w:p>
        </w:tc>
      </w:tr>
    </w:tbl>
    <w:p w14:paraId="79ACC1D3" w14:textId="77777777" w:rsidR="00311830" w:rsidRDefault="00311830" w:rsidP="00463647">
      <w:pPr>
        <w:widowControl w:val="0"/>
        <w:tabs>
          <w:tab w:val="clear" w:pos="567"/>
        </w:tabs>
        <w:spacing w:line="240" w:lineRule="auto"/>
        <w:rPr>
          <w:rFonts w:eastAsia="MS Mincho"/>
          <w:szCs w:val="22"/>
          <w:lang w:val="en-US"/>
        </w:rPr>
      </w:pPr>
    </w:p>
    <w:p w14:paraId="7394A4A0" w14:textId="77777777" w:rsidR="00452EF8" w:rsidRPr="00134EC1" w:rsidRDefault="00452EF8" w:rsidP="00463647">
      <w:pPr>
        <w:pStyle w:val="EndnoteText"/>
        <w:widowControl w:val="0"/>
        <w:tabs>
          <w:tab w:val="clear" w:pos="567"/>
        </w:tabs>
        <w:rPr>
          <w:color w:val="000000"/>
          <w:szCs w:val="22"/>
          <w:lang w:val="sv-SE"/>
        </w:rPr>
      </w:pPr>
      <w:r>
        <w:rPr>
          <w:color w:val="000000"/>
          <w:szCs w:val="22"/>
          <w:lang w:val="sv-SE"/>
        </w:rPr>
        <w:t xml:space="preserve">Det finns inga kontrollerade studier </w:t>
      </w:r>
      <w:r w:rsidR="002B4654">
        <w:rPr>
          <w:color w:val="000000"/>
          <w:szCs w:val="22"/>
          <w:lang w:val="sv-SE"/>
        </w:rPr>
        <w:t>hos</w:t>
      </w:r>
      <w:r>
        <w:rPr>
          <w:color w:val="000000"/>
          <w:szCs w:val="22"/>
          <w:lang w:val="sv-SE"/>
        </w:rPr>
        <w:t xml:space="preserve"> barnpatienter med c-Kit positiv GIST. </w:t>
      </w:r>
      <w:r w:rsidR="001B17CC">
        <w:rPr>
          <w:color w:val="000000"/>
          <w:szCs w:val="22"/>
          <w:lang w:val="sv-SE"/>
        </w:rPr>
        <w:t>Sjutton (</w:t>
      </w:r>
      <w:r>
        <w:rPr>
          <w:color w:val="000000"/>
          <w:szCs w:val="22"/>
          <w:lang w:val="sv-SE"/>
        </w:rPr>
        <w:t>17</w:t>
      </w:r>
      <w:r w:rsidR="001B17CC">
        <w:rPr>
          <w:color w:val="000000"/>
          <w:szCs w:val="22"/>
          <w:lang w:val="sv-SE"/>
        </w:rPr>
        <w:t>)</w:t>
      </w:r>
      <w:r>
        <w:rPr>
          <w:color w:val="000000"/>
          <w:szCs w:val="22"/>
          <w:lang w:val="sv-SE"/>
        </w:rPr>
        <w:t> patienter med GIST (med eller utan Kit och PDGFR mutationer)</w:t>
      </w:r>
      <w:r w:rsidR="002B3DC3">
        <w:rPr>
          <w:color w:val="000000"/>
          <w:szCs w:val="22"/>
          <w:lang w:val="sv-SE"/>
        </w:rPr>
        <w:t xml:space="preserve"> har</w:t>
      </w:r>
      <w:r>
        <w:rPr>
          <w:color w:val="000000"/>
          <w:szCs w:val="22"/>
          <w:lang w:val="sv-SE"/>
        </w:rPr>
        <w:t xml:space="preserve"> rapportera</w:t>
      </w:r>
      <w:r w:rsidR="002B3DC3">
        <w:rPr>
          <w:color w:val="000000"/>
          <w:szCs w:val="22"/>
          <w:lang w:val="sv-SE"/>
        </w:rPr>
        <w:t>ts</w:t>
      </w:r>
      <w:r>
        <w:rPr>
          <w:color w:val="000000"/>
          <w:szCs w:val="22"/>
          <w:lang w:val="sv-SE"/>
        </w:rPr>
        <w:t xml:space="preserve"> i 7 publikationer. Åldern på dessa patienter sträckte sig från 8 till 18 år och imatinib gavs både i adjuvant</w:t>
      </w:r>
      <w:r w:rsidR="00FD5CFE">
        <w:rPr>
          <w:color w:val="000000"/>
          <w:szCs w:val="22"/>
          <w:lang w:val="sv-SE"/>
        </w:rPr>
        <w:t>a och metastaserand</w:t>
      </w:r>
      <w:r w:rsidR="00AC20BE">
        <w:rPr>
          <w:color w:val="000000"/>
          <w:szCs w:val="22"/>
          <w:lang w:val="sv-SE"/>
        </w:rPr>
        <w:t>e</w:t>
      </w:r>
      <w:r>
        <w:rPr>
          <w:color w:val="000000"/>
          <w:szCs w:val="22"/>
          <w:lang w:val="sv-SE"/>
        </w:rPr>
        <w:t xml:space="preserve"> fall i doser från </w:t>
      </w:r>
      <w:r w:rsidR="00FD5CFE">
        <w:rPr>
          <w:color w:val="000000"/>
          <w:szCs w:val="22"/>
          <w:lang w:val="sv-SE"/>
        </w:rPr>
        <w:t>3</w:t>
      </w:r>
      <w:r>
        <w:rPr>
          <w:color w:val="000000"/>
          <w:szCs w:val="22"/>
          <w:lang w:val="sv-SE"/>
        </w:rPr>
        <w:t xml:space="preserve">00 till </w:t>
      </w:r>
      <w:r w:rsidR="00FD5CFE">
        <w:rPr>
          <w:color w:val="000000"/>
          <w:szCs w:val="22"/>
          <w:lang w:val="sv-SE"/>
        </w:rPr>
        <w:t>8</w:t>
      </w:r>
      <w:r>
        <w:rPr>
          <w:color w:val="000000"/>
          <w:szCs w:val="22"/>
          <w:lang w:val="sv-SE"/>
        </w:rPr>
        <w:t xml:space="preserve">00 mg dagligen. </w:t>
      </w:r>
      <w:r w:rsidR="00FD5CFE">
        <w:rPr>
          <w:color w:val="000000"/>
          <w:szCs w:val="22"/>
          <w:lang w:val="sv-SE"/>
        </w:rPr>
        <w:t>Majoriteten av barn</w:t>
      </w:r>
      <w:r>
        <w:rPr>
          <w:color w:val="000000"/>
          <w:szCs w:val="22"/>
          <w:lang w:val="sv-SE"/>
        </w:rPr>
        <w:t>patienter</w:t>
      </w:r>
      <w:r w:rsidR="00FD5CFE">
        <w:rPr>
          <w:color w:val="000000"/>
          <w:szCs w:val="22"/>
          <w:lang w:val="sv-SE"/>
        </w:rPr>
        <w:t xml:space="preserve"> som behandlats för GIST saknade data för att bekräfta c-kit eller PDGFR mutationer vilket kan ha lett till blandade kliniska utfall.</w:t>
      </w:r>
    </w:p>
    <w:p w14:paraId="287C7A66" w14:textId="77777777" w:rsidR="00452EF8" w:rsidRPr="00FD5CFE" w:rsidRDefault="00452EF8" w:rsidP="00463647">
      <w:pPr>
        <w:widowControl w:val="0"/>
        <w:tabs>
          <w:tab w:val="clear" w:pos="567"/>
        </w:tabs>
        <w:spacing w:line="240" w:lineRule="auto"/>
        <w:rPr>
          <w:rFonts w:eastAsia="MS Mincho"/>
          <w:szCs w:val="22"/>
          <w:lang w:val="sv-SE"/>
        </w:rPr>
      </w:pPr>
    </w:p>
    <w:p w14:paraId="4A7060AA" w14:textId="77777777" w:rsidR="00620ABA" w:rsidRPr="000E7AE9" w:rsidRDefault="00620ABA" w:rsidP="00463647">
      <w:pPr>
        <w:pStyle w:val="Nottoc-headings"/>
        <w:keepLines w:val="0"/>
        <w:widowControl w:val="0"/>
        <w:spacing w:before="0" w:after="0"/>
        <w:rPr>
          <w:rFonts w:ascii="Times New Roman" w:eastAsia="MS Mincho" w:hAnsi="Times New Roman"/>
          <w:b w:val="0"/>
          <w:color w:val="000000"/>
          <w:sz w:val="22"/>
          <w:szCs w:val="22"/>
          <w:u w:val="single"/>
          <w:lang w:val="sv-SE" w:eastAsia="ja-JP"/>
        </w:rPr>
      </w:pPr>
      <w:r w:rsidRPr="000E7AE9">
        <w:rPr>
          <w:rFonts w:ascii="Times New Roman" w:eastAsia="MS Mincho" w:hAnsi="Times New Roman"/>
          <w:b w:val="0"/>
          <w:color w:val="000000"/>
          <w:sz w:val="22"/>
          <w:szCs w:val="22"/>
          <w:u w:val="single"/>
          <w:lang w:val="sv-SE" w:eastAsia="ja-JP"/>
        </w:rPr>
        <w:t>Kliniska studier vid DFSP</w:t>
      </w:r>
    </w:p>
    <w:p w14:paraId="543929C8"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En fas II, öppen, multicenter klinisk studie (studie B2225) utfördes på 12 patienter med DFSP som behandlades med Glivec 800 mg dagligen. Åldrarna hos DFSP-patienterna sträckte sig från 23 till 75 år; DFSP var metastatisk, lokalt återkommande efter initial resektiv kirurgi och bedömd ej vara mottaglig för ytterligare resektiv kirurgi vid tidpunkten för inträde i studien. Primärt kännetecken för effekt baserades på objektiv svarsfrekvens. Av de 12 enrollerade patienterna svarade 9, en fullständigt och 8 partiellt. Tre av de partiellt svarande blev senare sjukdomsfria genom kirurgi. Behandlingstiden i studie B2225 var i median 6,2 månader, med 24,3 månader som maximal tid. Ytterligare 6 DFSP-patienter som behandlades med Glivec rapporterades i 5 publicerade fallrapporter, deras åldrar sträckte sig från 18 månader till 49 år. De vuxna patienterna som rapporterats i den publicerade litteraturen behandlades med antingen 400 mg (4 fall) eller 800 mg (1 fall) Glivec dagligen. </w:t>
      </w:r>
      <w:r w:rsidR="00717594">
        <w:rPr>
          <w:color w:val="000000"/>
          <w:szCs w:val="22"/>
          <w:lang w:val="sv-SE"/>
        </w:rPr>
        <w:t>Fem (</w:t>
      </w:r>
      <w:r w:rsidRPr="000E7AE9">
        <w:rPr>
          <w:color w:val="000000"/>
          <w:szCs w:val="22"/>
          <w:lang w:val="sv-SE"/>
        </w:rPr>
        <w:t>5</w:t>
      </w:r>
      <w:r w:rsidR="00717594">
        <w:rPr>
          <w:color w:val="000000"/>
          <w:szCs w:val="22"/>
          <w:lang w:val="sv-SE"/>
        </w:rPr>
        <w:t>)</w:t>
      </w:r>
      <w:r w:rsidRPr="000E7AE9">
        <w:rPr>
          <w:color w:val="000000"/>
          <w:szCs w:val="22"/>
          <w:lang w:val="sv-SE"/>
        </w:rPr>
        <w:t> patienter svarade, 3 patienter fullständigt och 2 partiellt. Mediantiden för behandling i den publicerade litteraturen sträckte sig mellan 4 veckor och mer än 20 månader. Translokation t(17:22)[q22:q13], eller dess genprodukt, förekom hos nästan alla patienter som svarade på Glivec-behandling.</w:t>
      </w:r>
    </w:p>
    <w:p w14:paraId="3004B732" w14:textId="77777777" w:rsidR="0001405E" w:rsidRDefault="0001405E" w:rsidP="00463647">
      <w:pPr>
        <w:pStyle w:val="EndnoteText"/>
        <w:widowControl w:val="0"/>
        <w:tabs>
          <w:tab w:val="clear" w:pos="567"/>
        </w:tabs>
        <w:rPr>
          <w:color w:val="000000"/>
          <w:szCs w:val="22"/>
          <w:lang w:val="sv-SE"/>
        </w:rPr>
      </w:pPr>
    </w:p>
    <w:p w14:paraId="3FF4D554" w14:textId="77777777" w:rsidR="00FD5CFE" w:rsidRPr="00134EC1" w:rsidRDefault="00FD5CFE" w:rsidP="00463647">
      <w:pPr>
        <w:pStyle w:val="EndnoteText"/>
        <w:widowControl w:val="0"/>
        <w:tabs>
          <w:tab w:val="clear" w:pos="567"/>
        </w:tabs>
        <w:rPr>
          <w:color w:val="000000"/>
          <w:szCs w:val="22"/>
          <w:lang w:val="sv-SE"/>
        </w:rPr>
      </w:pPr>
      <w:r>
        <w:rPr>
          <w:color w:val="000000"/>
          <w:szCs w:val="22"/>
          <w:lang w:val="sv-SE"/>
        </w:rPr>
        <w:t xml:space="preserve">Det finns inga kontrollerade studier </w:t>
      </w:r>
      <w:r w:rsidR="002B4654">
        <w:rPr>
          <w:color w:val="000000"/>
          <w:szCs w:val="22"/>
          <w:lang w:val="sv-SE"/>
        </w:rPr>
        <w:t>hos</w:t>
      </w:r>
      <w:r>
        <w:rPr>
          <w:color w:val="000000"/>
          <w:szCs w:val="22"/>
          <w:lang w:val="sv-SE"/>
        </w:rPr>
        <w:t xml:space="preserve"> barnpatienter med DFSP. </w:t>
      </w:r>
      <w:r w:rsidR="00386E34">
        <w:rPr>
          <w:color w:val="000000"/>
          <w:szCs w:val="22"/>
          <w:lang w:val="sv-SE"/>
        </w:rPr>
        <w:t>Fem (</w:t>
      </w:r>
      <w:r>
        <w:rPr>
          <w:color w:val="000000"/>
          <w:szCs w:val="22"/>
          <w:lang w:val="sv-SE"/>
        </w:rPr>
        <w:t>5</w:t>
      </w:r>
      <w:r w:rsidR="00386E34">
        <w:rPr>
          <w:color w:val="000000"/>
          <w:szCs w:val="22"/>
          <w:lang w:val="sv-SE"/>
        </w:rPr>
        <w:t>)</w:t>
      </w:r>
      <w:r>
        <w:rPr>
          <w:color w:val="000000"/>
          <w:szCs w:val="22"/>
          <w:lang w:val="sv-SE"/>
        </w:rPr>
        <w:t xml:space="preserve"> patienter med rearrangemang av DFSP och PDGFR-generna </w:t>
      </w:r>
      <w:r w:rsidR="002B3DC3">
        <w:rPr>
          <w:color w:val="000000"/>
          <w:szCs w:val="22"/>
          <w:lang w:val="sv-SE"/>
        </w:rPr>
        <w:t>har rapporterats</w:t>
      </w:r>
      <w:r>
        <w:rPr>
          <w:color w:val="000000"/>
          <w:szCs w:val="22"/>
          <w:lang w:val="sv-SE"/>
        </w:rPr>
        <w:t xml:space="preserve"> i 3 publikationer. Åldern på dessa patienter sträckte sig från nyfödda till 14 år och imatinib gavs i </w:t>
      </w:r>
      <w:r w:rsidR="0018362B">
        <w:rPr>
          <w:color w:val="000000"/>
          <w:szCs w:val="22"/>
          <w:lang w:val="sv-SE"/>
        </w:rPr>
        <w:t>en dos</w:t>
      </w:r>
      <w:r w:rsidR="00386E34">
        <w:rPr>
          <w:color w:val="000000"/>
          <w:szCs w:val="22"/>
          <w:lang w:val="sv-SE"/>
        </w:rPr>
        <w:t xml:space="preserve"> </w:t>
      </w:r>
      <w:r w:rsidR="00FC31DE">
        <w:rPr>
          <w:color w:val="000000"/>
          <w:szCs w:val="22"/>
          <w:lang w:val="sv-SE"/>
        </w:rPr>
        <w:t xml:space="preserve">om </w:t>
      </w:r>
      <w:r w:rsidR="00386E34">
        <w:rPr>
          <w:color w:val="000000"/>
          <w:szCs w:val="22"/>
          <w:lang w:val="sv-SE"/>
        </w:rPr>
        <w:t xml:space="preserve">50 mg dagligen eller </w:t>
      </w:r>
      <w:r>
        <w:rPr>
          <w:color w:val="000000"/>
          <w:szCs w:val="22"/>
          <w:lang w:val="sv-SE"/>
        </w:rPr>
        <w:t>doser från 400 till 520 mg/m</w:t>
      </w:r>
      <w:r w:rsidRPr="00FD5CFE">
        <w:rPr>
          <w:color w:val="000000"/>
          <w:szCs w:val="22"/>
          <w:vertAlign w:val="superscript"/>
          <w:lang w:val="sv-SE"/>
        </w:rPr>
        <w:t>2</w:t>
      </w:r>
      <w:r>
        <w:rPr>
          <w:color w:val="000000"/>
          <w:szCs w:val="22"/>
          <w:lang w:val="sv-SE"/>
        </w:rPr>
        <w:t xml:space="preserve"> dagligen. Alla patienter uppnådde </w:t>
      </w:r>
      <w:r w:rsidR="006E6E65">
        <w:rPr>
          <w:color w:val="000000"/>
          <w:szCs w:val="22"/>
          <w:lang w:val="sv-SE"/>
        </w:rPr>
        <w:t xml:space="preserve">partiellt och/eller </w:t>
      </w:r>
      <w:r>
        <w:rPr>
          <w:color w:val="000000"/>
          <w:szCs w:val="22"/>
          <w:lang w:val="sv-SE"/>
        </w:rPr>
        <w:t>fullständigt svar.</w:t>
      </w:r>
    </w:p>
    <w:p w14:paraId="2EA8BB07" w14:textId="77777777" w:rsidR="00FD5CFE" w:rsidRPr="000E7AE9" w:rsidRDefault="00FD5CFE" w:rsidP="00463647">
      <w:pPr>
        <w:pStyle w:val="EndnoteText"/>
        <w:widowControl w:val="0"/>
        <w:tabs>
          <w:tab w:val="clear" w:pos="567"/>
        </w:tabs>
        <w:rPr>
          <w:color w:val="000000"/>
          <w:szCs w:val="22"/>
          <w:lang w:val="sv-SE"/>
        </w:rPr>
      </w:pPr>
    </w:p>
    <w:p w14:paraId="1A1BC846" w14:textId="77777777" w:rsidR="00620ABA" w:rsidRPr="000E7AE9" w:rsidRDefault="00620ABA" w:rsidP="00463647">
      <w:pPr>
        <w:pStyle w:val="Heading4"/>
        <w:widowControl w:val="0"/>
        <w:spacing w:line="240" w:lineRule="auto"/>
        <w:jc w:val="left"/>
        <w:rPr>
          <w:noProof w:val="0"/>
          <w:color w:val="000000"/>
          <w:szCs w:val="22"/>
          <w:lang w:val="sv-SE"/>
        </w:rPr>
      </w:pPr>
      <w:r w:rsidRPr="000E7AE9">
        <w:rPr>
          <w:noProof w:val="0"/>
          <w:color w:val="000000"/>
          <w:szCs w:val="22"/>
          <w:lang w:val="sv-SE"/>
        </w:rPr>
        <w:t>5.2</w:t>
      </w:r>
      <w:r w:rsidRPr="000E7AE9">
        <w:rPr>
          <w:noProof w:val="0"/>
          <w:color w:val="000000"/>
          <w:szCs w:val="22"/>
          <w:lang w:val="sv-SE"/>
        </w:rPr>
        <w:tab/>
        <w:t>Farmakokinetiska egenskaper</w:t>
      </w:r>
    </w:p>
    <w:p w14:paraId="36DED8E8" w14:textId="77777777" w:rsidR="00620ABA" w:rsidRPr="000E7AE9" w:rsidRDefault="00620ABA" w:rsidP="00463647">
      <w:pPr>
        <w:pStyle w:val="EndnoteText"/>
        <w:keepNext/>
        <w:widowControl w:val="0"/>
        <w:tabs>
          <w:tab w:val="clear" w:pos="567"/>
        </w:tabs>
        <w:rPr>
          <w:color w:val="000000"/>
          <w:szCs w:val="22"/>
          <w:lang w:val="sv-SE"/>
        </w:rPr>
      </w:pPr>
    </w:p>
    <w:p w14:paraId="1E340DF5" w14:textId="77777777" w:rsidR="00620ABA" w:rsidRPr="000E7AE9" w:rsidRDefault="00620ABA" w:rsidP="00463647">
      <w:pPr>
        <w:pStyle w:val="EndnoteText"/>
        <w:keepNext/>
        <w:widowControl w:val="0"/>
        <w:tabs>
          <w:tab w:val="clear" w:pos="567"/>
        </w:tabs>
        <w:rPr>
          <w:color w:val="000000"/>
          <w:szCs w:val="22"/>
          <w:u w:val="single"/>
          <w:lang w:val="sv-SE"/>
        </w:rPr>
      </w:pPr>
      <w:r w:rsidRPr="000E7AE9">
        <w:rPr>
          <w:color w:val="000000"/>
          <w:szCs w:val="22"/>
          <w:u w:val="single"/>
          <w:lang w:val="sv-SE"/>
        </w:rPr>
        <w:t>Glivecs farmakokinetiska egenskaper</w:t>
      </w:r>
    </w:p>
    <w:p w14:paraId="4E082308"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Glivecs farmakokinetiska egenskaper har utvärderats i dosintervallet 25 till 1 000 mg. Den farmakokinetiska profilen i plasma analyserades dag 1 och antingen dag 7 eller dag 28, då den genomsnittliga plasmakoncentrationen hade nått steady state.</w:t>
      </w:r>
    </w:p>
    <w:p w14:paraId="2934B822" w14:textId="77777777" w:rsidR="00620ABA" w:rsidRPr="000E7AE9" w:rsidRDefault="00620ABA" w:rsidP="00463647">
      <w:pPr>
        <w:pStyle w:val="EndnoteText"/>
        <w:widowControl w:val="0"/>
        <w:tabs>
          <w:tab w:val="clear" w:pos="567"/>
        </w:tabs>
        <w:rPr>
          <w:color w:val="000000"/>
          <w:szCs w:val="22"/>
          <w:lang w:val="sv-SE"/>
        </w:rPr>
      </w:pPr>
    </w:p>
    <w:p w14:paraId="6688BC1A" w14:textId="77777777" w:rsidR="00620ABA" w:rsidRPr="000E7AE9" w:rsidRDefault="00620ABA" w:rsidP="00463647">
      <w:pPr>
        <w:pStyle w:val="EndnoteText"/>
        <w:keepNext/>
        <w:widowControl w:val="0"/>
        <w:tabs>
          <w:tab w:val="clear" w:pos="567"/>
        </w:tabs>
        <w:rPr>
          <w:color w:val="000000"/>
          <w:szCs w:val="22"/>
          <w:u w:val="single"/>
          <w:lang w:val="sv-SE"/>
        </w:rPr>
      </w:pPr>
      <w:r w:rsidRPr="000E7AE9">
        <w:rPr>
          <w:color w:val="000000"/>
          <w:szCs w:val="22"/>
          <w:u w:val="single"/>
          <w:lang w:val="sv-SE"/>
        </w:rPr>
        <w:lastRenderedPageBreak/>
        <w:t>Absorption</w:t>
      </w:r>
    </w:p>
    <w:p w14:paraId="26A523CA"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Genomsnittlig absolut biotillgänglighet för kapselberedningen var 98</w:t>
      </w:r>
      <w:r w:rsidR="00EE4765">
        <w:rPr>
          <w:color w:val="000000"/>
          <w:szCs w:val="22"/>
          <w:lang w:val="sv-SE"/>
        </w:rPr>
        <w:t> </w:t>
      </w:r>
      <w:r w:rsidRPr="000E7AE9">
        <w:rPr>
          <w:color w:val="000000"/>
          <w:szCs w:val="22"/>
          <w:lang w:val="sv-SE"/>
        </w:rPr>
        <w:t>%. Det var hög variabilitet mellan patienter för AUC-värden i plasma för imatinib efter en peroral dos. När dosen ges tillsammans med en måltid med högt fettinnehåll reduceras absorptionen för imatinib obetydligt (11</w:t>
      </w:r>
      <w:r w:rsidR="00EE4765">
        <w:rPr>
          <w:color w:val="000000"/>
          <w:szCs w:val="22"/>
          <w:lang w:val="sv-SE"/>
        </w:rPr>
        <w:t> </w:t>
      </w:r>
      <w:r w:rsidRPr="000E7AE9">
        <w:rPr>
          <w:color w:val="000000"/>
          <w:szCs w:val="22"/>
          <w:lang w:val="sv-SE"/>
        </w:rPr>
        <w:t>% minskning i C</w:t>
      </w:r>
      <w:r w:rsidRPr="000E7AE9">
        <w:rPr>
          <w:color w:val="000000"/>
          <w:szCs w:val="22"/>
          <w:vertAlign w:val="subscript"/>
          <w:lang w:val="sv-SE"/>
        </w:rPr>
        <w:t>max</w:t>
      </w:r>
      <w:r w:rsidRPr="000E7AE9">
        <w:rPr>
          <w:color w:val="000000"/>
          <w:szCs w:val="22"/>
          <w:lang w:val="sv-SE"/>
        </w:rPr>
        <w:t xml:space="preserve"> och förlängning av t</w:t>
      </w:r>
      <w:r w:rsidRPr="000E7AE9">
        <w:rPr>
          <w:color w:val="000000"/>
          <w:szCs w:val="22"/>
          <w:vertAlign w:val="subscript"/>
          <w:lang w:val="sv-SE"/>
        </w:rPr>
        <w:t>max</w:t>
      </w:r>
      <w:r w:rsidRPr="000E7AE9">
        <w:rPr>
          <w:color w:val="000000"/>
          <w:szCs w:val="22"/>
          <w:lang w:val="sv-SE"/>
        </w:rPr>
        <w:t xml:space="preserve"> med 1,5 timmar), med en liten minskning av AUC (7,4</w:t>
      </w:r>
      <w:r w:rsidR="00EE4765">
        <w:rPr>
          <w:color w:val="000000"/>
          <w:szCs w:val="22"/>
          <w:lang w:val="sv-SE"/>
        </w:rPr>
        <w:t> </w:t>
      </w:r>
      <w:r w:rsidRPr="000E7AE9">
        <w:rPr>
          <w:color w:val="000000"/>
          <w:szCs w:val="22"/>
          <w:lang w:val="sv-SE"/>
        </w:rPr>
        <w:t>%) jämfört med under fasta. Effekten av tidigare gastrointestinal kirurgi på läkemedelsabsorption har inte undersökts.</w:t>
      </w:r>
    </w:p>
    <w:p w14:paraId="285AB6E7" w14:textId="77777777" w:rsidR="00620ABA" w:rsidRPr="000E7AE9" w:rsidRDefault="00620ABA" w:rsidP="00463647">
      <w:pPr>
        <w:pStyle w:val="EndnoteText"/>
        <w:widowControl w:val="0"/>
        <w:tabs>
          <w:tab w:val="clear" w:pos="567"/>
        </w:tabs>
        <w:rPr>
          <w:color w:val="000000"/>
          <w:szCs w:val="22"/>
          <w:lang w:val="sv-SE"/>
        </w:rPr>
      </w:pPr>
    </w:p>
    <w:p w14:paraId="3B279070" w14:textId="77777777" w:rsidR="00620ABA" w:rsidRPr="000E7AE9" w:rsidRDefault="00620ABA" w:rsidP="00463647">
      <w:pPr>
        <w:pStyle w:val="EndnoteText"/>
        <w:keepNext/>
        <w:widowControl w:val="0"/>
        <w:tabs>
          <w:tab w:val="clear" w:pos="567"/>
        </w:tabs>
        <w:rPr>
          <w:color w:val="000000"/>
          <w:szCs w:val="22"/>
          <w:lang w:val="sv-SE"/>
        </w:rPr>
      </w:pPr>
      <w:r w:rsidRPr="000E7AE9">
        <w:rPr>
          <w:color w:val="000000"/>
          <w:szCs w:val="22"/>
          <w:u w:val="single"/>
          <w:lang w:val="sv-SE"/>
        </w:rPr>
        <w:t>Distribution</w:t>
      </w:r>
    </w:p>
    <w:p w14:paraId="77DCEE54"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Vid kliniskt relevanta koncentrationer av imatinib är bindningen till plasmaproteiner cirka 95</w:t>
      </w:r>
      <w:r w:rsidR="00EE4765">
        <w:rPr>
          <w:color w:val="000000"/>
          <w:szCs w:val="22"/>
          <w:lang w:val="sv-SE"/>
        </w:rPr>
        <w:t> </w:t>
      </w:r>
      <w:r w:rsidRPr="000E7AE9">
        <w:rPr>
          <w:color w:val="000000"/>
          <w:szCs w:val="22"/>
          <w:lang w:val="sv-SE"/>
        </w:rPr>
        <w:t xml:space="preserve">% på basis av försök </w:t>
      </w:r>
      <w:r w:rsidRPr="000E7AE9">
        <w:rPr>
          <w:i/>
          <w:color w:val="000000"/>
          <w:szCs w:val="22"/>
          <w:lang w:val="sv-SE"/>
        </w:rPr>
        <w:t>in vitro</w:t>
      </w:r>
      <w:r w:rsidRPr="000E7AE9">
        <w:rPr>
          <w:color w:val="000000"/>
          <w:szCs w:val="22"/>
          <w:lang w:val="sv-SE"/>
        </w:rPr>
        <w:t>, huvudsakligen till albumin och orosomukoid och med liten bindning till lipoprotein.</w:t>
      </w:r>
    </w:p>
    <w:p w14:paraId="71AFFDF4" w14:textId="77777777" w:rsidR="00620ABA" w:rsidRPr="000E7AE9" w:rsidRDefault="00620ABA" w:rsidP="00463647">
      <w:pPr>
        <w:pStyle w:val="EndnoteText"/>
        <w:widowControl w:val="0"/>
        <w:tabs>
          <w:tab w:val="clear" w:pos="567"/>
        </w:tabs>
        <w:rPr>
          <w:color w:val="000000"/>
          <w:szCs w:val="22"/>
          <w:lang w:val="sv-SE"/>
        </w:rPr>
      </w:pPr>
    </w:p>
    <w:p w14:paraId="07AE7A25" w14:textId="77777777" w:rsidR="00C81D6E" w:rsidRDefault="00525671" w:rsidP="00463647">
      <w:pPr>
        <w:pStyle w:val="EndnoteText"/>
        <w:keepNext/>
        <w:widowControl w:val="0"/>
        <w:tabs>
          <w:tab w:val="clear" w:pos="567"/>
        </w:tabs>
        <w:rPr>
          <w:color w:val="000000"/>
          <w:szCs w:val="22"/>
          <w:u w:val="single"/>
          <w:lang w:val="sv-SE"/>
        </w:rPr>
      </w:pPr>
      <w:r>
        <w:rPr>
          <w:color w:val="000000"/>
          <w:szCs w:val="22"/>
          <w:u w:val="single"/>
          <w:lang w:val="sv-SE"/>
        </w:rPr>
        <w:t>Metabolism</w:t>
      </w:r>
    </w:p>
    <w:p w14:paraId="4B90A4B3"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Den huvudsakliga cirkulerande metaboliten hos människa är det N-demetylerade piperazinderivatet, som uppvisar en liknande effekt </w:t>
      </w:r>
      <w:r w:rsidRPr="000E7AE9">
        <w:rPr>
          <w:i/>
          <w:color w:val="000000"/>
          <w:szCs w:val="22"/>
          <w:lang w:val="sv-SE"/>
        </w:rPr>
        <w:t>in vitro</w:t>
      </w:r>
      <w:r w:rsidRPr="000E7AE9">
        <w:rPr>
          <w:color w:val="000000"/>
          <w:szCs w:val="22"/>
          <w:lang w:val="sv-SE"/>
        </w:rPr>
        <w:t xml:space="preserve"> som modersubstansen. </w:t>
      </w:r>
      <w:r w:rsidR="00047138" w:rsidRPr="000E7AE9">
        <w:rPr>
          <w:color w:val="000000"/>
          <w:szCs w:val="22"/>
          <w:lang w:val="sv-SE"/>
        </w:rPr>
        <w:t>Plasma-</w:t>
      </w:r>
      <w:r w:rsidRPr="000E7AE9">
        <w:rPr>
          <w:color w:val="000000"/>
          <w:szCs w:val="22"/>
          <w:lang w:val="sv-SE"/>
        </w:rPr>
        <w:t>AUC för denna metabolit är bara 16</w:t>
      </w:r>
      <w:r w:rsidR="00EE4765">
        <w:rPr>
          <w:color w:val="000000"/>
          <w:szCs w:val="22"/>
          <w:lang w:val="sv-SE"/>
        </w:rPr>
        <w:t> </w:t>
      </w:r>
      <w:r w:rsidRPr="000E7AE9">
        <w:rPr>
          <w:color w:val="000000"/>
          <w:szCs w:val="22"/>
          <w:lang w:val="sv-SE"/>
        </w:rPr>
        <w:t>% av AUC för imatinib. Plasmaproteinbindningen av den N-demetylerade metaboliten liknar den för modersubstansen.</w:t>
      </w:r>
    </w:p>
    <w:p w14:paraId="070B36E8" w14:textId="77777777" w:rsidR="00620ABA" w:rsidRPr="000E7AE9" w:rsidRDefault="00620ABA" w:rsidP="00463647">
      <w:pPr>
        <w:pStyle w:val="EndnoteText"/>
        <w:widowControl w:val="0"/>
        <w:tabs>
          <w:tab w:val="clear" w:pos="567"/>
        </w:tabs>
        <w:rPr>
          <w:color w:val="000000"/>
          <w:szCs w:val="22"/>
          <w:lang w:val="sv-SE"/>
        </w:rPr>
      </w:pPr>
    </w:p>
    <w:p w14:paraId="54460785"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Imatinib och N-demetylmetaboliten svarade tillsammans för cirka 65</w:t>
      </w:r>
      <w:r w:rsidR="00EE4765">
        <w:rPr>
          <w:color w:val="000000"/>
          <w:sz w:val="22"/>
          <w:szCs w:val="22"/>
          <w:lang w:val="sv-SE"/>
        </w:rPr>
        <w:t> </w:t>
      </w:r>
      <w:r w:rsidRPr="000E7AE9">
        <w:rPr>
          <w:color w:val="000000"/>
          <w:sz w:val="22"/>
          <w:szCs w:val="22"/>
          <w:lang w:val="sv-SE"/>
        </w:rPr>
        <w:t>% av den cirkulerande radioaktiviteten (AUC</w:t>
      </w:r>
      <w:r w:rsidRPr="000E7AE9">
        <w:rPr>
          <w:color w:val="000000"/>
          <w:sz w:val="22"/>
          <w:szCs w:val="22"/>
          <w:vertAlign w:val="subscript"/>
          <w:lang w:val="sv-SE"/>
        </w:rPr>
        <w:t>(0-48 tim)</w:t>
      </w:r>
      <w:r w:rsidRPr="000E7AE9">
        <w:rPr>
          <w:color w:val="000000"/>
          <w:sz w:val="22"/>
          <w:szCs w:val="22"/>
          <w:lang w:val="sv-SE"/>
        </w:rPr>
        <w:t>). Den resterande cirkulerande radioaktiviteten utgjordes av ett antal smärre metaboliter.</w:t>
      </w:r>
    </w:p>
    <w:p w14:paraId="1D9B5DB9" w14:textId="77777777" w:rsidR="00620ABA" w:rsidRPr="000E7AE9" w:rsidRDefault="00620ABA" w:rsidP="00463647">
      <w:pPr>
        <w:pStyle w:val="TextChar"/>
        <w:widowControl w:val="0"/>
        <w:spacing w:before="0"/>
        <w:rPr>
          <w:color w:val="000000"/>
          <w:sz w:val="22"/>
          <w:szCs w:val="22"/>
          <w:lang w:val="sv-SE"/>
        </w:rPr>
      </w:pPr>
    </w:p>
    <w:p w14:paraId="6C6744F7"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 xml:space="preserve">Resultaten </w:t>
      </w:r>
      <w:r w:rsidRPr="000E7AE9">
        <w:rPr>
          <w:i/>
          <w:color w:val="000000"/>
          <w:sz w:val="22"/>
          <w:szCs w:val="22"/>
          <w:lang w:val="sv-SE"/>
        </w:rPr>
        <w:t>in vitro</w:t>
      </w:r>
      <w:r w:rsidRPr="000E7AE9">
        <w:rPr>
          <w:color w:val="000000"/>
          <w:sz w:val="22"/>
          <w:szCs w:val="22"/>
          <w:lang w:val="sv-SE"/>
        </w:rPr>
        <w:t xml:space="preserve"> visade att CYP3A4 var det huvudsakliga humana P450-enzymet som katalyserar biotransformeringen av imatinib. Av ett antal tänkbara läkemedel (aciklovir, allopurinol, amfotericin, cytarabin, erytromycin, flukonazol, hydroxiurea, norfloxacin, paracetamol, penicillin V) var det endast erytromycin (IC</w:t>
      </w:r>
      <w:r w:rsidRPr="000E7AE9">
        <w:rPr>
          <w:color w:val="000000"/>
          <w:sz w:val="22"/>
          <w:szCs w:val="22"/>
          <w:vertAlign w:val="subscript"/>
          <w:lang w:val="sv-SE"/>
        </w:rPr>
        <w:t>50</w:t>
      </w:r>
      <w:r w:rsidRPr="000E7AE9">
        <w:rPr>
          <w:color w:val="000000"/>
          <w:sz w:val="22"/>
          <w:szCs w:val="22"/>
          <w:lang w:val="sv-SE"/>
        </w:rPr>
        <w:t xml:space="preserve"> 50 µM) och flukonazol (IC</w:t>
      </w:r>
      <w:r w:rsidRPr="000E7AE9">
        <w:rPr>
          <w:color w:val="000000"/>
          <w:sz w:val="22"/>
          <w:szCs w:val="22"/>
          <w:vertAlign w:val="subscript"/>
          <w:lang w:val="sv-SE"/>
        </w:rPr>
        <w:t>50</w:t>
      </w:r>
      <w:r w:rsidRPr="000E7AE9">
        <w:rPr>
          <w:color w:val="000000"/>
          <w:sz w:val="22"/>
          <w:szCs w:val="22"/>
          <w:lang w:val="sv-SE"/>
        </w:rPr>
        <w:t xml:space="preserve"> 118 µM) som uppvisade en hämning av imatinibmetabolismen som kunde vara kliniskt relevant.</w:t>
      </w:r>
    </w:p>
    <w:p w14:paraId="50CDB1DD" w14:textId="77777777" w:rsidR="00620ABA" w:rsidRPr="000E7AE9" w:rsidRDefault="00620ABA" w:rsidP="00463647">
      <w:pPr>
        <w:pStyle w:val="TextChar"/>
        <w:widowControl w:val="0"/>
        <w:spacing w:before="0"/>
        <w:rPr>
          <w:color w:val="000000"/>
          <w:sz w:val="22"/>
          <w:szCs w:val="22"/>
          <w:lang w:val="sv-SE"/>
        </w:rPr>
      </w:pPr>
    </w:p>
    <w:p w14:paraId="7E2D481E" w14:textId="77777777" w:rsidR="00620ABA" w:rsidRPr="000E7AE9" w:rsidRDefault="00620ABA" w:rsidP="00463647">
      <w:pPr>
        <w:pStyle w:val="TextChar"/>
        <w:widowControl w:val="0"/>
        <w:spacing w:before="0"/>
        <w:jc w:val="left"/>
        <w:rPr>
          <w:color w:val="000000"/>
          <w:sz w:val="22"/>
          <w:szCs w:val="22"/>
          <w:lang w:val="sv-SE"/>
        </w:rPr>
      </w:pPr>
      <w:r w:rsidRPr="000E7AE9">
        <w:rPr>
          <w:color w:val="000000"/>
          <w:sz w:val="22"/>
          <w:szCs w:val="22"/>
          <w:lang w:val="sv-SE"/>
        </w:rPr>
        <w:t xml:space="preserve">Imatinib visades </w:t>
      </w:r>
      <w:r w:rsidRPr="000E7AE9">
        <w:rPr>
          <w:i/>
          <w:color w:val="000000"/>
          <w:sz w:val="22"/>
          <w:szCs w:val="22"/>
          <w:lang w:val="sv-SE"/>
        </w:rPr>
        <w:t>in vitro</w:t>
      </w:r>
      <w:r w:rsidRPr="000E7AE9">
        <w:rPr>
          <w:color w:val="000000"/>
          <w:sz w:val="22"/>
          <w:szCs w:val="22"/>
          <w:lang w:val="sv-SE"/>
        </w:rPr>
        <w:t xml:space="preserve"> vara en kompetitiv hämmare av substratmarkörer för CYP2C9, CYP2D6 och CYP3A4/5. K</w:t>
      </w:r>
      <w:r w:rsidRPr="000E7AE9">
        <w:rPr>
          <w:color w:val="000000"/>
          <w:sz w:val="22"/>
          <w:szCs w:val="22"/>
          <w:vertAlign w:val="subscript"/>
          <w:lang w:val="sv-SE"/>
        </w:rPr>
        <w:t>i</w:t>
      </w:r>
      <w:r w:rsidRPr="000E7AE9">
        <w:rPr>
          <w:color w:val="000000"/>
          <w:sz w:val="22"/>
          <w:szCs w:val="22"/>
          <w:lang w:val="sv-SE"/>
        </w:rPr>
        <w:t>-värden i humana levermikrosomer var 27, 7,5 respektive 7,9 </w:t>
      </w:r>
      <w:r w:rsidRPr="000E7AE9">
        <w:rPr>
          <w:color w:val="000000"/>
          <w:sz w:val="22"/>
          <w:szCs w:val="22"/>
          <w:lang w:val="sv-SE"/>
        </w:rPr>
        <w:sym w:font="Symbol" w:char="F06D"/>
      </w:r>
      <w:r w:rsidRPr="000E7AE9">
        <w:rPr>
          <w:color w:val="000000"/>
          <w:sz w:val="22"/>
          <w:szCs w:val="22"/>
          <w:lang w:val="sv-SE"/>
        </w:rPr>
        <w:t>mol/l. Maximala plasmakoncentrationsvärden av imatinib hos patienter är 2–4 </w:t>
      </w:r>
      <w:r w:rsidRPr="000E7AE9">
        <w:rPr>
          <w:color w:val="000000"/>
          <w:sz w:val="22"/>
          <w:szCs w:val="22"/>
          <w:lang w:val="sv-SE"/>
        </w:rPr>
        <w:sym w:font="Symbol" w:char="F06D"/>
      </w:r>
      <w:r w:rsidRPr="000E7AE9">
        <w:rPr>
          <w:color w:val="000000"/>
          <w:sz w:val="22"/>
          <w:szCs w:val="22"/>
          <w:lang w:val="sv-SE"/>
        </w:rPr>
        <w:t>mol/l. Följaktligen är en hämning av CYP2D6- och/eller CYP3A4/5-medierad metabolism möjlig av samtidigt givna läkemedel. Imatinib interfererade inte med biotransformeringen av 5-fluorouracil, men det hämmade paklitaxels metabolism, som ett resultat av en kompetitiv hämning av CYP2C8 (K</w:t>
      </w:r>
      <w:r w:rsidRPr="000E7AE9">
        <w:rPr>
          <w:color w:val="000000"/>
          <w:sz w:val="22"/>
          <w:szCs w:val="22"/>
          <w:vertAlign w:val="subscript"/>
          <w:lang w:val="sv-SE"/>
        </w:rPr>
        <w:t>i</w:t>
      </w:r>
      <w:r w:rsidRPr="000E7AE9">
        <w:rPr>
          <w:color w:val="000000"/>
          <w:sz w:val="22"/>
          <w:szCs w:val="22"/>
          <w:lang w:val="sv-SE"/>
        </w:rPr>
        <w:t xml:space="preserve"> = 34,7 µM). Detta K</w:t>
      </w:r>
      <w:r w:rsidRPr="000E7AE9">
        <w:rPr>
          <w:color w:val="000000"/>
          <w:sz w:val="22"/>
          <w:szCs w:val="22"/>
          <w:vertAlign w:val="subscript"/>
          <w:lang w:val="sv-SE"/>
        </w:rPr>
        <w:t>i</w:t>
      </w:r>
      <w:r w:rsidRPr="000E7AE9">
        <w:rPr>
          <w:color w:val="000000"/>
          <w:sz w:val="22"/>
          <w:szCs w:val="22"/>
          <w:lang w:val="sv-SE"/>
        </w:rPr>
        <w:t>-värde är mycket högre än de förväntade plasmanivåerna av imatinib hos patienter. Följaktligen förväntas ingen interaktion vid samtidig administrering av 5-fluorouracil eller paklitaxel och imatinib.</w:t>
      </w:r>
    </w:p>
    <w:p w14:paraId="2A34A920" w14:textId="77777777" w:rsidR="00620ABA" w:rsidRPr="000E7AE9" w:rsidRDefault="00620ABA" w:rsidP="00463647">
      <w:pPr>
        <w:pStyle w:val="EndnoteText"/>
        <w:widowControl w:val="0"/>
        <w:tabs>
          <w:tab w:val="clear" w:pos="567"/>
        </w:tabs>
        <w:rPr>
          <w:color w:val="000000"/>
          <w:szCs w:val="22"/>
          <w:lang w:val="sv-SE"/>
        </w:rPr>
      </w:pPr>
    </w:p>
    <w:p w14:paraId="4148FEC7" w14:textId="77777777" w:rsidR="00620ABA" w:rsidRPr="000E7AE9" w:rsidRDefault="00620ABA" w:rsidP="00463647">
      <w:pPr>
        <w:pStyle w:val="EndnoteText"/>
        <w:keepNext/>
        <w:widowControl w:val="0"/>
        <w:tabs>
          <w:tab w:val="clear" w:pos="567"/>
        </w:tabs>
        <w:rPr>
          <w:color w:val="000000"/>
          <w:szCs w:val="22"/>
          <w:lang w:val="sv-SE"/>
        </w:rPr>
      </w:pPr>
      <w:r w:rsidRPr="000E7AE9">
        <w:rPr>
          <w:color w:val="000000"/>
          <w:szCs w:val="22"/>
          <w:u w:val="single"/>
          <w:lang w:val="sv-SE"/>
        </w:rPr>
        <w:t>Elimin</w:t>
      </w:r>
      <w:r w:rsidR="00606953">
        <w:rPr>
          <w:color w:val="000000"/>
          <w:szCs w:val="22"/>
          <w:u w:val="single"/>
          <w:lang w:val="sv-SE"/>
        </w:rPr>
        <w:t>ering</w:t>
      </w:r>
    </w:p>
    <w:p w14:paraId="2862DD14"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Baserat på återvinningen av substans(er) efter en peroralt tillfört </w:t>
      </w:r>
      <w:r w:rsidRPr="000E7AE9">
        <w:rPr>
          <w:color w:val="000000"/>
          <w:szCs w:val="22"/>
          <w:vertAlign w:val="superscript"/>
          <w:lang w:val="sv-SE"/>
        </w:rPr>
        <w:t>14</w:t>
      </w:r>
      <w:r w:rsidRPr="000E7AE9">
        <w:rPr>
          <w:color w:val="000000"/>
          <w:szCs w:val="22"/>
          <w:lang w:val="sv-SE"/>
        </w:rPr>
        <w:t>C-märkt dos av imatinib, återfanns cirka 81</w:t>
      </w:r>
      <w:r w:rsidR="00EE4765">
        <w:rPr>
          <w:color w:val="000000"/>
          <w:szCs w:val="22"/>
          <w:lang w:val="sv-SE"/>
        </w:rPr>
        <w:t> </w:t>
      </w:r>
      <w:r w:rsidRPr="000E7AE9">
        <w:rPr>
          <w:color w:val="000000"/>
          <w:szCs w:val="22"/>
          <w:lang w:val="sv-SE"/>
        </w:rPr>
        <w:t>% av dosen inom 7 dagar, dels i faeces (68</w:t>
      </w:r>
      <w:r w:rsidR="00EE4765">
        <w:rPr>
          <w:color w:val="000000"/>
          <w:szCs w:val="22"/>
          <w:lang w:val="sv-SE"/>
        </w:rPr>
        <w:t> </w:t>
      </w:r>
      <w:r w:rsidRPr="000E7AE9">
        <w:rPr>
          <w:color w:val="000000"/>
          <w:szCs w:val="22"/>
          <w:lang w:val="sv-SE"/>
        </w:rPr>
        <w:t>% av dosen), dels i urinen (13</w:t>
      </w:r>
      <w:r w:rsidR="00EE4765">
        <w:rPr>
          <w:color w:val="000000"/>
          <w:szCs w:val="22"/>
          <w:lang w:val="sv-SE"/>
        </w:rPr>
        <w:t> </w:t>
      </w:r>
      <w:r w:rsidRPr="000E7AE9">
        <w:rPr>
          <w:color w:val="000000"/>
          <w:szCs w:val="22"/>
          <w:lang w:val="sv-SE"/>
        </w:rPr>
        <w:t>% av dosen). Oförändrat imatinib utgjorde 25</w:t>
      </w:r>
      <w:r w:rsidR="00EE4765">
        <w:rPr>
          <w:color w:val="000000"/>
          <w:szCs w:val="22"/>
          <w:lang w:val="sv-SE"/>
        </w:rPr>
        <w:t> </w:t>
      </w:r>
      <w:r w:rsidRPr="000E7AE9">
        <w:rPr>
          <w:color w:val="000000"/>
          <w:szCs w:val="22"/>
          <w:lang w:val="sv-SE"/>
        </w:rPr>
        <w:t>% av dosen (5</w:t>
      </w:r>
      <w:r w:rsidR="00EE4765">
        <w:rPr>
          <w:color w:val="000000"/>
          <w:szCs w:val="22"/>
          <w:lang w:val="sv-SE"/>
        </w:rPr>
        <w:t> </w:t>
      </w:r>
      <w:r w:rsidRPr="000E7AE9">
        <w:rPr>
          <w:color w:val="000000"/>
          <w:szCs w:val="22"/>
          <w:lang w:val="sv-SE"/>
        </w:rPr>
        <w:t>% i urin, 20</w:t>
      </w:r>
      <w:r w:rsidR="00EE4765">
        <w:rPr>
          <w:color w:val="000000"/>
          <w:szCs w:val="22"/>
          <w:lang w:val="sv-SE"/>
        </w:rPr>
        <w:t> </w:t>
      </w:r>
      <w:r w:rsidRPr="000E7AE9">
        <w:rPr>
          <w:color w:val="000000"/>
          <w:szCs w:val="22"/>
          <w:lang w:val="sv-SE"/>
        </w:rPr>
        <w:t>% i faeces), och övrigt är metaboliter.</w:t>
      </w:r>
    </w:p>
    <w:p w14:paraId="73C8185C" w14:textId="77777777" w:rsidR="00620ABA" w:rsidRPr="000E7AE9" w:rsidRDefault="00620ABA" w:rsidP="00463647">
      <w:pPr>
        <w:pStyle w:val="EndnoteText"/>
        <w:widowControl w:val="0"/>
        <w:tabs>
          <w:tab w:val="clear" w:pos="567"/>
        </w:tabs>
        <w:rPr>
          <w:color w:val="000000"/>
          <w:szCs w:val="22"/>
          <w:lang w:val="sv-SE"/>
        </w:rPr>
      </w:pPr>
    </w:p>
    <w:p w14:paraId="5E5B884B" w14:textId="77777777" w:rsidR="00620ABA" w:rsidRPr="000E7AE9" w:rsidRDefault="00620ABA" w:rsidP="00463647">
      <w:pPr>
        <w:pStyle w:val="EndnoteText"/>
        <w:keepNext/>
        <w:widowControl w:val="0"/>
        <w:tabs>
          <w:tab w:val="clear" w:pos="567"/>
        </w:tabs>
        <w:rPr>
          <w:color w:val="000000"/>
          <w:szCs w:val="22"/>
          <w:lang w:val="sv-SE"/>
        </w:rPr>
      </w:pPr>
      <w:r w:rsidRPr="000E7AE9">
        <w:rPr>
          <w:color w:val="000000"/>
          <w:szCs w:val="22"/>
          <w:u w:val="single"/>
          <w:lang w:val="sv-SE"/>
        </w:rPr>
        <w:t>Farmakokinetik i plasma</w:t>
      </w:r>
    </w:p>
    <w:p w14:paraId="78887D49"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Hos friska frivilliga och efter peroral tillförsel var t</w:t>
      </w:r>
      <w:r w:rsidRPr="000E7AE9">
        <w:rPr>
          <w:color w:val="000000"/>
          <w:szCs w:val="22"/>
          <w:vertAlign w:val="subscript"/>
          <w:lang w:val="sv-SE"/>
        </w:rPr>
        <w:t xml:space="preserve">½ </w:t>
      </w:r>
      <w:r w:rsidRPr="000E7AE9">
        <w:rPr>
          <w:color w:val="000000"/>
          <w:szCs w:val="22"/>
          <w:lang w:val="sv-SE"/>
        </w:rPr>
        <w:t>ungefär 18 timmar, vilket indikerar att dosering en gång dagligen är lämplig. Ökningen av genomsnittlig AUC med ökande dos var linjär och dosproportionerlig i intervallet 25–1 000 mg imatinib efter peroral tillförsel. Imatinibs kinetiska egenskaper ändrades inte vid upprepad dosering och ackumulationen var en faktor 1,5–2,5 vid steady state och dosering en gång dagligen.</w:t>
      </w:r>
    </w:p>
    <w:p w14:paraId="273B43C5" w14:textId="77777777" w:rsidR="00620ABA" w:rsidRPr="000E7AE9" w:rsidRDefault="00620ABA" w:rsidP="00463647">
      <w:pPr>
        <w:pStyle w:val="EndnoteText"/>
        <w:widowControl w:val="0"/>
        <w:tabs>
          <w:tab w:val="clear" w:pos="567"/>
        </w:tabs>
        <w:rPr>
          <w:color w:val="000000"/>
          <w:szCs w:val="22"/>
          <w:lang w:val="sv-SE"/>
        </w:rPr>
      </w:pPr>
    </w:p>
    <w:p w14:paraId="27A3A5EC" w14:textId="77777777" w:rsidR="00620ABA" w:rsidRPr="000E7AE9" w:rsidRDefault="00620ABA" w:rsidP="00463647">
      <w:pPr>
        <w:pStyle w:val="EndnoteText"/>
        <w:keepNext/>
        <w:widowControl w:val="0"/>
        <w:tabs>
          <w:tab w:val="clear" w:pos="567"/>
        </w:tabs>
        <w:rPr>
          <w:color w:val="000000"/>
          <w:szCs w:val="22"/>
          <w:u w:val="single"/>
          <w:lang w:val="sv-SE"/>
        </w:rPr>
      </w:pPr>
      <w:r w:rsidRPr="000E7AE9">
        <w:rPr>
          <w:color w:val="000000"/>
          <w:szCs w:val="22"/>
          <w:u w:val="single"/>
          <w:lang w:val="sv-SE"/>
        </w:rPr>
        <w:t>Farmakokinetik hos GIST-patienter</w:t>
      </w:r>
    </w:p>
    <w:p w14:paraId="4C2121E8"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 xml:space="preserve">Hos patienter med GIST var exponeringen vid steady-state 1,5 gånger högre än den som observerats hos KML-patienter vid samma dos (400 mg dagligen). Baserat på preliminär populationsfarmakokinetik hos GIST-patienter var det tre variabler (albumin, antalet vita blodkroppar och bilirubin), som befanns ha ett statistiskt signifikant samband med farmakokinetiken för imatinib. Minskade värden av albumin orsakade en minskad clearance (CL/f). Större antal vita blodkroppar ledde till en minskning av CL/f. Emellertid, dessa samband är inte tillräckligt uttalade för att kräva en dosjustering. Hos denna patientpopulation kan förekomsten av levermetastaser möjligen leda till </w:t>
      </w:r>
      <w:r w:rsidRPr="000E7AE9">
        <w:rPr>
          <w:color w:val="000000"/>
          <w:szCs w:val="22"/>
          <w:lang w:val="sv-SE"/>
        </w:rPr>
        <w:lastRenderedPageBreak/>
        <w:t>leverinsufficiens och minskad metabolism.</w:t>
      </w:r>
    </w:p>
    <w:p w14:paraId="2E1E8C96" w14:textId="77777777" w:rsidR="00620ABA" w:rsidRPr="000E7AE9" w:rsidRDefault="00620ABA" w:rsidP="00463647">
      <w:pPr>
        <w:pStyle w:val="EndnoteText"/>
        <w:widowControl w:val="0"/>
        <w:tabs>
          <w:tab w:val="clear" w:pos="567"/>
        </w:tabs>
        <w:rPr>
          <w:color w:val="000000"/>
          <w:szCs w:val="22"/>
          <w:lang w:val="sv-SE"/>
        </w:rPr>
      </w:pPr>
    </w:p>
    <w:p w14:paraId="65041F05" w14:textId="77777777" w:rsidR="00620ABA" w:rsidRPr="000E7AE9" w:rsidRDefault="00620ABA" w:rsidP="00463647">
      <w:pPr>
        <w:pStyle w:val="EndnoteText"/>
        <w:keepNext/>
        <w:widowControl w:val="0"/>
        <w:tabs>
          <w:tab w:val="clear" w:pos="567"/>
        </w:tabs>
        <w:rPr>
          <w:color w:val="000000"/>
          <w:szCs w:val="22"/>
          <w:lang w:val="sv-SE"/>
        </w:rPr>
      </w:pPr>
      <w:r w:rsidRPr="000E7AE9">
        <w:rPr>
          <w:color w:val="000000"/>
          <w:szCs w:val="22"/>
          <w:u w:val="single"/>
          <w:lang w:val="sv-SE"/>
        </w:rPr>
        <w:t>Farmakokinetik i populationen</w:t>
      </w:r>
    </w:p>
    <w:p w14:paraId="6A26FC6C"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En farmakokinetisk analys i en population av KML-patienter visar på en mindre effekt av ålder på distributionsvolymen (12</w:t>
      </w:r>
      <w:r w:rsidR="00EE4765">
        <w:rPr>
          <w:color w:val="000000"/>
          <w:szCs w:val="22"/>
          <w:lang w:val="sv-SE"/>
        </w:rPr>
        <w:t> </w:t>
      </w:r>
      <w:r w:rsidRPr="000E7AE9">
        <w:rPr>
          <w:color w:val="000000"/>
          <w:szCs w:val="22"/>
          <w:lang w:val="sv-SE"/>
        </w:rPr>
        <w:t>% ökning hos patienter &gt; 65 år). Denna förändring bedöms inte vara kliniskt signifikant. Effekten av kroppsvikt på clearance av imatinib är sådan att för en patient som väger 50 kg förväntas genomsnittlig clearance vara 8,5 l/timme, medan en patient som väger 100 kg förväntas ha ökad clearance motsvarande 11,8 l/timme. Dessa förändringar anses inte vara tillräckligt stora för att motivera en dosjustering på grundval av kroppsvikt. Det föreligger ingen effekt av kön på imatinibs kinetiska egenskaper.</w:t>
      </w:r>
    </w:p>
    <w:p w14:paraId="74AEB3DE" w14:textId="77777777" w:rsidR="00620ABA" w:rsidRPr="000E7AE9" w:rsidRDefault="00620ABA" w:rsidP="00463647">
      <w:pPr>
        <w:pStyle w:val="EndnoteText"/>
        <w:widowControl w:val="0"/>
        <w:tabs>
          <w:tab w:val="clear" w:pos="567"/>
        </w:tabs>
        <w:rPr>
          <w:color w:val="000000"/>
          <w:szCs w:val="22"/>
          <w:lang w:val="sv-SE"/>
        </w:rPr>
      </w:pPr>
    </w:p>
    <w:p w14:paraId="6D37366B" w14:textId="77777777" w:rsidR="00620ABA" w:rsidRPr="000E7AE9" w:rsidRDefault="00620ABA" w:rsidP="00463647">
      <w:pPr>
        <w:pStyle w:val="EndnoteText"/>
        <w:keepNext/>
        <w:widowControl w:val="0"/>
        <w:tabs>
          <w:tab w:val="clear" w:pos="567"/>
        </w:tabs>
        <w:rPr>
          <w:color w:val="000000"/>
          <w:szCs w:val="22"/>
          <w:u w:val="single"/>
          <w:lang w:val="sv-SE"/>
        </w:rPr>
      </w:pPr>
      <w:r w:rsidRPr="000E7AE9">
        <w:rPr>
          <w:color w:val="000000"/>
          <w:szCs w:val="22"/>
          <w:u w:val="single"/>
          <w:lang w:val="sv-SE"/>
        </w:rPr>
        <w:t>Farmakokinetik hos barn</w:t>
      </w:r>
    </w:p>
    <w:p w14:paraId="7A2FA0ED" w14:textId="77777777" w:rsidR="00620ABA" w:rsidRPr="000E7AE9" w:rsidRDefault="00620ABA" w:rsidP="00463647">
      <w:pPr>
        <w:pStyle w:val="EndnoteText"/>
        <w:widowControl w:val="0"/>
        <w:rPr>
          <w:color w:val="000000"/>
          <w:szCs w:val="22"/>
          <w:lang w:val="sv-SE"/>
        </w:rPr>
      </w:pPr>
      <w:r w:rsidRPr="000E7AE9">
        <w:rPr>
          <w:color w:val="000000"/>
          <w:szCs w:val="22"/>
          <w:lang w:val="sv-SE"/>
        </w:rPr>
        <w:t>Liksom hos vuxna patienter, absorberades imatinib snabbt efter oral administrering hos pediatriska patienter i både fas I- och fas II-studier. Dosering till barn med 260 respektive 340 mg/m</w:t>
      </w:r>
      <w:r w:rsidRPr="000E7AE9">
        <w:rPr>
          <w:color w:val="000000"/>
          <w:szCs w:val="22"/>
          <w:vertAlign w:val="superscript"/>
          <w:lang w:val="sv-SE"/>
        </w:rPr>
        <w:t>2</w:t>
      </w:r>
      <w:r w:rsidRPr="000E7AE9">
        <w:rPr>
          <w:color w:val="000000"/>
          <w:szCs w:val="22"/>
          <w:lang w:val="sv-SE"/>
        </w:rPr>
        <w:t>/dag uppnådde liknande exponering som doser om 400 mg respektive 600 mg till vuxna patienter. Jämförelsen av AUC</w:t>
      </w:r>
      <w:r w:rsidRPr="000E7AE9">
        <w:rPr>
          <w:color w:val="000000"/>
          <w:szCs w:val="22"/>
          <w:vertAlign w:val="subscript"/>
          <w:lang w:val="sv-SE"/>
        </w:rPr>
        <w:t>(0-24)</w:t>
      </w:r>
      <w:r w:rsidRPr="000E7AE9">
        <w:rPr>
          <w:color w:val="000000"/>
          <w:szCs w:val="22"/>
          <w:lang w:val="sv-SE"/>
        </w:rPr>
        <w:t xml:space="preserve"> vid dag 8 och dag 1 vid dosnivån 340 mg/m</w:t>
      </w:r>
      <w:r w:rsidRPr="000E7AE9">
        <w:rPr>
          <w:color w:val="000000"/>
          <w:szCs w:val="22"/>
          <w:vertAlign w:val="superscript"/>
          <w:lang w:val="sv-SE"/>
        </w:rPr>
        <w:t>2</w:t>
      </w:r>
      <w:r w:rsidRPr="000E7AE9">
        <w:rPr>
          <w:color w:val="000000"/>
          <w:szCs w:val="22"/>
          <w:lang w:val="sv-SE"/>
        </w:rPr>
        <w:t>/dag uppdagade en ackumulering på 1,7 gånger efter upprepad daglig engångsdosering.</w:t>
      </w:r>
    </w:p>
    <w:p w14:paraId="103DA042" w14:textId="77777777" w:rsidR="00620ABA" w:rsidRDefault="00620ABA" w:rsidP="00463647">
      <w:pPr>
        <w:pStyle w:val="EndnoteText"/>
        <w:widowControl w:val="0"/>
        <w:tabs>
          <w:tab w:val="clear" w:pos="567"/>
        </w:tabs>
        <w:rPr>
          <w:color w:val="000000"/>
          <w:szCs w:val="22"/>
          <w:lang w:val="sv-SE"/>
        </w:rPr>
      </w:pPr>
    </w:p>
    <w:p w14:paraId="2739B6B4" w14:textId="77777777" w:rsidR="004A66F5" w:rsidRPr="00D22E26" w:rsidRDefault="004A66F5" w:rsidP="00463647">
      <w:pPr>
        <w:pStyle w:val="EndnoteText"/>
        <w:widowControl w:val="0"/>
        <w:rPr>
          <w:color w:val="000000"/>
          <w:szCs w:val="22"/>
          <w:lang w:val="sv-SE"/>
        </w:rPr>
      </w:pPr>
      <w:r w:rsidRPr="009C3437">
        <w:rPr>
          <w:color w:val="000000"/>
          <w:szCs w:val="22"/>
          <w:lang w:val="sv-SE"/>
        </w:rPr>
        <w:t xml:space="preserve">Baserat på </w:t>
      </w:r>
      <w:r w:rsidR="004E6ECF" w:rsidRPr="009C3437">
        <w:rPr>
          <w:color w:val="000000"/>
          <w:szCs w:val="22"/>
          <w:lang w:val="sv-SE"/>
        </w:rPr>
        <w:t xml:space="preserve">en </w:t>
      </w:r>
      <w:r w:rsidR="00E963C5" w:rsidRPr="009C3437">
        <w:rPr>
          <w:color w:val="000000"/>
          <w:szCs w:val="22"/>
          <w:lang w:val="sv-SE"/>
        </w:rPr>
        <w:t xml:space="preserve">farmakokinetisk analys i </w:t>
      </w:r>
      <w:r w:rsidR="00E61F5F" w:rsidRPr="009C3437">
        <w:rPr>
          <w:color w:val="000000"/>
          <w:szCs w:val="22"/>
          <w:lang w:val="sv-SE"/>
        </w:rPr>
        <w:t xml:space="preserve">en </w:t>
      </w:r>
      <w:r w:rsidR="004E6ECF" w:rsidRPr="009C3437">
        <w:rPr>
          <w:color w:val="000000"/>
          <w:szCs w:val="22"/>
          <w:lang w:val="sv-SE"/>
        </w:rPr>
        <w:t xml:space="preserve">sammanslagen </w:t>
      </w:r>
      <w:r w:rsidRPr="009C3437">
        <w:rPr>
          <w:color w:val="000000"/>
          <w:szCs w:val="22"/>
          <w:lang w:val="sv-SE"/>
        </w:rPr>
        <w:t>population</w:t>
      </w:r>
      <w:r w:rsidR="004E6ECF" w:rsidRPr="009C3437">
        <w:rPr>
          <w:color w:val="000000"/>
          <w:szCs w:val="22"/>
          <w:lang w:val="sv-SE"/>
        </w:rPr>
        <w:t xml:space="preserve"> </w:t>
      </w:r>
      <w:r w:rsidR="00E61F5F" w:rsidRPr="009C3437">
        <w:rPr>
          <w:color w:val="000000"/>
          <w:szCs w:val="22"/>
          <w:lang w:val="sv-SE"/>
        </w:rPr>
        <w:t>av</w:t>
      </w:r>
      <w:r w:rsidR="004E6ECF" w:rsidRPr="004E6ECF">
        <w:rPr>
          <w:color w:val="000000"/>
          <w:szCs w:val="22"/>
          <w:lang w:val="sv-SE"/>
        </w:rPr>
        <w:t xml:space="preserve"> pediatriska patienter med </w:t>
      </w:r>
      <w:r w:rsidR="004E6ECF">
        <w:rPr>
          <w:color w:val="000000"/>
          <w:szCs w:val="22"/>
          <w:lang w:val="sv-SE"/>
        </w:rPr>
        <w:t>hematologiska</w:t>
      </w:r>
      <w:r w:rsidRPr="004E6ECF">
        <w:rPr>
          <w:color w:val="000000"/>
          <w:szCs w:val="22"/>
          <w:lang w:val="sv-SE"/>
        </w:rPr>
        <w:t xml:space="preserve"> </w:t>
      </w:r>
      <w:r w:rsidR="004E6ECF" w:rsidRPr="004E6ECF">
        <w:rPr>
          <w:color w:val="000000"/>
          <w:szCs w:val="22"/>
          <w:lang w:val="sv-SE"/>
        </w:rPr>
        <w:t>rubbningar</w:t>
      </w:r>
      <w:r w:rsidRPr="004E6ECF">
        <w:rPr>
          <w:color w:val="000000"/>
          <w:szCs w:val="22"/>
          <w:lang w:val="sv-SE"/>
        </w:rPr>
        <w:t xml:space="preserve"> (</w:t>
      </w:r>
      <w:r w:rsidR="00116EAF">
        <w:rPr>
          <w:color w:val="000000"/>
          <w:szCs w:val="22"/>
          <w:lang w:val="sv-SE"/>
        </w:rPr>
        <w:t>K</w:t>
      </w:r>
      <w:r w:rsidRPr="004E6ECF">
        <w:rPr>
          <w:color w:val="000000"/>
          <w:szCs w:val="22"/>
          <w:lang w:val="sv-SE"/>
        </w:rPr>
        <w:t xml:space="preserve">ML, Ph+ALL, </w:t>
      </w:r>
      <w:r w:rsidR="004E6ECF" w:rsidRPr="004E6ECF">
        <w:rPr>
          <w:color w:val="000000"/>
          <w:szCs w:val="22"/>
          <w:lang w:val="sv-SE"/>
        </w:rPr>
        <w:t>eller andra</w:t>
      </w:r>
      <w:r w:rsidRPr="004E6ECF">
        <w:rPr>
          <w:color w:val="000000"/>
          <w:szCs w:val="22"/>
          <w:lang w:val="sv-SE"/>
        </w:rPr>
        <w:t xml:space="preserve"> </w:t>
      </w:r>
      <w:r w:rsidR="004E6ECF">
        <w:rPr>
          <w:color w:val="000000"/>
          <w:szCs w:val="22"/>
          <w:lang w:val="sv-SE"/>
        </w:rPr>
        <w:t>hematologiska rubbningar som behandlats med imatinib</w:t>
      </w:r>
      <w:r w:rsidRPr="004E6ECF">
        <w:rPr>
          <w:color w:val="000000"/>
          <w:szCs w:val="22"/>
          <w:lang w:val="sv-SE"/>
        </w:rPr>
        <w:t xml:space="preserve">), </w:t>
      </w:r>
      <w:r w:rsidR="00E32116">
        <w:rPr>
          <w:color w:val="000000"/>
          <w:szCs w:val="22"/>
          <w:lang w:val="sv-SE"/>
        </w:rPr>
        <w:t xml:space="preserve">ökar </w:t>
      </w:r>
      <w:r w:rsidRPr="004E6ECF">
        <w:rPr>
          <w:color w:val="000000"/>
          <w:szCs w:val="22"/>
          <w:lang w:val="sv-SE"/>
        </w:rPr>
        <w:t xml:space="preserve">clearance </w:t>
      </w:r>
      <w:r w:rsidR="004E6ECF">
        <w:rPr>
          <w:color w:val="000000"/>
          <w:szCs w:val="22"/>
          <w:lang w:val="sv-SE"/>
        </w:rPr>
        <w:t xml:space="preserve">av </w:t>
      </w:r>
      <w:r w:rsidRPr="004E6ECF">
        <w:rPr>
          <w:color w:val="000000"/>
          <w:szCs w:val="22"/>
          <w:lang w:val="sv-SE"/>
        </w:rPr>
        <w:t xml:space="preserve">imatinib </w:t>
      </w:r>
      <w:r w:rsidR="004E6ECF">
        <w:rPr>
          <w:color w:val="000000"/>
          <w:szCs w:val="22"/>
          <w:lang w:val="sv-SE"/>
        </w:rPr>
        <w:t xml:space="preserve">med ökad </w:t>
      </w:r>
      <w:r w:rsidR="004E6ECF" w:rsidRPr="00E963C5">
        <w:rPr>
          <w:color w:val="000000"/>
          <w:szCs w:val="22"/>
          <w:lang w:val="sv-SE"/>
        </w:rPr>
        <w:t>kroppsyta (BSA).</w:t>
      </w:r>
      <w:r w:rsidRPr="00E963C5">
        <w:rPr>
          <w:color w:val="000000"/>
          <w:szCs w:val="22"/>
          <w:lang w:val="sv-SE"/>
        </w:rPr>
        <w:t xml:space="preserve"> </w:t>
      </w:r>
      <w:r w:rsidR="004E6ECF" w:rsidRPr="00E963C5">
        <w:rPr>
          <w:color w:val="000000"/>
          <w:szCs w:val="22"/>
          <w:lang w:val="sv-SE"/>
        </w:rPr>
        <w:t>Efter korrigering av BSA</w:t>
      </w:r>
      <w:r w:rsidR="004E6ECF" w:rsidRPr="004E6ECF">
        <w:rPr>
          <w:color w:val="000000"/>
          <w:szCs w:val="22"/>
          <w:lang w:val="sv-SE"/>
        </w:rPr>
        <w:t xml:space="preserve"> effekten</w:t>
      </w:r>
      <w:r w:rsidR="004E6ECF" w:rsidRPr="00D22E26">
        <w:rPr>
          <w:color w:val="000000"/>
          <w:szCs w:val="22"/>
          <w:lang w:val="sv-SE"/>
        </w:rPr>
        <w:t xml:space="preserve">, så hade inte </w:t>
      </w:r>
      <w:r w:rsidR="006B6250">
        <w:rPr>
          <w:color w:val="000000"/>
          <w:szCs w:val="22"/>
          <w:lang w:val="sv-SE"/>
        </w:rPr>
        <w:t>annan demografi</w:t>
      </w:r>
      <w:r w:rsidR="004E6ECF" w:rsidRPr="00D22E26">
        <w:rPr>
          <w:color w:val="000000"/>
          <w:szCs w:val="22"/>
          <w:lang w:val="sv-SE"/>
        </w:rPr>
        <w:t xml:space="preserve"> såsom ålder, kroppsvikt </w:t>
      </w:r>
      <w:r w:rsidR="004E6ECF" w:rsidRPr="009C3437">
        <w:rPr>
          <w:color w:val="000000"/>
          <w:szCs w:val="22"/>
          <w:lang w:val="sv-SE"/>
        </w:rPr>
        <w:t xml:space="preserve">och </w:t>
      </w:r>
      <w:r w:rsidRPr="009C3437">
        <w:rPr>
          <w:color w:val="000000"/>
          <w:szCs w:val="22"/>
          <w:lang w:val="sv-SE"/>
        </w:rPr>
        <w:t>body mass index</w:t>
      </w:r>
      <w:r w:rsidRPr="00D22E26">
        <w:rPr>
          <w:color w:val="000000"/>
          <w:szCs w:val="22"/>
          <w:lang w:val="sv-SE"/>
        </w:rPr>
        <w:t xml:space="preserve"> </w:t>
      </w:r>
      <w:r w:rsidR="00D22E26">
        <w:rPr>
          <w:color w:val="000000"/>
          <w:szCs w:val="22"/>
          <w:lang w:val="sv-SE"/>
        </w:rPr>
        <w:t>kliniskt signifikant</w:t>
      </w:r>
      <w:r w:rsidR="00E61F5F">
        <w:rPr>
          <w:color w:val="000000"/>
          <w:szCs w:val="22"/>
          <w:lang w:val="sv-SE"/>
        </w:rPr>
        <w:t>a</w:t>
      </w:r>
      <w:r w:rsidR="00D22E26">
        <w:rPr>
          <w:color w:val="000000"/>
          <w:szCs w:val="22"/>
          <w:lang w:val="sv-SE"/>
        </w:rPr>
        <w:t xml:space="preserve"> effekt</w:t>
      </w:r>
      <w:r w:rsidR="00E61F5F">
        <w:rPr>
          <w:color w:val="000000"/>
          <w:szCs w:val="22"/>
          <w:lang w:val="sv-SE"/>
        </w:rPr>
        <w:t>er</w:t>
      </w:r>
      <w:r w:rsidR="00D22E26">
        <w:rPr>
          <w:color w:val="000000"/>
          <w:szCs w:val="22"/>
          <w:lang w:val="sv-SE"/>
        </w:rPr>
        <w:t xml:space="preserve"> på exponeringen av imatinib.</w:t>
      </w:r>
      <w:r w:rsidRPr="00D22E26">
        <w:rPr>
          <w:color w:val="000000"/>
          <w:szCs w:val="22"/>
          <w:lang w:val="sv-SE"/>
        </w:rPr>
        <w:t xml:space="preserve"> </w:t>
      </w:r>
      <w:r w:rsidR="00D22E26">
        <w:rPr>
          <w:color w:val="000000"/>
          <w:szCs w:val="22"/>
          <w:lang w:val="sv-SE"/>
        </w:rPr>
        <w:t>Analysen bekräftar att exponeringen av imatinib hos pediatriska patienter som fick 260 mg/</w:t>
      </w:r>
      <w:r w:rsidRPr="00D22E26">
        <w:rPr>
          <w:color w:val="000000"/>
          <w:szCs w:val="22"/>
          <w:lang w:val="sv-SE"/>
        </w:rPr>
        <w:t>m</w:t>
      </w:r>
      <w:r w:rsidRPr="00D22E26">
        <w:rPr>
          <w:color w:val="000000"/>
          <w:szCs w:val="22"/>
          <w:vertAlign w:val="superscript"/>
          <w:lang w:val="sv-SE"/>
        </w:rPr>
        <w:t>2</w:t>
      </w:r>
      <w:r w:rsidRPr="00D22E26">
        <w:rPr>
          <w:color w:val="000000"/>
          <w:szCs w:val="22"/>
          <w:lang w:val="sv-SE"/>
        </w:rPr>
        <w:t xml:space="preserve"> </w:t>
      </w:r>
      <w:r w:rsidR="00D22E26" w:rsidRPr="00D22E26">
        <w:rPr>
          <w:color w:val="000000"/>
          <w:szCs w:val="22"/>
          <w:lang w:val="sv-SE"/>
        </w:rPr>
        <w:t xml:space="preserve">en gång dagligen (överskred ej </w:t>
      </w:r>
      <w:r w:rsidRPr="00D22E26">
        <w:rPr>
          <w:color w:val="000000"/>
          <w:szCs w:val="22"/>
          <w:lang w:val="sv-SE"/>
        </w:rPr>
        <w:t xml:space="preserve">400 mg </w:t>
      </w:r>
      <w:r w:rsidR="00D22E26" w:rsidRPr="00D22E26">
        <w:rPr>
          <w:color w:val="000000"/>
          <w:szCs w:val="22"/>
          <w:lang w:val="sv-SE"/>
        </w:rPr>
        <w:t>en gång dagligen</w:t>
      </w:r>
      <w:r w:rsidRPr="00D22E26">
        <w:rPr>
          <w:color w:val="000000"/>
          <w:szCs w:val="22"/>
          <w:lang w:val="sv-SE"/>
        </w:rPr>
        <w:t xml:space="preserve">) </w:t>
      </w:r>
      <w:r w:rsidR="00D22E26" w:rsidRPr="00D22E26">
        <w:rPr>
          <w:color w:val="000000"/>
          <w:szCs w:val="22"/>
          <w:lang w:val="sv-SE"/>
        </w:rPr>
        <w:t>eller</w:t>
      </w:r>
      <w:r w:rsidRPr="00D22E26">
        <w:rPr>
          <w:color w:val="000000"/>
          <w:szCs w:val="22"/>
          <w:lang w:val="sv-SE"/>
        </w:rPr>
        <w:t xml:space="preserve"> 340 mg/m</w:t>
      </w:r>
      <w:r w:rsidRPr="00D22E26">
        <w:rPr>
          <w:color w:val="000000"/>
          <w:szCs w:val="22"/>
          <w:vertAlign w:val="superscript"/>
          <w:lang w:val="sv-SE"/>
        </w:rPr>
        <w:t>2</w:t>
      </w:r>
      <w:r w:rsidRPr="00D22E26">
        <w:rPr>
          <w:color w:val="000000"/>
          <w:szCs w:val="22"/>
          <w:lang w:val="sv-SE"/>
        </w:rPr>
        <w:t xml:space="preserve"> </w:t>
      </w:r>
      <w:r w:rsidR="00D22E26" w:rsidRPr="00D22E26">
        <w:rPr>
          <w:color w:val="000000"/>
          <w:szCs w:val="22"/>
          <w:lang w:val="sv-SE"/>
        </w:rPr>
        <w:t>en gång dagligen</w:t>
      </w:r>
      <w:r w:rsidRPr="00D22E26">
        <w:rPr>
          <w:color w:val="000000"/>
          <w:szCs w:val="22"/>
          <w:lang w:val="sv-SE"/>
        </w:rPr>
        <w:t xml:space="preserve"> (</w:t>
      </w:r>
      <w:r w:rsidR="00D22E26" w:rsidRPr="00D22E26">
        <w:rPr>
          <w:color w:val="000000"/>
          <w:szCs w:val="22"/>
          <w:lang w:val="sv-SE"/>
        </w:rPr>
        <w:t>överskred ej</w:t>
      </w:r>
      <w:r w:rsidRPr="00D22E26">
        <w:rPr>
          <w:color w:val="000000"/>
          <w:szCs w:val="22"/>
          <w:lang w:val="sv-SE"/>
        </w:rPr>
        <w:t xml:space="preserve"> 600 mg </w:t>
      </w:r>
      <w:r w:rsidR="00D22E26" w:rsidRPr="00D22E26">
        <w:rPr>
          <w:color w:val="000000"/>
          <w:szCs w:val="22"/>
          <w:lang w:val="sv-SE"/>
        </w:rPr>
        <w:t>en gång dagligen</w:t>
      </w:r>
      <w:r w:rsidRPr="00D22E26">
        <w:rPr>
          <w:color w:val="000000"/>
          <w:szCs w:val="22"/>
          <w:lang w:val="sv-SE"/>
        </w:rPr>
        <w:t xml:space="preserve">) </w:t>
      </w:r>
      <w:r w:rsidR="00D22E26">
        <w:rPr>
          <w:color w:val="000000"/>
          <w:szCs w:val="22"/>
          <w:lang w:val="sv-SE"/>
        </w:rPr>
        <w:t xml:space="preserve">var likt de hos vuxna patienter som fick imatinib </w:t>
      </w:r>
      <w:r w:rsidRPr="00D22E26">
        <w:rPr>
          <w:color w:val="000000"/>
          <w:szCs w:val="22"/>
          <w:lang w:val="sv-SE"/>
        </w:rPr>
        <w:t xml:space="preserve">400 mg </w:t>
      </w:r>
      <w:r w:rsidR="00D22E26">
        <w:rPr>
          <w:color w:val="000000"/>
          <w:szCs w:val="22"/>
          <w:lang w:val="sv-SE"/>
        </w:rPr>
        <w:t>eller</w:t>
      </w:r>
      <w:r w:rsidRPr="00D22E26">
        <w:rPr>
          <w:color w:val="000000"/>
          <w:szCs w:val="22"/>
          <w:lang w:val="sv-SE"/>
        </w:rPr>
        <w:t xml:space="preserve"> 600 mg </w:t>
      </w:r>
      <w:r w:rsidR="00D22E26">
        <w:rPr>
          <w:color w:val="000000"/>
          <w:szCs w:val="22"/>
          <w:lang w:val="sv-SE"/>
        </w:rPr>
        <w:t>en gång dagligen</w:t>
      </w:r>
      <w:r w:rsidRPr="00D22E26">
        <w:rPr>
          <w:color w:val="000000"/>
          <w:szCs w:val="22"/>
          <w:lang w:val="sv-SE"/>
        </w:rPr>
        <w:t>.</w:t>
      </w:r>
    </w:p>
    <w:p w14:paraId="6C22F01A" w14:textId="77777777" w:rsidR="004A66F5" w:rsidRPr="00D22E26" w:rsidRDefault="004A66F5" w:rsidP="00463647">
      <w:pPr>
        <w:pStyle w:val="EndnoteText"/>
        <w:widowControl w:val="0"/>
        <w:tabs>
          <w:tab w:val="clear" w:pos="567"/>
        </w:tabs>
        <w:rPr>
          <w:color w:val="000000"/>
          <w:szCs w:val="22"/>
          <w:lang w:val="sv-SE"/>
        </w:rPr>
      </w:pPr>
    </w:p>
    <w:p w14:paraId="1362180C" w14:textId="77777777" w:rsidR="00620ABA" w:rsidRPr="000E7AE9" w:rsidRDefault="00620ABA" w:rsidP="00463647">
      <w:pPr>
        <w:pStyle w:val="EndnoteText"/>
        <w:keepNext/>
        <w:widowControl w:val="0"/>
        <w:tabs>
          <w:tab w:val="clear" w:pos="567"/>
        </w:tabs>
        <w:rPr>
          <w:color w:val="000000"/>
          <w:szCs w:val="22"/>
          <w:u w:val="single"/>
          <w:lang w:val="sv-SE"/>
        </w:rPr>
      </w:pPr>
      <w:r w:rsidRPr="000E7AE9">
        <w:rPr>
          <w:color w:val="000000"/>
          <w:szCs w:val="22"/>
          <w:u w:val="single"/>
          <w:lang w:val="sv-SE"/>
        </w:rPr>
        <w:t>Organfunktionsnedsättning</w:t>
      </w:r>
    </w:p>
    <w:p w14:paraId="35414EEA" w14:textId="77777777" w:rsidR="00620ABA" w:rsidRPr="000E7AE9" w:rsidRDefault="00620ABA" w:rsidP="00463647">
      <w:pPr>
        <w:widowControl w:val="0"/>
        <w:autoSpaceDE w:val="0"/>
        <w:autoSpaceDN w:val="0"/>
        <w:adjustRightInd w:val="0"/>
        <w:spacing w:line="240" w:lineRule="auto"/>
        <w:rPr>
          <w:color w:val="000000"/>
          <w:szCs w:val="22"/>
          <w:lang w:val="sv-SE"/>
        </w:rPr>
      </w:pPr>
      <w:r w:rsidRPr="000E7AE9">
        <w:rPr>
          <w:color w:val="000000"/>
          <w:szCs w:val="22"/>
          <w:lang w:val="sv-SE"/>
        </w:rPr>
        <w:t>Imatinib och dess metaboliter utsöndras inte signifikant via njurarna. Patienter med lätt till måttligt nedsatt njurfunktion tycks ha högre plasmaexponering än patienter med normal njurfunktion. Ökningen är cirka 1,5 till 2</w:t>
      </w:r>
      <w:r w:rsidR="001A53D3" w:rsidRPr="000E7AE9">
        <w:rPr>
          <w:color w:val="000000"/>
          <w:szCs w:val="22"/>
          <w:lang w:val="sv-SE"/>
        </w:rPr>
        <w:t> </w:t>
      </w:r>
      <w:r w:rsidRPr="000E7AE9">
        <w:rPr>
          <w:color w:val="000000"/>
          <w:szCs w:val="22"/>
          <w:lang w:val="sv-SE"/>
        </w:rPr>
        <w:t xml:space="preserve">ggr, vilket motsvarar en </w:t>
      </w:r>
      <w:r w:rsidR="004E4AC8" w:rsidRPr="000E7AE9">
        <w:rPr>
          <w:color w:val="000000"/>
          <w:szCs w:val="22"/>
          <w:lang w:val="sv-SE"/>
        </w:rPr>
        <w:t>1,5x ökning</w:t>
      </w:r>
      <w:r w:rsidRPr="000E7AE9">
        <w:rPr>
          <w:color w:val="000000"/>
          <w:szCs w:val="22"/>
          <w:lang w:val="sv-SE"/>
        </w:rPr>
        <w:t xml:space="preserve"> av plasma-AGP, till vilket imatinib binder starkt. Clearance av fritt aktivt imatinib är förmodligen likartad för patienter med nedsatt njurfunktion och patienter med normal njurfunktion eftersom utsöndring via njuren endast i mindre utsträckning står för eliminationen av imatinib (se </w:t>
      </w:r>
      <w:r w:rsidR="007D1555" w:rsidRPr="000E7AE9">
        <w:rPr>
          <w:color w:val="000000"/>
          <w:szCs w:val="22"/>
          <w:lang w:val="sv-SE"/>
        </w:rPr>
        <w:t xml:space="preserve">avsnitten </w:t>
      </w:r>
      <w:r w:rsidRPr="000E7AE9">
        <w:rPr>
          <w:color w:val="000000"/>
          <w:szCs w:val="22"/>
          <w:lang w:val="sv-SE"/>
        </w:rPr>
        <w:t>4.2 och 4.4).</w:t>
      </w:r>
    </w:p>
    <w:p w14:paraId="257D3695" w14:textId="77777777" w:rsidR="00620ABA" w:rsidRPr="000E7AE9" w:rsidRDefault="00620ABA" w:rsidP="00463647">
      <w:pPr>
        <w:widowControl w:val="0"/>
        <w:autoSpaceDE w:val="0"/>
        <w:autoSpaceDN w:val="0"/>
        <w:adjustRightInd w:val="0"/>
        <w:spacing w:line="240" w:lineRule="auto"/>
        <w:rPr>
          <w:color w:val="000000"/>
          <w:szCs w:val="22"/>
          <w:lang w:val="sv-SE"/>
        </w:rPr>
      </w:pPr>
    </w:p>
    <w:p w14:paraId="4FA3C839"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Trots att resultaten från de farmakokinetiska analyserna visade att det finns en betydande variation mellan individer, ökade inte medelexponeringen för imatinib hos patienter med varierande grad av leverfunktionsrubbning jämfört med patienter med normal leverfunktion (se avsnitten 4.2, 4.4 och 4.8).</w:t>
      </w:r>
    </w:p>
    <w:p w14:paraId="5945013B" w14:textId="77777777" w:rsidR="00620ABA" w:rsidRPr="000E7AE9" w:rsidRDefault="00620ABA" w:rsidP="00463647">
      <w:pPr>
        <w:pStyle w:val="EndnoteText"/>
        <w:widowControl w:val="0"/>
        <w:tabs>
          <w:tab w:val="clear" w:pos="567"/>
        </w:tabs>
        <w:rPr>
          <w:color w:val="000000"/>
          <w:szCs w:val="22"/>
          <w:lang w:val="sv-SE"/>
        </w:rPr>
      </w:pPr>
    </w:p>
    <w:p w14:paraId="474D1C0F"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5.3</w:t>
      </w:r>
      <w:r w:rsidRPr="000E7AE9">
        <w:rPr>
          <w:noProof w:val="0"/>
          <w:color w:val="000000"/>
          <w:szCs w:val="22"/>
          <w:lang w:val="sv-SE"/>
        </w:rPr>
        <w:tab/>
        <w:t>Prekliniska säkerhetsuppgifter</w:t>
      </w:r>
    </w:p>
    <w:p w14:paraId="743A4D4D" w14:textId="77777777" w:rsidR="00620ABA" w:rsidRPr="000E7AE9" w:rsidRDefault="00620ABA" w:rsidP="00463647">
      <w:pPr>
        <w:keepNext/>
        <w:widowControl w:val="0"/>
        <w:tabs>
          <w:tab w:val="clear" w:pos="567"/>
        </w:tabs>
        <w:spacing w:line="240" w:lineRule="auto"/>
        <w:rPr>
          <w:color w:val="000000"/>
          <w:szCs w:val="22"/>
          <w:lang w:val="sv-SE"/>
        </w:rPr>
      </w:pPr>
    </w:p>
    <w:p w14:paraId="7BB48BB7"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Utvärdering av den prekliniska säkerheten för imatinib har gjorts på råtta, hund, apa och kanin.</w:t>
      </w:r>
    </w:p>
    <w:p w14:paraId="5860D85A" w14:textId="77777777" w:rsidR="00620ABA" w:rsidRPr="000E7AE9" w:rsidRDefault="00620ABA" w:rsidP="00463647">
      <w:pPr>
        <w:widowControl w:val="0"/>
        <w:spacing w:line="240" w:lineRule="auto"/>
        <w:rPr>
          <w:color w:val="000000"/>
          <w:szCs w:val="22"/>
          <w:lang w:val="sv-SE"/>
        </w:rPr>
      </w:pPr>
    </w:p>
    <w:p w14:paraId="1658CBB1"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Toxicitetsstudier vid upprepad dosering uppvisade milda till måttliga hematologiska förändringar hos råtta, hund och apa, samt benmärgsförändringar hos råtta och hund.</w:t>
      </w:r>
    </w:p>
    <w:p w14:paraId="678AF45B" w14:textId="77777777" w:rsidR="00620ABA" w:rsidRPr="000E7AE9" w:rsidRDefault="00620ABA" w:rsidP="00463647">
      <w:pPr>
        <w:widowControl w:val="0"/>
        <w:spacing w:line="240" w:lineRule="auto"/>
        <w:rPr>
          <w:color w:val="000000"/>
          <w:szCs w:val="22"/>
          <w:lang w:val="sv-SE"/>
        </w:rPr>
      </w:pPr>
    </w:p>
    <w:p w14:paraId="58CD2398"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Hos råtta och hund var levern målorgan. Milda till måttliga transaminasstegringar och en liten minskning i kolesterol, triglycerider, totala protein- och albuminvärden observerades hos båda djurarterna. Inga histopatologiska förändringar kunde ses i råttlever. Allvarlig levertoxicitet observerades hos hundar som behandlats i 2 veckor, med förhöjda leverenzymer, hepatocellulär nekros, gallgångsnekros och gallgångshyperplasi.</w:t>
      </w:r>
    </w:p>
    <w:p w14:paraId="50DB6492" w14:textId="77777777" w:rsidR="00620ABA" w:rsidRPr="000E7AE9" w:rsidRDefault="00620ABA" w:rsidP="00463647">
      <w:pPr>
        <w:widowControl w:val="0"/>
        <w:spacing w:line="240" w:lineRule="auto"/>
        <w:rPr>
          <w:color w:val="000000"/>
          <w:szCs w:val="22"/>
          <w:lang w:val="sv-SE"/>
        </w:rPr>
      </w:pPr>
    </w:p>
    <w:p w14:paraId="0BAE1387"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 xml:space="preserve">Njurtoxicitet observerades hos apor som behandlats i 2 veckor, med fokal mineralisering och utvidgning av njurtubuli och tubulär nefros. Ökat urea (BUN) och kreatinin observerades hos flera av dessa djur. Hos råtta observerades hyperplasi av epitelet i njurpapillen och i urinblåsan vid doser </w:t>
      </w:r>
      <w:r w:rsidRPr="000E7AE9">
        <w:rPr>
          <w:color w:val="000000"/>
          <w:szCs w:val="22"/>
          <w:lang w:val="sv-SE"/>
        </w:rPr>
        <w:sym w:font="Symbol" w:char="F0B3"/>
      </w:r>
      <w:r w:rsidRPr="000E7AE9">
        <w:rPr>
          <w:color w:val="000000"/>
          <w:szCs w:val="22"/>
          <w:lang w:val="sv-SE"/>
        </w:rPr>
        <w:t xml:space="preserve"> 6 mg/kg i 13-veckorsstudien, utan några förändringar i serum- eller urinparametrar. En ökad </w:t>
      </w:r>
      <w:r w:rsidRPr="000E7AE9">
        <w:rPr>
          <w:color w:val="000000"/>
          <w:szCs w:val="22"/>
          <w:lang w:val="sv-SE"/>
        </w:rPr>
        <w:lastRenderedPageBreak/>
        <w:t>frekvens av opportunistiska infektioner observerades vid kronisk behandling med imatinib.</w:t>
      </w:r>
    </w:p>
    <w:p w14:paraId="302FD765" w14:textId="77777777" w:rsidR="00620ABA" w:rsidRPr="000E7AE9" w:rsidRDefault="00620ABA" w:rsidP="00463647">
      <w:pPr>
        <w:widowControl w:val="0"/>
        <w:spacing w:line="240" w:lineRule="auto"/>
        <w:rPr>
          <w:color w:val="000000"/>
          <w:szCs w:val="22"/>
          <w:lang w:val="sv-SE"/>
        </w:rPr>
      </w:pPr>
    </w:p>
    <w:p w14:paraId="3666FDC2"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I en 39-veckorsstudie på apa, kunde inget NOAEL (nivån för ingen observerad toxisk effekt) bestämmas vid den lägsta dosen 15 mg/kg, ungefär en tredjedel av den maximala dosen av 800 mg/dag till människa baserat på kroppsytan. Behandlingen innebar en försämring av de normalt undertryckta malariainfektionerna hos dessa djur.</w:t>
      </w:r>
    </w:p>
    <w:p w14:paraId="2821BA91" w14:textId="77777777" w:rsidR="00620ABA" w:rsidRPr="000E7AE9" w:rsidRDefault="00620ABA" w:rsidP="00463647">
      <w:pPr>
        <w:widowControl w:val="0"/>
        <w:spacing w:line="240" w:lineRule="auto"/>
        <w:rPr>
          <w:color w:val="000000"/>
          <w:szCs w:val="22"/>
          <w:lang w:val="sv-SE"/>
        </w:rPr>
      </w:pPr>
    </w:p>
    <w:p w14:paraId="30FF2445"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 xml:space="preserve">Imatinib ansågs inte vara genotoxiskt i bakterier, mammalieceller (Ames test, muslymfom) </w:t>
      </w:r>
      <w:r w:rsidRPr="000E7AE9">
        <w:rPr>
          <w:i/>
          <w:color w:val="000000"/>
          <w:szCs w:val="22"/>
          <w:lang w:val="sv-SE"/>
        </w:rPr>
        <w:t>in vitro</w:t>
      </w:r>
      <w:r w:rsidRPr="000E7AE9">
        <w:rPr>
          <w:color w:val="000000"/>
          <w:szCs w:val="22"/>
          <w:lang w:val="sv-SE"/>
        </w:rPr>
        <w:t xml:space="preserve">, och i råttmikronukleus </w:t>
      </w:r>
      <w:r w:rsidRPr="000E7AE9">
        <w:rPr>
          <w:i/>
          <w:color w:val="000000"/>
          <w:szCs w:val="22"/>
          <w:lang w:val="sv-SE"/>
        </w:rPr>
        <w:t>in vivo</w:t>
      </w:r>
      <w:r w:rsidRPr="000E7AE9">
        <w:rPr>
          <w:color w:val="000000"/>
          <w:szCs w:val="22"/>
          <w:lang w:val="sv-SE"/>
        </w:rPr>
        <w:t xml:space="preserve">. Positiva genotoxiska effekter avseende klastogenicitet (kromosomavvikelser) erhölls i ett mammaliecellstest </w:t>
      </w:r>
      <w:r w:rsidRPr="000E7AE9">
        <w:rPr>
          <w:i/>
          <w:color w:val="000000"/>
          <w:szCs w:val="22"/>
          <w:lang w:val="sv-SE"/>
        </w:rPr>
        <w:t xml:space="preserve">in vitro </w:t>
      </w:r>
      <w:r w:rsidRPr="000E7AE9">
        <w:rPr>
          <w:color w:val="000000"/>
          <w:szCs w:val="22"/>
          <w:lang w:val="sv-SE"/>
        </w:rPr>
        <w:t>(Chinese hamster ovary) i närvaro av metabolisk aktivering. Två intermediärer från tillverkningsprocessen, som också finns i den färdiga produkten, är positiva för mutagenes i Amestestet. En av dessa intermediärer var även positiv i muslymfomtestet.</w:t>
      </w:r>
    </w:p>
    <w:p w14:paraId="471F2B81" w14:textId="77777777" w:rsidR="00620ABA" w:rsidRPr="000E7AE9" w:rsidRDefault="00620ABA" w:rsidP="00463647">
      <w:pPr>
        <w:widowControl w:val="0"/>
        <w:spacing w:line="240" w:lineRule="auto"/>
        <w:rPr>
          <w:color w:val="000000"/>
          <w:szCs w:val="22"/>
          <w:lang w:val="sv-SE"/>
        </w:rPr>
      </w:pPr>
    </w:p>
    <w:p w14:paraId="11D4D5CC"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 xml:space="preserve">I en fertilitetsstudie på hanråttor som doserades 70 dagar innan parning, minskade testikel- och bitestikelvikten och procentandelen rörliga spermier vid 60 mg/kg, ungefär lika med den maximala kliniska dosen av 800 mg/dag baserat på kroppsytan. Detta sågs inte vid doser ≤ 20 mg/kg. En lätt till måttlig minskning i spermatogenes observerades hos hund vid orala doser </w:t>
      </w:r>
      <w:r w:rsidRPr="000E7AE9">
        <w:rPr>
          <w:color w:val="000000"/>
          <w:szCs w:val="22"/>
          <w:lang w:val="sv-SE"/>
        </w:rPr>
        <w:sym w:font="Symbol" w:char="F0B3"/>
      </w:r>
      <w:r w:rsidRPr="000E7AE9">
        <w:rPr>
          <w:color w:val="000000"/>
          <w:szCs w:val="22"/>
          <w:lang w:val="sv-SE"/>
        </w:rPr>
        <w:t> 30 mg/kg. När honråttor doserades 14 dagar innan parning och till dräktighetsdag 6, sågs ingen effekt på parning eller antal dräktiga honor. Vid doser på 60 mg/kg hade honråttorna en signifikant spontanförlust av foster och ett reducerat antal levande foster. Detta sågs inte vid doser ≤ 20 mg/kg.</w:t>
      </w:r>
    </w:p>
    <w:p w14:paraId="2D1AB619" w14:textId="77777777" w:rsidR="00620ABA" w:rsidRPr="000E7AE9" w:rsidRDefault="00620ABA" w:rsidP="00463647">
      <w:pPr>
        <w:widowControl w:val="0"/>
        <w:spacing w:line="240" w:lineRule="auto"/>
        <w:rPr>
          <w:color w:val="000000"/>
          <w:szCs w:val="22"/>
          <w:lang w:val="sv-SE"/>
        </w:rPr>
      </w:pPr>
    </w:p>
    <w:p w14:paraId="74C89F64"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I en oral, pre- och postnatal utvecklingsstudie på råttor, noterades en röd vaginal flytning hos gruppen med 45 mg/kg/dag på endera dräktighetsdag 14 eller 15. Vid samma dos, ökade antalet dödfödda ungar liksom de som avled mellan postpartumdag 0 och 4. Hos F</w:t>
      </w:r>
      <w:r w:rsidRPr="000E7AE9">
        <w:rPr>
          <w:color w:val="000000"/>
          <w:szCs w:val="22"/>
          <w:vertAlign w:val="subscript"/>
          <w:lang w:val="sv-SE"/>
        </w:rPr>
        <w:t>1</w:t>
      </w:r>
      <w:r w:rsidRPr="000E7AE9">
        <w:rPr>
          <w:color w:val="000000"/>
          <w:szCs w:val="22"/>
          <w:lang w:val="sv-SE"/>
        </w:rPr>
        <w:t>-avkomman, vid samma dosnivå, minskade medelkroppsvikten från födsel till avlivning och antalet kullar som uppnådde kriterier för preputial separering minskade något. F</w:t>
      </w:r>
      <w:r w:rsidRPr="000E7AE9">
        <w:rPr>
          <w:color w:val="000000"/>
          <w:szCs w:val="22"/>
          <w:vertAlign w:val="subscript"/>
          <w:lang w:val="sv-SE"/>
        </w:rPr>
        <w:t>1</w:t>
      </w:r>
      <w:r w:rsidRPr="000E7AE9">
        <w:rPr>
          <w:color w:val="000000"/>
          <w:szCs w:val="22"/>
          <w:lang w:val="sv-SE"/>
        </w:rPr>
        <w:t>-fertilitet påverkades inte, medan ett ökat antal resorptioner och ett ökat antal levande foster noterades med 45 mg/kg/dag. Nivån för ingen observerad effekt (NOEL) för både moderdjurens och F</w:t>
      </w:r>
      <w:r w:rsidRPr="000E7AE9">
        <w:rPr>
          <w:color w:val="000000"/>
          <w:szCs w:val="22"/>
          <w:vertAlign w:val="subscript"/>
          <w:lang w:val="sv-SE"/>
        </w:rPr>
        <w:t>1</w:t>
      </w:r>
      <w:r w:rsidRPr="000E7AE9">
        <w:rPr>
          <w:color w:val="000000"/>
          <w:szCs w:val="22"/>
          <w:lang w:val="sv-SE"/>
        </w:rPr>
        <w:t>-generationen var 15 mg/kg/dag (en fjärdedel av den maximala dosen till människa om 800 mg).</w:t>
      </w:r>
    </w:p>
    <w:p w14:paraId="4F97B604" w14:textId="77777777" w:rsidR="00620ABA" w:rsidRPr="000E7AE9" w:rsidRDefault="00620ABA" w:rsidP="00463647">
      <w:pPr>
        <w:widowControl w:val="0"/>
        <w:spacing w:line="240" w:lineRule="auto"/>
        <w:rPr>
          <w:color w:val="000000"/>
          <w:szCs w:val="22"/>
          <w:lang w:val="sv-SE"/>
        </w:rPr>
      </w:pPr>
    </w:p>
    <w:p w14:paraId="0A2E8682" w14:textId="77777777" w:rsidR="00620ABA" w:rsidRDefault="00620ABA" w:rsidP="00463647">
      <w:pPr>
        <w:widowControl w:val="0"/>
        <w:spacing w:line="240" w:lineRule="auto"/>
        <w:rPr>
          <w:color w:val="000000"/>
          <w:szCs w:val="22"/>
          <w:lang w:val="sv-SE"/>
        </w:rPr>
      </w:pPr>
      <w:r w:rsidRPr="000E7AE9">
        <w:rPr>
          <w:color w:val="000000"/>
          <w:szCs w:val="22"/>
          <w:lang w:val="sv-SE"/>
        </w:rPr>
        <w:t xml:space="preserve">Imatinib var teratogent hos råtta när det gavs under organogenesen vid doser </w:t>
      </w:r>
      <w:bookmarkStart w:id="4" w:name="OLE_LINK1"/>
      <w:r w:rsidRPr="000E7AE9">
        <w:rPr>
          <w:color w:val="000000"/>
          <w:szCs w:val="22"/>
          <w:lang w:val="sv-SE"/>
        </w:rPr>
        <w:t>≥</w:t>
      </w:r>
      <w:bookmarkEnd w:id="4"/>
      <w:r w:rsidRPr="000E7AE9">
        <w:rPr>
          <w:color w:val="000000"/>
          <w:szCs w:val="22"/>
          <w:lang w:val="sv-SE"/>
        </w:rPr>
        <w:t> 100 mg/kg, ungefär lika med den maximala kliniska dosen av 800 mg/dag baserat på kroppsytan. Teratogena effekter omfattade exencefali eller encefalocele, frånvarande/minskat frontal- och frånvarande parietalben. Dessa effekter sågs inte vid doser ≤ 30 mg/kg.</w:t>
      </w:r>
    </w:p>
    <w:p w14:paraId="35EACE8B" w14:textId="77777777" w:rsidR="00652474" w:rsidRDefault="00652474" w:rsidP="00463647">
      <w:pPr>
        <w:widowControl w:val="0"/>
        <w:spacing w:line="240" w:lineRule="auto"/>
        <w:rPr>
          <w:color w:val="000000"/>
          <w:szCs w:val="22"/>
          <w:lang w:val="sv-SE"/>
        </w:rPr>
      </w:pPr>
    </w:p>
    <w:p w14:paraId="0C026F82" w14:textId="77777777" w:rsidR="00652474" w:rsidRPr="006C6E26" w:rsidRDefault="00652474" w:rsidP="00463647">
      <w:pPr>
        <w:widowControl w:val="0"/>
        <w:spacing w:line="240" w:lineRule="auto"/>
        <w:rPr>
          <w:color w:val="000000"/>
          <w:szCs w:val="22"/>
          <w:lang w:val="sv-SE"/>
        </w:rPr>
      </w:pPr>
      <w:r>
        <w:rPr>
          <w:color w:val="000000"/>
          <w:szCs w:val="22"/>
          <w:lang w:val="sv-SE"/>
        </w:rPr>
        <w:t>Inga nya målorgan identifierades i den juvenila utvecklingstoxikologiska studien på råttor (dag</w:t>
      </w:r>
      <w:r w:rsidR="002F6EE6">
        <w:rPr>
          <w:color w:val="000000"/>
          <w:szCs w:val="22"/>
          <w:lang w:val="sv-SE"/>
        </w:rPr>
        <w:t> </w:t>
      </w:r>
      <w:r>
        <w:rPr>
          <w:color w:val="000000"/>
          <w:szCs w:val="22"/>
          <w:lang w:val="sv-SE"/>
        </w:rPr>
        <w:t>10 till</w:t>
      </w:r>
      <w:r w:rsidR="003740B9">
        <w:rPr>
          <w:color w:val="000000"/>
          <w:szCs w:val="22"/>
          <w:lang w:val="sv-SE"/>
        </w:rPr>
        <w:t xml:space="preserve"> 70 postpartum) med avseende på</w:t>
      </w:r>
      <w:r w:rsidR="00C519B2">
        <w:rPr>
          <w:color w:val="000000"/>
          <w:szCs w:val="22"/>
          <w:lang w:val="sv-SE"/>
        </w:rPr>
        <w:t xml:space="preserve"> </w:t>
      </w:r>
      <w:r>
        <w:rPr>
          <w:color w:val="000000"/>
          <w:szCs w:val="22"/>
          <w:lang w:val="sv-SE"/>
        </w:rPr>
        <w:t>kända målorgan hos vuxna råttor. I den juvenila toxikologiska studien observerade</w:t>
      </w:r>
      <w:r w:rsidR="00C519B2">
        <w:rPr>
          <w:color w:val="000000"/>
          <w:szCs w:val="22"/>
          <w:lang w:val="sv-SE"/>
        </w:rPr>
        <w:t>s effekter på tillväxt, försening i</w:t>
      </w:r>
      <w:r w:rsidR="00A00E5C">
        <w:rPr>
          <w:color w:val="000000"/>
          <w:szCs w:val="22"/>
          <w:lang w:val="sv-SE"/>
        </w:rPr>
        <w:t xml:space="preserve"> vaginal öppning</w:t>
      </w:r>
      <w:r>
        <w:rPr>
          <w:color w:val="000000"/>
          <w:szCs w:val="22"/>
          <w:lang w:val="sv-SE"/>
        </w:rPr>
        <w:t xml:space="preserve"> och preputial separation vid ungefär</w:t>
      </w:r>
      <w:r w:rsidR="00A00E5C">
        <w:rPr>
          <w:color w:val="000000"/>
          <w:szCs w:val="22"/>
          <w:lang w:val="sv-SE"/>
        </w:rPr>
        <w:t xml:space="preserve"> 0,3 till 2</w:t>
      </w:r>
      <w:r w:rsidR="002F6EE6">
        <w:rPr>
          <w:color w:val="000000"/>
          <w:szCs w:val="22"/>
          <w:lang w:val="sv-SE"/>
        </w:rPr>
        <w:t> </w:t>
      </w:r>
      <w:r w:rsidR="00A00E5C">
        <w:rPr>
          <w:color w:val="000000"/>
          <w:szCs w:val="22"/>
          <w:lang w:val="sv-SE"/>
        </w:rPr>
        <w:t>gånger</w:t>
      </w:r>
      <w:r>
        <w:rPr>
          <w:color w:val="000000"/>
          <w:szCs w:val="22"/>
          <w:lang w:val="sv-SE"/>
        </w:rPr>
        <w:t xml:space="preserve"> paediatrisk medelexponering vid högsta rekomme</w:t>
      </w:r>
      <w:r w:rsidR="00A00E5C">
        <w:rPr>
          <w:color w:val="000000"/>
          <w:szCs w:val="22"/>
          <w:lang w:val="sv-SE"/>
        </w:rPr>
        <w:t>nderad dos på</w:t>
      </w:r>
      <w:r>
        <w:rPr>
          <w:color w:val="000000"/>
          <w:szCs w:val="22"/>
          <w:lang w:val="sv-SE"/>
        </w:rPr>
        <w:t xml:space="preserve"> </w:t>
      </w:r>
      <w:r w:rsidRPr="006C6E26">
        <w:rPr>
          <w:color w:val="000000"/>
          <w:szCs w:val="22"/>
          <w:lang w:val="sv-SE"/>
        </w:rPr>
        <w:t>340 mg/m</w:t>
      </w:r>
      <w:r w:rsidRPr="006C6E26">
        <w:rPr>
          <w:color w:val="000000"/>
          <w:szCs w:val="22"/>
          <w:vertAlign w:val="superscript"/>
          <w:lang w:val="sv-SE"/>
        </w:rPr>
        <w:t>2</w:t>
      </w:r>
      <w:r>
        <w:rPr>
          <w:color w:val="000000"/>
          <w:szCs w:val="22"/>
          <w:lang w:val="sv-SE"/>
        </w:rPr>
        <w:t>. Dessutom observerades mortalitet hos juvenila djur (</w:t>
      </w:r>
      <w:r w:rsidR="00A00E5C">
        <w:rPr>
          <w:color w:val="000000"/>
          <w:szCs w:val="22"/>
          <w:lang w:val="sv-SE"/>
        </w:rPr>
        <w:t>kring avvänjningsfasen</w:t>
      </w:r>
      <w:r w:rsidR="006C6E26">
        <w:rPr>
          <w:color w:val="000000"/>
          <w:szCs w:val="22"/>
          <w:lang w:val="sv-SE"/>
        </w:rPr>
        <w:t>) vid ungefär 2</w:t>
      </w:r>
      <w:r w:rsidR="002F6EE6">
        <w:rPr>
          <w:color w:val="000000"/>
          <w:szCs w:val="22"/>
          <w:lang w:val="sv-SE"/>
        </w:rPr>
        <w:t> </w:t>
      </w:r>
      <w:r w:rsidR="006C6E26">
        <w:rPr>
          <w:color w:val="000000"/>
          <w:szCs w:val="22"/>
          <w:lang w:val="sv-SE"/>
        </w:rPr>
        <w:t>gånger paediatrisk medelexponering</w:t>
      </w:r>
      <w:r w:rsidR="00A00E5C">
        <w:rPr>
          <w:color w:val="000000"/>
          <w:szCs w:val="22"/>
          <w:lang w:val="sv-SE"/>
        </w:rPr>
        <w:t xml:space="preserve"> vid högsta rekommenderad dos på</w:t>
      </w:r>
      <w:r w:rsidR="006C6E26">
        <w:rPr>
          <w:color w:val="000000"/>
          <w:szCs w:val="22"/>
          <w:lang w:val="sv-SE"/>
        </w:rPr>
        <w:t xml:space="preserve"> </w:t>
      </w:r>
      <w:r w:rsidR="006C6E26" w:rsidRPr="006C6E26">
        <w:rPr>
          <w:color w:val="000000"/>
          <w:szCs w:val="22"/>
          <w:lang w:val="sv-SE"/>
        </w:rPr>
        <w:t>340 mg/m</w:t>
      </w:r>
      <w:r w:rsidR="006C6E26" w:rsidRPr="006C6E26">
        <w:rPr>
          <w:color w:val="000000"/>
          <w:szCs w:val="22"/>
          <w:vertAlign w:val="superscript"/>
          <w:lang w:val="sv-SE"/>
        </w:rPr>
        <w:t>2</w:t>
      </w:r>
      <w:r w:rsidR="006C6E26" w:rsidRPr="006C6E26">
        <w:rPr>
          <w:color w:val="000000"/>
          <w:szCs w:val="22"/>
          <w:lang w:val="sv-SE"/>
        </w:rPr>
        <w:t>.</w:t>
      </w:r>
    </w:p>
    <w:p w14:paraId="547C8CDE" w14:textId="77777777" w:rsidR="00620ABA" w:rsidRPr="008504F2" w:rsidRDefault="00620ABA" w:rsidP="00463647">
      <w:pPr>
        <w:widowControl w:val="0"/>
        <w:spacing w:line="240" w:lineRule="auto"/>
        <w:rPr>
          <w:color w:val="000000"/>
          <w:szCs w:val="22"/>
          <w:lang w:val="sv-SE"/>
        </w:rPr>
      </w:pPr>
    </w:p>
    <w:p w14:paraId="4934F4CB" w14:textId="77777777" w:rsidR="00620ABA" w:rsidRPr="000E7AE9" w:rsidRDefault="00620ABA" w:rsidP="00463647">
      <w:pPr>
        <w:widowControl w:val="0"/>
        <w:spacing w:line="240" w:lineRule="auto"/>
        <w:rPr>
          <w:color w:val="000000"/>
          <w:szCs w:val="22"/>
          <w:lang w:val="sv-SE"/>
        </w:rPr>
      </w:pPr>
      <w:r w:rsidRPr="000E7AE9">
        <w:rPr>
          <w:color w:val="000000"/>
          <w:szCs w:val="22"/>
          <w:lang w:val="sv-SE"/>
        </w:rPr>
        <w:t>I den 2-åriga karcinogenicitetsstudien på råtta resulterade administrering av imatinib med 15, 30 och 60 mg/kg/dag i en statistiskt signifikant reduktion av livslängden hos hannar vid 60 mg/kg/dag och honor vid ≥ 30 mg/kg/dag. Histopatologisk undersökning av avlidna djur visade på kardiomyopati (båda könen), kronisk progressiv nefropati (honor) och papillom i preputiala körtlar som huvudorsak till död eller orsak till avlivning. Målorgan för neoplastiska förändringar var njurar, urinblåsa, urinrör, preputiala och klitorala körtlar, tunntarm, bisköldkörtlar, binjurekörtlar och icke-glandulär magsäck. Nivån för ingen observerad effekt (NOEL) för de olika målorganen med neoplastiska förändringar bestämdes enligt följande: 30 mg/kg/dag för njurarna, urinblåsa, urinrör, tunntarm, bisköldkörtlar, binjurar och icke-glandulär magsäck.</w:t>
      </w:r>
    </w:p>
    <w:p w14:paraId="0F9FE8EA" w14:textId="77777777" w:rsidR="00620ABA" w:rsidRPr="000E7AE9" w:rsidRDefault="00620ABA" w:rsidP="00463647">
      <w:pPr>
        <w:widowControl w:val="0"/>
        <w:spacing w:line="240" w:lineRule="auto"/>
        <w:rPr>
          <w:color w:val="000000"/>
          <w:szCs w:val="22"/>
          <w:lang w:val="sv-SE"/>
        </w:rPr>
      </w:pPr>
    </w:p>
    <w:p w14:paraId="04B71255" w14:textId="77777777" w:rsidR="00620ABA" w:rsidRPr="000E7AE9" w:rsidRDefault="00620ABA" w:rsidP="00463647">
      <w:pPr>
        <w:widowControl w:val="0"/>
        <w:spacing w:line="240" w:lineRule="auto"/>
        <w:rPr>
          <w:bCs/>
          <w:color w:val="000000"/>
          <w:szCs w:val="22"/>
          <w:lang w:val="sv-SE"/>
        </w:rPr>
      </w:pPr>
      <w:r w:rsidRPr="000E7AE9">
        <w:rPr>
          <w:bCs/>
          <w:color w:val="000000"/>
          <w:szCs w:val="22"/>
          <w:lang w:val="sv-SE"/>
        </w:rPr>
        <w:t>Papillom/karcinom i preputiala och klitorala körtlar noterades från 30 mg/kg/dag och uppåt, vilket utgör ungefär 0,5 respektive 0,3 gånger den dagliga exponeringen hos människa (baserat på AUC) vid 400 mg/dag respektive 800 mg/dag och 0,4 gånger den dagliga exponeringen hos barn (baserat på AUC) vid 340 mg/m</w:t>
      </w:r>
      <w:r w:rsidRPr="000E7AE9">
        <w:rPr>
          <w:bCs/>
          <w:color w:val="000000"/>
          <w:szCs w:val="22"/>
          <w:vertAlign w:val="superscript"/>
          <w:lang w:val="sv-SE"/>
        </w:rPr>
        <w:t>2</w:t>
      </w:r>
      <w:r w:rsidRPr="000E7AE9">
        <w:rPr>
          <w:bCs/>
          <w:color w:val="000000"/>
          <w:szCs w:val="22"/>
          <w:lang w:val="sv-SE"/>
        </w:rPr>
        <w:t xml:space="preserve">/dag. Nivån för ingen observerad effekt (NOEL) var 15 mg/kg/dag. </w:t>
      </w:r>
      <w:r w:rsidRPr="000E7AE9">
        <w:rPr>
          <w:bCs/>
          <w:color w:val="000000"/>
          <w:szCs w:val="22"/>
          <w:lang w:val="sv-SE"/>
        </w:rPr>
        <w:lastRenderedPageBreak/>
        <w:t>Njuradenom/karcinom, urinblåse- och urinrörspapillom, tunntarmsadenokarcinom, bisköldkörteladenom, benigna och maligna medullära tumörer i binjurar och papillom/karcinom i icke-glandulär magsäck noterades vid 60 mg/kg/dag, vilket utgör ungefär 1,7 eller 1 gång den dagliga exponeringen hos människa (baserat på AUC) vid 400 mg/dag respektive 800 mg/dag, och 1,2 gånger den dagliga exponeringen hos barn (baserat på AUC) vid 340 mg/m</w:t>
      </w:r>
      <w:r w:rsidRPr="000E7AE9">
        <w:rPr>
          <w:bCs/>
          <w:color w:val="000000"/>
          <w:szCs w:val="22"/>
          <w:vertAlign w:val="superscript"/>
          <w:lang w:val="sv-SE"/>
        </w:rPr>
        <w:t>2</w:t>
      </w:r>
      <w:r w:rsidRPr="000E7AE9">
        <w:rPr>
          <w:bCs/>
          <w:color w:val="000000"/>
          <w:szCs w:val="22"/>
          <w:lang w:val="sv-SE"/>
        </w:rPr>
        <w:t>/dag. Nivån för ingen observerad effect (NOEL) var 30 mg/kg/dag.</w:t>
      </w:r>
    </w:p>
    <w:p w14:paraId="7E46F8A1" w14:textId="77777777" w:rsidR="00620ABA" w:rsidRPr="000E7AE9" w:rsidRDefault="00620ABA" w:rsidP="00463647">
      <w:pPr>
        <w:widowControl w:val="0"/>
        <w:spacing w:line="240" w:lineRule="auto"/>
        <w:rPr>
          <w:bCs/>
          <w:color w:val="000000"/>
          <w:szCs w:val="22"/>
          <w:lang w:val="sv-SE"/>
        </w:rPr>
      </w:pPr>
    </w:p>
    <w:p w14:paraId="03BD29B5" w14:textId="77777777" w:rsidR="00620ABA" w:rsidRPr="000E7AE9" w:rsidRDefault="00620ABA" w:rsidP="00463647">
      <w:pPr>
        <w:widowControl w:val="0"/>
        <w:spacing w:line="240" w:lineRule="auto"/>
        <w:rPr>
          <w:bCs/>
          <w:color w:val="000000"/>
          <w:szCs w:val="22"/>
          <w:lang w:val="sv-SE"/>
        </w:rPr>
      </w:pPr>
      <w:r w:rsidRPr="000E7AE9">
        <w:rPr>
          <w:bCs/>
          <w:color w:val="000000"/>
          <w:szCs w:val="22"/>
          <w:lang w:val="sv-SE"/>
        </w:rPr>
        <w:t>Mekanismen bakom och betydelsen av dessa fynd i karcinogenicitetsstudien på råtta för människor är ännu inte klarlagda.</w:t>
      </w:r>
    </w:p>
    <w:p w14:paraId="0AF5C9EB" w14:textId="77777777" w:rsidR="00620ABA" w:rsidRPr="000E7AE9" w:rsidRDefault="00620ABA" w:rsidP="00463647">
      <w:pPr>
        <w:widowControl w:val="0"/>
        <w:spacing w:line="240" w:lineRule="auto"/>
        <w:rPr>
          <w:bCs/>
          <w:color w:val="000000"/>
          <w:szCs w:val="22"/>
          <w:lang w:val="sv-SE"/>
        </w:rPr>
      </w:pPr>
    </w:p>
    <w:p w14:paraId="124FE296" w14:textId="77777777" w:rsidR="00620ABA" w:rsidRDefault="00620ABA" w:rsidP="00463647">
      <w:pPr>
        <w:widowControl w:val="0"/>
        <w:spacing w:line="240" w:lineRule="auto"/>
        <w:rPr>
          <w:bCs/>
          <w:color w:val="000000"/>
          <w:szCs w:val="22"/>
          <w:lang w:val="sv-SE"/>
        </w:rPr>
      </w:pPr>
      <w:r w:rsidRPr="000E7AE9">
        <w:rPr>
          <w:bCs/>
          <w:color w:val="000000"/>
          <w:szCs w:val="22"/>
          <w:lang w:val="sv-SE"/>
        </w:rPr>
        <w:t>Icke-neoplastiska förändringar som inte identifierats i tidigare prekliniska studier var i det kardiovaskulära systemet, bukspottkörtel, endokrina organ och tänder. De viktigaste förändringarna innefattade hjärthypertrofi och dilatation, vilket hos vissa djur gav symptom på hjärtinsufficiens.</w:t>
      </w:r>
    </w:p>
    <w:p w14:paraId="1DB46066" w14:textId="77777777" w:rsidR="00717594" w:rsidRDefault="00717594" w:rsidP="00463647">
      <w:pPr>
        <w:widowControl w:val="0"/>
        <w:spacing w:line="240" w:lineRule="auto"/>
        <w:rPr>
          <w:bCs/>
          <w:color w:val="000000"/>
          <w:szCs w:val="22"/>
          <w:lang w:val="sv-SE"/>
        </w:rPr>
      </w:pPr>
    </w:p>
    <w:p w14:paraId="2BE2DC9B" w14:textId="77777777" w:rsidR="00717594" w:rsidRPr="000E7AE9" w:rsidRDefault="00717594" w:rsidP="00463647">
      <w:pPr>
        <w:pStyle w:val="EndnoteText"/>
        <w:widowControl w:val="0"/>
        <w:tabs>
          <w:tab w:val="clear" w:pos="567"/>
        </w:tabs>
        <w:rPr>
          <w:color w:val="000000"/>
          <w:szCs w:val="22"/>
          <w:lang w:val="sv-SE"/>
        </w:rPr>
      </w:pPr>
      <w:r>
        <w:rPr>
          <w:color w:val="000000"/>
          <w:szCs w:val="22"/>
          <w:lang w:val="sv-SE"/>
        </w:rPr>
        <w:t>Den aktiva substansen imatinib uppvisar en miljörisk hos sedimentorganismer.</w:t>
      </w:r>
    </w:p>
    <w:p w14:paraId="3935FEF3" w14:textId="77777777" w:rsidR="00620ABA" w:rsidRPr="000E7AE9" w:rsidRDefault="00620ABA" w:rsidP="00463647">
      <w:pPr>
        <w:widowControl w:val="0"/>
        <w:spacing w:line="240" w:lineRule="auto"/>
        <w:rPr>
          <w:color w:val="000000"/>
          <w:szCs w:val="22"/>
          <w:lang w:val="sv-SE"/>
        </w:rPr>
      </w:pPr>
    </w:p>
    <w:p w14:paraId="6782858B" w14:textId="77777777" w:rsidR="00620ABA" w:rsidRPr="000E7AE9" w:rsidRDefault="00620ABA" w:rsidP="00463647">
      <w:pPr>
        <w:pStyle w:val="EndnoteText"/>
        <w:widowControl w:val="0"/>
        <w:tabs>
          <w:tab w:val="clear" w:pos="567"/>
        </w:tabs>
        <w:rPr>
          <w:color w:val="000000"/>
          <w:szCs w:val="22"/>
          <w:lang w:val="sv-SE"/>
        </w:rPr>
      </w:pPr>
    </w:p>
    <w:p w14:paraId="154A1A76"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6.</w:t>
      </w:r>
      <w:r w:rsidRPr="000E7AE9">
        <w:rPr>
          <w:noProof w:val="0"/>
          <w:color w:val="000000"/>
          <w:szCs w:val="22"/>
          <w:lang w:val="sv-SE"/>
        </w:rPr>
        <w:tab/>
        <w:t>FARMACEUTISKA UPPGIFTER</w:t>
      </w:r>
    </w:p>
    <w:p w14:paraId="56E5E919" w14:textId="77777777" w:rsidR="00620ABA" w:rsidRPr="000E7AE9" w:rsidRDefault="00620ABA" w:rsidP="00463647">
      <w:pPr>
        <w:pStyle w:val="EndnoteText"/>
        <w:widowControl w:val="0"/>
        <w:tabs>
          <w:tab w:val="clear" w:pos="567"/>
        </w:tabs>
        <w:rPr>
          <w:color w:val="000000"/>
          <w:szCs w:val="22"/>
          <w:lang w:val="sv-SE"/>
        </w:rPr>
      </w:pPr>
    </w:p>
    <w:p w14:paraId="4D2C41D1" w14:textId="77777777" w:rsidR="00620ABA" w:rsidRPr="000E7AE9" w:rsidRDefault="00620ABA" w:rsidP="00463647">
      <w:pPr>
        <w:pStyle w:val="Heading4"/>
        <w:widowControl w:val="0"/>
        <w:spacing w:line="240" w:lineRule="auto"/>
        <w:rPr>
          <w:noProof w:val="0"/>
          <w:color w:val="000000"/>
          <w:szCs w:val="22"/>
          <w:lang w:val="sv-SE"/>
        </w:rPr>
      </w:pPr>
      <w:r w:rsidRPr="000E7AE9">
        <w:rPr>
          <w:noProof w:val="0"/>
          <w:color w:val="000000"/>
          <w:szCs w:val="22"/>
          <w:lang w:val="sv-SE"/>
        </w:rPr>
        <w:t>6.1</w:t>
      </w:r>
      <w:r w:rsidRPr="000E7AE9">
        <w:rPr>
          <w:noProof w:val="0"/>
          <w:color w:val="000000"/>
          <w:szCs w:val="22"/>
          <w:lang w:val="sv-SE"/>
        </w:rPr>
        <w:tab/>
        <w:t>Förteckning över hjälpämnen</w:t>
      </w:r>
    </w:p>
    <w:p w14:paraId="35E5D1AF" w14:textId="77777777" w:rsidR="00620ABA" w:rsidRPr="000E7AE9" w:rsidRDefault="00620ABA" w:rsidP="00463647">
      <w:pPr>
        <w:keepNext/>
        <w:widowControl w:val="0"/>
        <w:tabs>
          <w:tab w:val="clear" w:pos="567"/>
        </w:tabs>
        <w:spacing w:line="240" w:lineRule="auto"/>
        <w:rPr>
          <w:color w:val="000000"/>
          <w:szCs w:val="22"/>
          <w:lang w:val="sv-SE"/>
        </w:rPr>
      </w:pPr>
    </w:p>
    <w:p w14:paraId="2F6B7F00" w14:textId="77777777" w:rsidR="002D12D6" w:rsidRPr="000E7AE9" w:rsidRDefault="002D12D6" w:rsidP="00463647">
      <w:pPr>
        <w:pStyle w:val="EndnoteText"/>
        <w:keepNext/>
        <w:widowControl w:val="0"/>
        <w:tabs>
          <w:tab w:val="clear" w:pos="567"/>
          <w:tab w:val="left" w:pos="2268"/>
        </w:tabs>
        <w:rPr>
          <w:color w:val="000000"/>
          <w:szCs w:val="22"/>
          <w:lang w:val="sv-SE"/>
        </w:rPr>
      </w:pPr>
      <w:r w:rsidRPr="000E7AE9">
        <w:rPr>
          <w:color w:val="000000"/>
          <w:szCs w:val="22"/>
          <w:lang w:val="sv-SE"/>
        </w:rPr>
        <w:t>Kapseln innehåller:</w:t>
      </w:r>
      <w:r w:rsidRPr="000E7AE9">
        <w:rPr>
          <w:color w:val="000000"/>
          <w:szCs w:val="22"/>
          <w:lang w:val="sv-SE"/>
        </w:rPr>
        <w:tab/>
        <w:t>Mikrokristallin cellulosa</w:t>
      </w:r>
    </w:p>
    <w:p w14:paraId="49F3E71C" w14:textId="77777777" w:rsidR="002D12D6" w:rsidRPr="000E7AE9" w:rsidRDefault="002D12D6" w:rsidP="00463647">
      <w:pPr>
        <w:keepNext/>
        <w:widowControl w:val="0"/>
        <w:tabs>
          <w:tab w:val="clear" w:pos="567"/>
        </w:tabs>
        <w:spacing w:line="240" w:lineRule="auto"/>
        <w:ind w:left="2268"/>
        <w:rPr>
          <w:color w:val="000000"/>
          <w:szCs w:val="22"/>
          <w:lang w:val="sv-SE"/>
        </w:rPr>
      </w:pPr>
      <w:r w:rsidRPr="000E7AE9">
        <w:rPr>
          <w:color w:val="000000"/>
          <w:szCs w:val="22"/>
          <w:lang w:val="sv-SE"/>
        </w:rPr>
        <w:t>Krospovidon</w:t>
      </w:r>
    </w:p>
    <w:p w14:paraId="2CF5FB49" w14:textId="77777777" w:rsidR="002D12D6" w:rsidRPr="000E7AE9" w:rsidRDefault="002D12D6" w:rsidP="00463647">
      <w:pPr>
        <w:keepNext/>
        <w:widowControl w:val="0"/>
        <w:tabs>
          <w:tab w:val="clear" w:pos="567"/>
        </w:tabs>
        <w:spacing w:line="240" w:lineRule="auto"/>
        <w:ind w:left="2268"/>
        <w:rPr>
          <w:color w:val="000000"/>
          <w:szCs w:val="22"/>
          <w:lang w:val="sv-SE"/>
        </w:rPr>
      </w:pPr>
      <w:r w:rsidRPr="000E7AE9">
        <w:rPr>
          <w:color w:val="000000"/>
          <w:szCs w:val="22"/>
          <w:lang w:val="sv-SE"/>
        </w:rPr>
        <w:t>Magnesiumstearat</w:t>
      </w:r>
    </w:p>
    <w:p w14:paraId="73B5D863" w14:textId="77777777" w:rsidR="002D12D6" w:rsidRPr="000E7AE9" w:rsidRDefault="002D12D6" w:rsidP="00463647">
      <w:pPr>
        <w:widowControl w:val="0"/>
        <w:tabs>
          <w:tab w:val="clear" w:pos="567"/>
        </w:tabs>
        <w:spacing w:line="240" w:lineRule="auto"/>
        <w:ind w:left="2268"/>
        <w:rPr>
          <w:color w:val="000000"/>
          <w:szCs w:val="22"/>
          <w:lang w:val="sv-SE"/>
        </w:rPr>
      </w:pPr>
      <w:r w:rsidRPr="000E7AE9">
        <w:rPr>
          <w:color w:val="000000"/>
          <w:szCs w:val="22"/>
          <w:lang w:val="sv-SE"/>
        </w:rPr>
        <w:t>Vattenfri kolloidal kiseldioxid</w:t>
      </w:r>
    </w:p>
    <w:p w14:paraId="223B4900" w14:textId="77777777" w:rsidR="002D12D6" w:rsidRPr="000E7AE9" w:rsidRDefault="002D12D6" w:rsidP="00463647">
      <w:pPr>
        <w:pStyle w:val="EndnoteText"/>
        <w:widowControl w:val="0"/>
        <w:tabs>
          <w:tab w:val="clear" w:pos="567"/>
        </w:tabs>
        <w:rPr>
          <w:color w:val="000000"/>
          <w:szCs w:val="22"/>
          <w:lang w:val="sv-SE"/>
        </w:rPr>
      </w:pPr>
    </w:p>
    <w:p w14:paraId="576C425D" w14:textId="77777777" w:rsidR="002D12D6" w:rsidRPr="000E7AE9" w:rsidRDefault="002D12D6" w:rsidP="00463647">
      <w:pPr>
        <w:keepNext/>
        <w:widowControl w:val="0"/>
        <w:tabs>
          <w:tab w:val="clear" w:pos="567"/>
        </w:tabs>
        <w:spacing w:line="240" w:lineRule="auto"/>
        <w:ind w:left="2268" w:hanging="2268"/>
        <w:rPr>
          <w:color w:val="000000"/>
          <w:szCs w:val="22"/>
          <w:lang w:val="sv-SE"/>
        </w:rPr>
      </w:pPr>
      <w:r w:rsidRPr="000E7AE9">
        <w:rPr>
          <w:color w:val="000000"/>
          <w:szCs w:val="22"/>
          <w:lang w:val="sv-SE"/>
        </w:rPr>
        <w:t>Kapselskal:</w:t>
      </w:r>
      <w:r w:rsidRPr="000E7AE9">
        <w:rPr>
          <w:color w:val="000000"/>
          <w:szCs w:val="22"/>
          <w:lang w:val="sv-SE"/>
        </w:rPr>
        <w:tab/>
        <w:t>Gelatin</w:t>
      </w:r>
    </w:p>
    <w:p w14:paraId="6F3AE0EB" w14:textId="77777777" w:rsidR="002D12D6" w:rsidRPr="003A5CA4" w:rsidRDefault="002D12D6" w:rsidP="00463647">
      <w:pPr>
        <w:keepNext/>
        <w:widowControl w:val="0"/>
        <w:tabs>
          <w:tab w:val="clear" w:pos="567"/>
        </w:tabs>
        <w:spacing w:line="240" w:lineRule="auto"/>
        <w:ind w:left="2268"/>
        <w:rPr>
          <w:color w:val="000000"/>
          <w:szCs w:val="22"/>
          <w:lang w:val="sv-SE"/>
        </w:rPr>
      </w:pPr>
      <w:r w:rsidRPr="003A5CA4">
        <w:rPr>
          <w:color w:val="000000"/>
          <w:szCs w:val="22"/>
          <w:lang w:val="sv-SE"/>
        </w:rPr>
        <w:t>Järnoxid, röd (E172)</w:t>
      </w:r>
    </w:p>
    <w:p w14:paraId="40D3903B" w14:textId="77777777" w:rsidR="002D12D6" w:rsidRPr="007C7ADA" w:rsidRDefault="002D12D6" w:rsidP="00463647">
      <w:pPr>
        <w:keepNext/>
        <w:widowControl w:val="0"/>
        <w:tabs>
          <w:tab w:val="clear" w:pos="567"/>
        </w:tabs>
        <w:spacing w:line="240" w:lineRule="auto"/>
        <w:ind w:left="2268"/>
        <w:rPr>
          <w:color w:val="000000"/>
          <w:szCs w:val="22"/>
          <w:lang w:val="it-IT"/>
        </w:rPr>
      </w:pPr>
      <w:r w:rsidRPr="007C7ADA">
        <w:rPr>
          <w:color w:val="000000"/>
          <w:szCs w:val="22"/>
          <w:lang w:val="it-IT"/>
        </w:rPr>
        <w:t>Järnoxid, gul (E172)</w:t>
      </w:r>
    </w:p>
    <w:p w14:paraId="0F5100D4" w14:textId="77777777" w:rsidR="002D12D6" w:rsidRPr="007C7ADA" w:rsidRDefault="002D12D6" w:rsidP="00463647">
      <w:pPr>
        <w:widowControl w:val="0"/>
        <w:tabs>
          <w:tab w:val="clear" w:pos="567"/>
        </w:tabs>
        <w:spacing w:line="240" w:lineRule="auto"/>
        <w:ind w:left="2268"/>
        <w:rPr>
          <w:color w:val="000000"/>
          <w:szCs w:val="22"/>
          <w:lang w:val="it-IT"/>
        </w:rPr>
      </w:pPr>
      <w:r w:rsidRPr="007C7ADA">
        <w:rPr>
          <w:color w:val="000000"/>
          <w:szCs w:val="22"/>
          <w:lang w:val="it-IT"/>
        </w:rPr>
        <w:t>Titandioxid (E171)</w:t>
      </w:r>
    </w:p>
    <w:p w14:paraId="31996CE1" w14:textId="77777777" w:rsidR="002D12D6" w:rsidRPr="007C7ADA" w:rsidRDefault="002D12D6" w:rsidP="00463647">
      <w:pPr>
        <w:widowControl w:val="0"/>
        <w:tabs>
          <w:tab w:val="clear" w:pos="567"/>
        </w:tabs>
        <w:spacing w:line="240" w:lineRule="auto"/>
        <w:rPr>
          <w:color w:val="000000"/>
          <w:szCs w:val="22"/>
          <w:lang w:val="it-IT"/>
        </w:rPr>
      </w:pPr>
    </w:p>
    <w:p w14:paraId="65F2BF7D" w14:textId="77777777" w:rsidR="002D12D6" w:rsidRPr="000E7AE9" w:rsidRDefault="002D12D6" w:rsidP="00463647">
      <w:pPr>
        <w:keepNext/>
        <w:widowControl w:val="0"/>
        <w:tabs>
          <w:tab w:val="clear" w:pos="567"/>
        </w:tabs>
        <w:spacing w:line="240" w:lineRule="auto"/>
        <w:ind w:left="2268" w:hanging="2268"/>
        <w:rPr>
          <w:color w:val="000000"/>
          <w:szCs w:val="22"/>
          <w:lang w:val="sv-SE"/>
        </w:rPr>
      </w:pPr>
      <w:r w:rsidRPr="000E7AE9">
        <w:rPr>
          <w:color w:val="000000"/>
          <w:szCs w:val="22"/>
          <w:lang w:val="sv-SE"/>
        </w:rPr>
        <w:t>Trycksvärta:</w:t>
      </w:r>
      <w:r w:rsidRPr="000E7AE9">
        <w:rPr>
          <w:color w:val="000000"/>
          <w:szCs w:val="22"/>
          <w:lang w:val="sv-SE"/>
        </w:rPr>
        <w:tab/>
        <w:t>Järnoxid, röd (E172)</w:t>
      </w:r>
    </w:p>
    <w:p w14:paraId="2CA910C1" w14:textId="77777777" w:rsidR="002D12D6" w:rsidRPr="000E7AE9" w:rsidRDefault="002D12D6" w:rsidP="00463647">
      <w:pPr>
        <w:widowControl w:val="0"/>
        <w:tabs>
          <w:tab w:val="clear" w:pos="567"/>
        </w:tabs>
        <w:spacing w:line="240" w:lineRule="auto"/>
        <w:ind w:left="2268"/>
        <w:rPr>
          <w:color w:val="000000"/>
          <w:szCs w:val="22"/>
          <w:lang w:val="sv-SE"/>
        </w:rPr>
      </w:pPr>
      <w:r w:rsidRPr="000E7AE9">
        <w:rPr>
          <w:color w:val="000000"/>
          <w:szCs w:val="22"/>
          <w:lang w:val="sv-SE"/>
        </w:rPr>
        <w:t>Shellack</w:t>
      </w:r>
    </w:p>
    <w:p w14:paraId="6CF476A1" w14:textId="77777777" w:rsidR="002D12D6" w:rsidRPr="000E7AE9" w:rsidRDefault="002D12D6" w:rsidP="00463647">
      <w:pPr>
        <w:widowControl w:val="0"/>
        <w:tabs>
          <w:tab w:val="clear" w:pos="567"/>
        </w:tabs>
        <w:spacing w:line="240" w:lineRule="auto"/>
        <w:rPr>
          <w:color w:val="000000"/>
          <w:szCs w:val="22"/>
          <w:lang w:val="sv-SE"/>
        </w:rPr>
      </w:pPr>
    </w:p>
    <w:p w14:paraId="7977F95E" w14:textId="77777777" w:rsidR="00620ABA" w:rsidRPr="000E7AE9" w:rsidRDefault="00620ABA" w:rsidP="00463647">
      <w:pPr>
        <w:keepNext/>
        <w:widowControl w:val="0"/>
        <w:tabs>
          <w:tab w:val="clear" w:pos="567"/>
        </w:tabs>
        <w:spacing w:line="240" w:lineRule="auto"/>
        <w:ind w:left="567" w:hanging="567"/>
        <w:rPr>
          <w:color w:val="000000"/>
          <w:szCs w:val="22"/>
          <w:lang w:val="sv-SE"/>
        </w:rPr>
      </w:pPr>
      <w:r w:rsidRPr="000E7AE9">
        <w:rPr>
          <w:b/>
          <w:color w:val="000000"/>
          <w:szCs w:val="22"/>
          <w:lang w:val="sv-SE"/>
        </w:rPr>
        <w:t>6.2</w:t>
      </w:r>
      <w:r w:rsidRPr="000E7AE9">
        <w:rPr>
          <w:b/>
          <w:color w:val="000000"/>
          <w:szCs w:val="22"/>
          <w:lang w:val="sv-SE"/>
        </w:rPr>
        <w:tab/>
        <w:t>Inkompatibiliteter</w:t>
      </w:r>
    </w:p>
    <w:p w14:paraId="0AA68729" w14:textId="77777777" w:rsidR="00620ABA" w:rsidRPr="000E7AE9" w:rsidRDefault="00620ABA" w:rsidP="00463647">
      <w:pPr>
        <w:keepNext/>
        <w:widowControl w:val="0"/>
        <w:tabs>
          <w:tab w:val="clear" w:pos="567"/>
        </w:tabs>
        <w:spacing w:line="240" w:lineRule="auto"/>
        <w:rPr>
          <w:color w:val="000000"/>
          <w:szCs w:val="22"/>
          <w:lang w:val="sv-SE"/>
        </w:rPr>
      </w:pPr>
    </w:p>
    <w:p w14:paraId="319BD4AF" w14:textId="77777777" w:rsidR="00620ABA" w:rsidRPr="000E7AE9" w:rsidRDefault="00620ABA" w:rsidP="00463647">
      <w:pPr>
        <w:widowControl w:val="0"/>
        <w:tabs>
          <w:tab w:val="clear" w:pos="567"/>
        </w:tabs>
        <w:spacing w:line="240" w:lineRule="auto"/>
        <w:rPr>
          <w:color w:val="000000"/>
          <w:szCs w:val="22"/>
          <w:lang w:val="sv-SE"/>
        </w:rPr>
      </w:pPr>
      <w:r w:rsidRPr="000E7AE9">
        <w:rPr>
          <w:color w:val="000000"/>
          <w:szCs w:val="22"/>
          <w:lang w:val="sv-SE"/>
        </w:rPr>
        <w:t>Ej relevant.</w:t>
      </w:r>
    </w:p>
    <w:p w14:paraId="423B1E88" w14:textId="77777777" w:rsidR="00620ABA" w:rsidRPr="000E7AE9" w:rsidRDefault="00620ABA" w:rsidP="00463647">
      <w:pPr>
        <w:pStyle w:val="EndnoteText"/>
        <w:widowControl w:val="0"/>
        <w:tabs>
          <w:tab w:val="clear" w:pos="567"/>
        </w:tabs>
        <w:rPr>
          <w:color w:val="000000"/>
          <w:szCs w:val="22"/>
          <w:lang w:val="sv-SE"/>
        </w:rPr>
      </w:pPr>
    </w:p>
    <w:p w14:paraId="710F22E4" w14:textId="77777777" w:rsidR="00620ABA" w:rsidRPr="000E7AE9" w:rsidRDefault="00620ABA" w:rsidP="00463647">
      <w:pPr>
        <w:keepNext/>
        <w:widowControl w:val="0"/>
        <w:tabs>
          <w:tab w:val="clear" w:pos="567"/>
        </w:tabs>
        <w:spacing w:line="240" w:lineRule="auto"/>
        <w:ind w:left="567" w:hanging="567"/>
        <w:rPr>
          <w:color w:val="000000"/>
          <w:szCs w:val="22"/>
          <w:lang w:val="sv-SE"/>
        </w:rPr>
      </w:pPr>
      <w:r w:rsidRPr="000E7AE9">
        <w:rPr>
          <w:b/>
          <w:color w:val="000000"/>
          <w:szCs w:val="22"/>
          <w:lang w:val="sv-SE"/>
        </w:rPr>
        <w:t>6.3</w:t>
      </w:r>
      <w:r w:rsidRPr="000E7AE9">
        <w:rPr>
          <w:b/>
          <w:color w:val="000000"/>
          <w:szCs w:val="22"/>
          <w:lang w:val="sv-SE"/>
        </w:rPr>
        <w:tab/>
        <w:t>Hållbarhet</w:t>
      </w:r>
    </w:p>
    <w:p w14:paraId="6CBA7CB6" w14:textId="77777777" w:rsidR="00620ABA" w:rsidRPr="000E7AE9" w:rsidRDefault="00620ABA" w:rsidP="00463647">
      <w:pPr>
        <w:keepNext/>
        <w:widowControl w:val="0"/>
        <w:tabs>
          <w:tab w:val="clear" w:pos="567"/>
        </w:tabs>
        <w:spacing w:line="240" w:lineRule="auto"/>
        <w:rPr>
          <w:color w:val="000000"/>
          <w:szCs w:val="22"/>
          <w:lang w:val="sv-SE"/>
        </w:rPr>
      </w:pPr>
    </w:p>
    <w:p w14:paraId="494F43EF"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2 år</w:t>
      </w:r>
    </w:p>
    <w:p w14:paraId="00EDFE5F" w14:textId="77777777" w:rsidR="00620ABA" w:rsidRPr="000E7AE9" w:rsidRDefault="00620ABA" w:rsidP="00463647">
      <w:pPr>
        <w:pStyle w:val="EndnoteText"/>
        <w:widowControl w:val="0"/>
        <w:tabs>
          <w:tab w:val="clear" w:pos="567"/>
        </w:tabs>
        <w:rPr>
          <w:color w:val="000000"/>
          <w:szCs w:val="22"/>
          <w:lang w:val="sv-SE"/>
        </w:rPr>
      </w:pPr>
    </w:p>
    <w:p w14:paraId="45442E1F" w14:textId="77777777" w:rsidR="00620ABA" w:rsidRPr="000E7AE9" w:rsidRDefault="00620ABA" w:rsidP="00463647">
      <w:pPr>
        <w:keepNext/>
        <w:widowControl w:val="0"/>
        <w:tabs>
          <w:tab w:val="clear" w:pos="567"/>
        </w:tabs>
        <w:spacing w:line="240" w:lineRule="auto"/>
        <w:ind w:left="567" w:hanging="567"/>
        <w:rPr>
          <w:color w:val="000000"/>
          <w:szCs w:val="22"/>
          <w:lang w:val="sv-SE"/>
        </w:rPr>
      </w:pPr>
      <w:r w:rsidRPr="000E7AE9">
        <w:rPr>
          <w:b/>
          <w:color w:val="000000"/>
          <w:szCs w:val="22"/>
          <w:lang w:val="sv-SE"/>
        </w:rPr>
        <w:t>6.4</w:t>
      </w:r>
      <w:r w:rsidRPr="000E7AE9">
        <w:rPr>
          <w:b/>
          <w:color w:val="000000"/>
          <w:szCs w:val="22"/>
          <w:lang w:val="sv-SE"/>
        </w:rPr>
        <w:tab/>
        <w:t>Särskilda förvaringsanvisningar</w:t>
      </w:r>
    </w:p>
    <w:p w14:paraId="63AA2A29" w14:textId="77777777" w:rsidR="00620ABA" w:rsidRPr="000E7AE9" w:rsidRDefault="00620ABA" w:rsidP="00463647">
      <w:pPr>
        <w:keepNext/>
        <w:widowControl w:val="0"/>
        <w:tabs>
          <w:tab w:val="clear" w:pos="567"/>
        </w:tabs>
        <w:spacing w:line="240" w:lineRule="auto"/>
        <w:rPr>
          <w:color w:val="000000"/>
          <w:szCs w:val="22"/>
          <w:lang w:val="sv-SE"/>
        </w:rPr>
      </w:pPr>
    </w:p>
    <w:p w14:paraId="12205677" w14:textId="77777777" w:rsidR="00620ABA" w:rsidRPr="000E7AE9" w:rsidRDefault="00620ABA" w:rsidP="00463647">
      <w:pPr>
        <w:widowControl w:val="0"/>
        <w:tabs>
          <w:tab w:val="clear" w:pos="567"/>
        </w:tabs>
        <w:spacing w:line="240" w:lineRule="auto"/>
        <w:rPr>
          <w:color w:val="000000"/>
          <w:szCs w:val="22"/>
          <w:lang w:val="sv-SE"/>
        </w:rPr>
      </w:pPr>
      <w:r w:rsidRPr="000E7AE9">
        <w:rPr>
          <w:color w:val="000000"/>
          <w:szCs w:val="22"/>
          <w:lang w:val="sv-SE"/>
        </w:rPr>
        <w:t>Förvaras vid högst 30 </w:t>
      </w:r>
      <w:r w:rsidRPr="000E7AE9">
        <w:rPr>
          <w:color w:val="000000"/>
          <w:szCs w:val="22"/>
          <w:lang w:val="sv-SE"/>
        </w:rPr>
        <w:sym w:font="Symbol" w:char="F0B0"/>
      </w:r>
      <w:r w:rsidRPr="000E7AE9">
        <w:rPr>
          <w:color w:val="000000"/>
          <w:szCs w:val="22"/>
          <w:lang w:val="sv-SE"/>
        </w:rPr>
        <w:t>C.</w:t>
      </w:r>
    </w:p>
    <w:p w14:paraId="7DA1D876" w14:textId="77777777" w:rsidR="00620ABA" w:rsidRPr="000E7AE9" w:rsidRDefault="00620ABA" w:rsidP="00463647">
      <w:pPr>
        <w:widowControl w:val="0"/>
        <w:tabs>
          <w:tab w:val="clear" w:pos="567"/>
        </w:tabs>
        <w:spacing w:line="240" w:lineRule="auto"/>
        <w:rPr>
          <w:color w:val="000000"/>
          <w:szCs w:val="22"/>
          <w:lang w:val="sv-SE"/>
        </w:rPr>
      </w:pPr>
    </w:p>
    <w:p w14:paraId="44FA20C7" w14:textId="77777777" w:rsidR="00620ABA" w:rsidRPr="000E7AE9" w:rsidRDefault="00620ABA" w:rsidP="00463647">
      <w:pPr>
        <w:widowControl w:val="0"/>
        <w:tabs>
          <w:tab w:val="clear" w:pos="567"/>
        </w:tabs>
        <w:spacing w:line="240" w:lineRule="auto"/>
        <w:rPr>
          <w:color w:val="000000"/>
          <w:szCs w:val="22"/>
          <w:lang w:val="sv-SE"/>
        </w:rPr>
      </w:pPr>
      <w:r w:rsidRPr="000E7AE9">
        <w:rPr>
          <w:color w:val="000000"/>
          <w:szCs w:val="22"/>
          <w:lang w:val="sv-SE"/>
        </w:rPr>
        <w:t>Förvaras i originalförpackningen. Fuktkänsligt.</w:t>
      </w:r>
    </w:p>
    <w:p w14:paraId="4AC83A26" w14:textId="77777777" w:rsidR="00620ABA" w:rsidRPr="000E7AE9" w:rsidRDefault="00620ABA" w:rsidP="00463647">
      <w:pPr>
        <w:widowControl w:val="0"/>
        <w:tabs>
          <w:tab w:val="clear" w:pos="567"/>
        </w:tabs>
        <w:spacing w:line="240" w:lineRule="auto"/>
        <w:rPr>
          <w:color w:val="000000"/>
          <w:szCs w:val="22"/>
          <w:lang w:val="sv-SE"/>
        </w:rPr>
      </w:pPr>
    </w:p>
    <w:p w14:paraId="7E6BA50F" w14:textId="77777777" w:rsidR="00620ABA" w:rsidRPr="000E7AE9" w:rsidRDefault="00620ABA" w:rsidP="00463647">
      <w:pPr>
        <w:keepNext/>
        <w:widowControl w:val="0"/>
        <w:tabs>
          <w:tab w:val="clear" w:pos="567"/>
        </w:tabs>
        <w:spacing w:line="240" w:lineRule="auto"/>
        <w:ind w:left="567" w:hanging="567"/>
        <w:rPr>
          <w:b/>
          <w:color w:val="000000"/>
          <w:szCs w:val="22"/>
          <w:lang w:val="sv-SE"/>
        </w:rPr>
      </w:pPr>
      <w:r w:rsidRPr="000E7AE9">
        <w:rPr>
          <w:b/>
          <w:color w:val="000000"/>
          <w:szCs w:val="22"/>
          <w:lang w:val="sv-SE"/>
        </w:rPr>
        <w:t>6.5</w:t>
      </w:r>
      <w:r w:rsidRPr="000E7AE9">
        <w:rPr>
          <w:b/>
          <w:color w:val="000000"/>
          <w:szCs w:val="22"/>
          <w:lang w:val="sv-SE"/>
        </w:rPr>
        <w:tab/>
        <w:t>Förpackningstyp och innehåll</w:t>
      </w:r>
    </w:p>
    <w:p w14:paraId="02A827D0" w14:textId="77777777" w:rsidR="00620ABA" w:rsidRPr="000E7AE9" w:rsidRDefault="00620ABA" w:rsidP="00463647">
      <w:pPr>
        <w:pStyle w:val="EndnoteText"/>
        <w:keepNext/>
        <w:widowControl w:val="0"/>
        <w:tabs>
          <w:tab w:val="clear" w:pos="567"/>
        </w:tabs>
        <w:rPr>
          <w:color w:val="000000"/>
          <w:szCs w:val="22"/>
          <w:lang w:val="sv-SE"/>
        </w:rPr>
      </w:pPr>
    </w:p>
    <w:p w14:paraId="080C17AE" w14:textId="77777777" w:rsidR="00620ABA" w:rsidRPr="000E7AE9" w:rsidRDefault="00620ABA" w:rsidP="00463647">
      <w:pPr>
        <w:pStyle w:val="EndnoteText"/>
        <w:widowControl w:val="0"/>
        <w:tabs>
          <w:tab w:val="clear" w:pos="567"/>
        </w:tabs>
        <w:rPr>
          <w:color w:val="000000"/>
          <w:szCs w:val="22"/>
          <w:lang w:val="sv-SE"/>
        </w:rPr>
      </w:pPr>
      <w:r w:rsidRPr="000E7AE9">
        <w:rPr>
          <w:color w:val="000000"/>
          <w:szCs w:val="22"/>
          <w:lang w:val="sv-SE"/>
        </w:rPr>
        <w:t>Blister av PVC/aluminium.</w:t>
      </w:r>
    </w:p>
    <w:p w14:paraId="52F51BC5" w14:textId="77777777" w:rsidR="00620ABA" w:rsidRPr="000E7AE9" w:rsidRDefault="00620ABA" w:rsidP="00463647">
      <w:pPr>
        <w:widowControl w:val="0"/>
        <w:tabs>
          <w:tab w:val="clear" w:pos="567"/>
        </w:tabs>
        <w:spacing w:line="240" w:lineRule="auto"/>
        <w:ind w:left="567" w:hanging="567"/>
        <w:rPr>
          <w:color w:val="000000"/>
          <w:szCs w:val="22"/>
          <w:lang w:val="sv-SE"/>
        </w:rPr>
      </w:pPr>
    </w:p>
    <w:p w14:paraId="0DEC5B02" w14:textId="77777777" w:rsidR="00616DA5" w:rsidRPr="003268EC" w:rsidRDefault="00616DA5" w:rsidP="00463647">
      <w:pPr>
        <w:widowControl w:val="0"/>
        <w:tabs>
          <w:tab w:val="clear" w:pos="567"/>
        </w:tabs>
        <w:spacing w:line="240" w:lineRule="auto"/>
        <w:rPr>
          <w:color w:val="000000"/>
          <w:szCs w:val="22"/>
          <w:lang w:val="sv-SE"/>
        </w:rPr>
      </w:pPr>
      <w:r w:rsidRPr="003268EC">
        <w:rPr>
          <w:color w:val="000000"/>
          <w:szCs w:val="22"/>
          <w:lang w:val="sv-SE"/>
        </w:rPr>
        <w:t>Förpackning</w:t>
      </w:r>
      <w:r w:rsidR="007B28F9">
        <w:rPr>
          <w:color w:val="000000"/>
          <w:szCs w:val="22"/>
          <w:lang w:val="sv-SE"/>
        </w:rPr>
        <w:t xml:space="preserve">en innehåller </w:t>
      </w:r>
      <w:r w:rsidRPr="003268EC">
        <w:rPr>
          <w:color w:val="000000"/>
          <w:szCs w:val="22"/>
          <w:lang w:val="sv-SE"/>
        </w:rPr>
        <w:t xml:space="preserve">24, 48, 96, 120 </w:t>
      </w:r>
      <w:r w:rsidR="007B28F9">
        <w:rPr>
          <w:color w:val="000000"/>
          <w:szCs w:val="22"/>
          <w:lang w:val="sv-SE"/>
        </w:rPr>
        <w:t>eller</w:t>
      </w:r>
      <w:r w:rsidRPr="003268EC">
        <w:rPr>
          <w:color w:val="000000"/>
          <w:szCs w:val="22"/>
          <w:lang w:val="sv-SE"/>
        </w:rPr>
        <w:t xml:space="preserve"> 180 kapslar.</w:t>
      </w:r>
    </w:p>
    <w:p w14:paraId="3F6C10B4" w14:textId="77777777" w:rsidR="00616DA5" w:rsidRDefault="00616DA5" w:rsidP="00463647">
      <w:pPr>
        <w:widowControl w:val="0"/>
        <w:tabs>
          <w:tab w:val="clear" w:pos="567"/>
        </w:tabs>
        <w:spacing w:line="240" w:lineRule="auto"/>
        <w:rPr>
          <w:color w:val="000000"/>
          <w:szCs w:val="22"/>
          <w:u w:val="single"/>
          <w:lang w:val="sv-SE"/>
        </w:rPr>
      </w:pPr>
    </w:p>
    <w:p w14:paraId="2FC98CFA" w14:textId="77777777" w:rsidR="00616DA5" w:rsidRPr="000E7AE9" w:rsidRDefault="00616DA5" w:rsidP="00463647">
      <w:pPr>
        <w:pStyle w:val="EndnoteText"/>
        <w:widowControl w:val="0"/>
        <w:tabs>
          <w:tab w:val="clear" w:pos="567"/>
        </w:tabs>
        <w:outlineLvl w:val="0"/>
        <w:rPr>
          <w:color w:val="000000"/>
          <w:szCs w:val="22"/>
          <w:lang w:val="sv-SE"/>
        </w:rPr>
      </w:pPr>
      <w:r>
        <w:rPr>
          <w:color w:val="000000"/>
          <w:szCs w:val="22"/>
          <w:lang w:val="sv-SE"/>
        </w:rPr>
        <w:t xml:space="preserve">Eventuellt kommer inte alla </w:t>
      </w:r>
      <w:r w:rsidRPr="000E7AE9">
        <w:rPr>
          <w:color w:val="000000"/>
          <w:szCs w:val="22"/>
          <w:lang w:val="sv-SE"/>
        </w:rPr>
        <w:t>förpackningsstorlekar att marknadsföras.</w:t>
      </w:r>
    </w:p>
    <w:p w14:paraId="62322683" w14:textId="77777777" w:rsidR="00616DA5" w:rsidRPr="003268EC" w:rsidRDefault="00616DA5" w:rsidP="00463647">
      <w:pPr>
        <w:widowControl w:val="0"/>
        <w:tabs>
          <w:tab w:val="clear" w:pos="567"/>
        </w:tabs>
        <w:spacing w:line="240" w:lineRule="auto"/>
        <w:rPr>
          <w:color w:val="000000"/>
          <w:szCs w:val="22"/>
          <w:u w:val="single"/>
          <w:lang w:val="sv-SE"/>
        </w:rPr>
      </w:pPr>
    </w:p>
    <w:p w14:paraId="38FC6BAC" w14:textId="77777777" w:rsidR="00620ABA" w:rsidRPr="000E7AE9" w:rsidRDefault="00620ABA" w:rsidP="00463647">
      <w:pPr>
        <w:keepNext/>
        <w:widowControl w:val="0"/>
        <w:tabs>
          <w:tab w:val="clear" w:pos="567"/>
        </w:tabs>
        <w:spacing w:line="240" w:lineRule="auto"/>
        <w:ind w:left="567" w:hanging="567"/>
        <w:rPr>
          <w:color w:val="000000"/>
          <w:szCs w:val="22"/>
          <w:lang w:val="sv-SE"/>
        </w:rPr>
      </w:pPr>
      <w:r w:rsidRPr="000E7AE9">
        <w:rPr>
          <w:b/>
          <w:color w:val="000000"/>
          <w:szCs w:val="22"/>
          <w:lang w:val="sv-SE"/>
        </w:rPr>
        <w:lastRenderedPageBreak/>
        <w:t>6.6</w:t>
      </w:r>
      <w:r w:rsidRPr="000E7AE9">
        <w:rPr>
          <w:b/>
          <w:color w:val="000000"/>
          <w:szCs w:val="22"/>
          <w:lang w:val="sv-SE"/>
        </w:rPr>
        <w:tab/>
        <w:t>Särskilda anvisningar för destruktion</w:t>
      </w:r>
    </w:p>
    <w:p w14:paraId="46BB7788" w14:textId="77777777" w:rsidR="00620ABA" w:rsidRPr="000E7AE9" w:rsidRDefault="00620ABA" w:rsidP="00463647">
      <w:pPr>
        <w:pStyle w:val="EndnoteText"/>
        <w:keepNext/>
        <w:widowControl w:val="0"/>
        <w:tabs>
          <w:tab w:val="clear" w:pos="567"/>
        </w:tabs>
        <w:rPr>
          <w:color w:val="000000"/>
          <w:szCs w:val="22"/>
          <w:lang w:val="sv-SE"/>
        </w:rPr>
      </w:pPr>
    </w:p>
    <w:p w14:paraId="20E57247" w14:textId="77777777" w:rsidR="00620ABA" w:rsidRPr="000E7AE9" w:rsidRDefault="00717594" w:rsidP="00463647">
      <w:pPr>
        <w:pStyle w:val="EndnoteText"/>
        <w:widowControl w:val="0"/>
        <w:tabs>
          <w:tab w:val="clear" w:pos="567"/>
        </w:tabs>
        <w:rPr>
          <w:color w:val="000000"/>
          <w:szCs w:val="22"/>
          <w:lang w:val="sv-SE"/>
        </w:rPr>
      </w:pPr>
      <w:r>
        <w:rPr>
          <w:color w:val="000000"/>
          <w:szCs w:val="22"/>
          <w:lang w:val="sv-SE"/>
        </w:rPr>
        <w:t>Ej använt läkemedel och avfall ska kasseras enligt gällande anvisningar.</w:t>
      </w:r>
    </w:p>
    <w:p w14:paraId="1D5DC76A" w14:textId="77777777" w:rsidR="00620ABA" w:rsidRPr="000E7AE9" w:rsidRDefault="00620ABA" w:rsidP="00463647">
      <w:pPr>
        <w:pStyle w:val="EndnoteText"/>
        <w:widowControl w:val="0"/>
        <w:tabs>
          <w:tab w:val="clear" w:pos="567"/>
        </w:tabs>
        <w:rPr>
          <w:color w:val="000000"/>
          <w:szCs w:val="22"/>
          <w:lang w:val="sv-SE"/>
        </w:rPr>
      </w:pPr>
    </w:p>
    <w:p w14:paraId="31B7FB22" w14:textId="77777777" w:rsidR="00620ABA" w:rsidRPr="000E7AE9" w:rsidRDefault="00620ABA" w:rsidP="00463647">
      <w:pPr>
        <w:pStyle w:val="EndnoteText"/>
        <w:widowControl w:val="0"/>
        <w:tabs>
          <w:tab w:val="clear" w:pos="567"/>
        </w:tabs>
        <w:rPr>
          <w:color w:val="000000"/>
          <w:szCs w:val="22"/>
          <w:lang w:val="sv-SE"/>
        </w:rPr>
      </w:pPr>
    </w:p>
    <w:p w14:paraId="7A2A2815" w14:textId="77777777" w:rsidR="00620ABA" w:rsidRPr="000E7AE9" w:rsidRDefault="00620ABA" w:rsidP="00463647">
      <w:pPr>
        <w:keepNext/>
        <w:widowControl w:val="0"/>
        <w:tabs>
          <w:tab w:val="clear" w:pos="567"/>
        </w:tabs>
        <w:spacing w:line="240" w:lineRule="auto"/>
        <w:ind w:left="567" w:hanging="567"/>
        <w:rPr>
          <w:color w:val="000000"/>
          <w:szCs w:val="22"/>
          <w:lang w:val="sv-SE"/>
        </w:rPr>
      </w:pPr>
      <w:r w:rsidRPr="000E7AE9">
        <w:rPr>
          <w:b/>
          <w:color w:val="000000"/>
          <w:szCs w:val="22"/>
          <w:lang w:val="sv-SE"/>
        </w:rPr>
        <w:t>7.</w:t>
      </w:r>
      <w:r w:rsidRPr="000E7AE9">
        <w:rPr>
          <w:b/>
          <w:color w:val="000000"/>
          <w:szCs w:val="22"/>
          <w:lang w:val="sv-SE"/>
        </w:rPr>
        <w:tab/>
        <w:t>INNEHAVARARE AV GODKÄNNANDE FÖR FÖRSÄLJNING</w:t>
      </w:r>
    </w:p>
    <w:p w14:paraId="3E509A93" w14:textId="77777777" w:rsidR="00620ABA" w:rsidRPr="000E7AE9" w:rsidRDefault="00620ABA" w:rsidP="00463647">
      <w:pPr>
        <w:pStyle w:val="EndnoteText"/>
        <w:keepNext/>
        <w:widowControl w:val="0"/>
        <w:tabs>
          <w:tab w:val="clear" w:pos="567"/>
        </w:tabs>
        <w:rPr>
          <w:color w:val="000000"/>
          <w:szCs w:val="22"/>
          <w:lang w:val="sv-SE"/>
        </w:rPr>
      </w:pPr>
    </w:p>
    <w:p w14:paraId="3546D770" w14:textId="77777777" w:rsidR="00620ABA" w:rsidRPr="000E7AE9" w:rsidRDefault="00620ABA" w:rsidP="00463647">
      <w:pPr>
        <w:keepNext/>
        <w:widowControl w:val="0"/>
        <w:tabs>
          <w:tab w:val="clear" w:pos="567"/>
        </w:tabs>
        <w:spacing w:line="240" w:lineRule="auto"/>
        <w:rPr>
          <w:color w:val="000000"/>
          <w:szCs w:val="22"/>
          <w:lang w:val="sv-SE"/>
        </w:rPr>
      </w:pPr>
      <w:r w:rsidRPr="000E7AE9">
        <w:rPr>
          <w:color w:val="000000"/>
          <w:szCs w:val="22"/>
          <w:lang w:val="sv-SE"/>
        </w:rPr>
        <w:t>Novartis Europharm Limited</w:t>
      </w:r>
    </w:p>
    <w:p w14:paraId="79C3BBF3" w14:textId="77777777" w:rsidR="00A57EF9" w:rsidRPr="00644A2E" w:rsidRDefault="00A57EF9" w:rsidP="00463647">
      <w:pPr>
        <w:keepNext/>
        <w:widowControl w:val="0"/>
        <w:spacing w:line="240" w:lineRule="auto"/>
        <w:rPr>
          <w:color w:val="000000"/>
          <w:lang w:val="en-US"/>
        </w:rPr>
      </w:pPr>
      <w:r w:rsidRPr="00644A2E">
        <w:rPr>
          <w:color w:val="000000"/>
          <w:lang w:val="en-US"/>
        </w:rPr>
        <w:t>Vista Building</w:t>
      </w:r>
    </w:p>
    <w:p w14:paraId="650E586E" w14:textId="77777777" w:rsidR="00A57EF9" w:rsidRPr="00EB33FE" w:rsidRDefault="00A57EF9" w:rsidP="00463647">
      <w:pPr>
        <w:keepNext/>
        <w:widowControl w:val="0"/>
        <w:spacing w:line="240" w:lineRule="auto"/>
        <w:rPr>
          <w:color w:val="000000"/>
        </w:rPr>
      </w:pPr>
      <w:r w:rsidRPr="00EB33FE">
        <w:rPr>
          <w:color w:val="000000"/>
        </w:rPr>
        <w:t>Elm Park, Merrion Road</w:t>
      </w:r>
    </w:p>
    <w:p w14:paraId="7263573D" w14:textId="77777777" w:rsidR="00A57EF9" w:rsidRPr="00B10EAC" w:rsidRDefault="00A57EF9" w:rsidP="00463647">
      <w:pPr>
        <w:keepNext/>
        <w:widowControl w:val="0"/>
        <w:spacing w:line="240" w:lineRule="auto"/>
        <w:rPr>
          <w:color w:val="000000"/>
          <w:lang w:val="sv-SE"/>
        </w:rPr>
      </w:pPr>
      <w:r w:rsidRPr="00B10EAC">
        <w:rPr>
          <w:color w:val="000000"/>
          <w:lang w:val="sv-SE"/>
        </w:rPr>
        <w:t>Dublin 4</w:t>
      </w:r>
    </w:p>
    <w:p w14:paraId="6816B2D9" w14:textId="77777777" w:rsidR="00A57EF9" w:rsidRPr="00B10EAC" w:rsidRDefault="00A57EF9" w:rsidP="00463647">
      <w:pPr>
        <w:widowControl w:val="0"/>
        <w:spacing w:line="240" w:lineRule="auto"/>
        <w:rPr>
          <w:color w:val="000000"/>
          <w:lang w:val="sv-SE"/>
        </w:rPr>
      </w:pPr>
      <w:r w:rsidRPr="00B10EAC">
        <w:rPr>
          <w:color w:val="000000"/>
          <w:lang w:val="sv-SE"/>
        </w:rPr>
        <w:t>Irland</w:t>
      </w:r>
    </w:p>
    <w:p w14:paraId="49D81A0E" w14:textId="77777777" w:rsidR="00620ABA" w:rsidRPr="000E7AE9" w:rsidRDefault="00620ABA" w:rsidP="00463647">
      <w:pPr>
        <w:widowControl w:val="0"/>
        <w:tabs>
          <w:tab w:val="clear" w:pos="567"/>
        </w:tabs>
        <w:spacing w:line="240" w:lineRule="auto"/>
        <w:rPr>
          <w:color w:val="000000"/>
          <w:szCs w:val="22"/>
          <w:lang w:val="sv-SE"/>
        </w:rPr>
      </w:pPr>
    </w:p>
    <w:p w14:paraId="026C6228" w14:textId="77777777" w:rsidR="00620ABA" w:rsidRPr="000E7AE9" w:rsidRDefault="00620ABA" w:rsidP="00463647">
      <w:pPr>
        <w:pStyle w:val="EndnoteText"/>
        <w:widowControl w:val="0"/>
        <w:tabs>
          <w:tab w:val="clear" w:pos="567"/>
        </w:tabs>
        <w:rPr>
          <w:color w:val="000000"/>
          <w:szCs w:val="22"/>
          <w:lang w:val="sv-SE"/>
        </w:rPr>
      </w:pPr>
    </w:p>
    <w:p w14:paraId="12FE4E8F" w14:textId="77777777" w:rsidR="00620ABA" w:rsidRPr="000E7AE9" w:rsidRDefault="00620ABA" w:rsidP="00463647">
      <w:pPr>
        <w:pStyle w:val="BodyTextIndent"/>
        <w:keepNext/>
        <w:widowControl w:val="0"/>
        <w:rPr>
          <w:color w:val="000000"/>
          <w:szCs w:val="22"/>
          <w:lang w:val="sv-SE"/>
        </w:rPr>
      </w:pPr>
      <w:r w:rsidRPr="000E7AE9">
        <w:rPr>
          <w:color w:val="000000"/>
          <w:szCs w:val="22"/>
          <w:lang w:val="sv-SE"/>
        </w:rPr>
        <w:t>8.</w:t>
      </w:r>
      <w:r w:rsidRPr="000E7AE9">
        <w:rPr>
          <w:color w:val="000000"/>
          <w:szCs w:val="22"/>
          <w:lang w:val="sv-SE"/>
        </w:rPr>
        <w:tab/>
        <w:t>NUMMER PÅ GODKÄNNANDE FÖR FÖRSÄLJNING</w:t>
      </w:r>
    </w:p>
    <w:p w14:paraId="41187601" w14:textId="77777777" w:rsidR="00620ABA" w:rsidRPr="000E7AE9" w:rsidRDefault="00620ABA" w:rsidP="00463647">
      <w:pPr>
        <w:pStyle w:val="EndnoteText"/>
        <w:keepNext/>
        <w:widowControl w:val="0"/>
        <w:tabs>
          <w:tab w:val="clear" w:pos="567"/>
        </w:tabs>
        <w:rPr>
          <w:color w:val="000000"/>
          <w:szCs w:val="22"/>
          <w:lang w:val="sv-SE"/>
        </w:rPr>
      </w:pPr>
    </w:p>
    <w:p w14:paraId="0517DFFA" w14:textId="77777777" w:rsidR="00616DA5" w:rsidRPr="0040304A" w:rsidRDefault="00616DA5" w:rsidP="00463647">
      <w:pPr>
        <w:pStyle w:val="EndnoteText"/>
        <w:widowControl w:val="0"/>
        <w:tabs>
          <w:tab w:val="clear" w:pos="567"/>
        </w:tabs>
        <w:rPr>
          <w:color w:val="000000"/>
          <w:szCs w:val="22"/>
          <w:lang w:val="sv-SE"/>
        </w:rPr>
      </w:pPr>
      <w:r w:rsidRPr="0040304A">
        <w:rPr>
          <w:color w:val="000000"/>
          <w:szCs w:val="22"/>
          <w:lang w:val="sv-SE"/>
        </w:rPr>
        <w:t>EU/1/01/198/002-006</w:t>
      </w:r>
    </w:p>
    <w:p w14:paraId="7FF83B61" w14:textId="77777777" w:rsidR="003268EC" w:rsidRPr="003268EC" w:rsidRDefault="003268EC" w:rsidP="00463647">
      <w:pPr>
        <w:pStyle w:val="EndnoteText"/>
        <w:widowControl w:val="0"/>
        <w:tabs>
          <w:tab w:val="clear" w:pos="567"/>
        </w:tabs>
        <w:rPr>
          <w:color w:val="000000"/>
          <w:szCs w:val="22"/>
          <w:u w:val="single"/>
          <w:lang w:val="sv-SE"/>
        </w:rPr>
      </w:pPr>
    </w:p>
    <w:p w14:paraId="710AF5F7" w14:textId="77777777" w:rsidR="00620ABA" w:rsidRPr="000E7AE9" w:rsidRDefault="00620ABA" w:rsidP="00463647">
      <w:pPr>
        <w:widowControl w:val="0"/>
        <w:tabs>
          <w:tab w:val="clear" w:pos="567"/>
        </w:tabs>
        <w:spacing w:line="240" w:lineRule="auto"/>
        <w:rPr>
          <w:color w:val="000000"/>
          <w:szCs w:val="22"/>
          <w:lang w:val="sv-SE"/>
        </w:rPr>
      </w:pPr>
    </w:p>
    <w:p w14:paraId="4C8AFD24" w14:textId="77777777" w:rsidR="00620ABA" w:rsidRPr="000E7AE9" w:rsidRDefault="00620ABA" w:rsidP="00463647">
      <w:pPr>
        <w:keepNext/>
        <w:widowControl w:val="0"/>
        <w:tabs>
          <w:tab w:val="clear" w:pos="567"/>
        </w:tabs>
        <w:spacing w:line="240" w:lineRule="auto"/>
        <w:ind w:left="567" w:hanging="567"/>
        <w:rPr>
          <w:b/>
          <w:color w:val="000000"/>
          <w:szCs w:val="22"/>
          <w:lang w:val="sv-SE"/>
        </w:rPr>
      </w:pPr>
      <w:r w:rsidRPr="000E7AE9">
        <w:rPr>
          <w:b/>
          <w:color w:val="000000"/>
          <w:szCs w:val="22"/>
          <w:lang w:val="sv-SE"/>
        </w:rPr>
        <w:t>9.</w:t>
      </w:r>
      <w:r w:rsidRPr="000E7AE9">
        <w:rPr>
          <w:b/>
          <w:color w:val="000000"/>
          <w:szCs w:val="22"/>
          <w:lang w:val="sv-SE"/>
        </w:rPr>
        <w:tab/>
        <w:t>DATUM FÖR FÖRSTA GODKÄNNANDE/FÖRNYAT GODKÄNNANDE</w:t>
      </w:r>
    </w:p>
    <w:p w14:paraId="0B1E2406" w14:textId="77777777" w:rsidR="00620ABA" w:rsidRPr="000E7AE9" w:rsidRDefault="00620ABA" w:rsidP="00463647">
      <w:pPr>
        <w:keepNext/>
        <w:widowControl w:val="0"/>
        <w:suppressAutoHyphens/>
        <w:spacing w:line="240" w:lineRule="auto"/>
        <w:rPr>
          <w:color w:val="000000"/>
          <w:szCs w:val="22"/>
          <w:lang w:val="sv-SE"/>
        </w:rPr>
      </w:pPr>
    </w:p>
    <w:p w14:paraId="1E58BAC5" w14:textId="77777777" w:rsidR="00620ABA" w:rsidRPr="000E7AE9" w:rsidRDefault="00620ABA" w:rsidP="00463647">
      <w:pPr>
        <w:keepNext/>
        <w:widowControl w:val="0"/>
        <w:suppressAutoHyphens/>
        <w:spacing w:line="240" w:lineRule="auto"/>
        <w:rPr>
          <w:color w:val="000000"/>
          <w:szCs w:val="22"/>
          <w:lang w:val="sv-SE"/>
        </w:rPr>
      </w:pPr>
      <w:r w:rsidRPr="000E7AE9">
        <w:rPr>
          <w:color w:val="000000"/>
          <w:szCs w:val="22"/>
          <w:lang w:val="sv-SE"/>
        </w:rPr>
        <w:t xml:space="preserve">Datum för </w:t>
      </w:r>
      <w:r w:rsidR="00606953">
        <w:rPr>
          <w:color w:val="000000"/>
          <w:szCs w:val="22"/>
          <w:lang w:val="sv-SE"/>
        </w:rPr>
        <w:t xml:space="preserve">det </w:t>
      </w:r>
      <w:r w:rsidRPr="000E7AE9">
        <w:rPr>
          <w:color w:val="000000"/>
          <w:szCs w:val="22"/>
          <w:lang w:val="sv-SE"/>
        </w:rPr>
        <w:t>första godkännande</w:t>
      </w:r>
      <w:r w:rsidR="00606953">
        <w:rPr>
          <w:color w:val="000000"/>
          <w:szCs w:val="22"/>
          <w:lang w:val="sv-SE"/>
        </w:rPr>
        <w:t>t</w:t>
      </w:r>
      <w:r w:rsidRPr="000E7AE9">
        <w:rPr>
          <w:color w:val="000000"/>
          <w:szCs w:val="22"/>
          <w:lang w:val="sv-SE"/>
        </w:rPr>
        <w:t>: 07</w:t>
      </w:r>
      <w:r w:rsidR="00AC6853">
        <w:rPr>
          <w:color w:val="000000"/>
          <w:szCs w:val="22"/>
          <w:lang w:val="sv-SE"/>
        </w:rPr>
        <w:t xml:space="preserve"> </w:t>
      </w:r>
      <w:r w:rsidR="00606953">
        <w:rPr>
          <w:color w:val="000000"/>
          <w:szCs w:val="22"/>
          <w:lang w:val="sv-SE"/>
        </w:rPr>
        <w:t>november</w:t>
      </w:r>
      <w:r w:rsidR="00AC6853">
        <w:rPr>
          <w:color w:val="000000"/>
          <w:szCs w:val="22"/>
          <w:lang w:val="sv-SE"/>
        </w:rPr>
        <w:t xml:space="preserve"> </w:t>
      </w:r>
      <w:r w:rsidRPr="000E7AE9">
        <w:rPr>
          <w:color w:val="000000"/>
          <w:szCs w:val="22"/>
          <w:lang w:val="sv-SE"/>
        </w:rPr>
        <w:t>2001</w:t>
      </w:r>
    </w:p>
    <w:p w14:paraId="4D01E112" w14:textId="77777777" w:rsidR="00620ABA" w:rsidRPr="000E7AE9" w:rsidRDefault="00620ABA" w:rsidP="00463647">
      <w:pPr>
        <w:widowControl w:val="0"/>
        <w:suppressAutoHyphens/>
        <w:spacing w:line="240" w:lineRule="auto"/>
        <w:rPr>
          <w:color w:val="000000"/>
          <w:szCs w:val="22"/>
          <w:lang w:val="sv-SE"/>
        </w:rPr>
      </w:pPr>
      <w:r w:rsidRPr="000E7AE9">
        <w:rPr>
          <w:color w:val="000000"/>
          <w:szCs w:val="22"/>
          <w:lang w:val="sv-SE"/>
        </w:rPr>
        <w:t xml:space="preserve">Datum för </w:t>
      </w:r>
      <w:r w:rsidR="00606953">
        <w:rPr>
          <w:color w:val="000000"/>
          <w:szCs w:val="22"/>
          <w:lang w:val="sv-SE"/>
        </w:rPr>
        <w:t>den senaste förnyelsen</w:t>
      </w:r>
      <w:r w:rsidRPr="000E7AE9">
        <w:rPr>
          <w:color w:val="000000"/>
          <w:szCs w:val="22"/>
          <w:lang w:val="sv-SE"/>
        </w:rPr>
        <w:t>: 07</w:t>
      </w:r>
      <w:r w:rsidR="00AC6853">
        <w:rPr>
          <w:color w:val="000000"/>
          <w:szCs w:val="22"/>
          <w:lang w:val="sv-SE"/>
        </w:rPr>
        <w:t xml:space="preserve"> </w:t>
      </w:r>
      <w:r w:rsidR="00606953">
        <w:rPr>
          <w:color w:val="000000"/>
          <w:szCs w:val="22"/>
          <w:lang w:val="sv-SE"/>
        </w:rPr>
        <w:t>november</w:t>
      </w:r>
      <w:r w:rsidR="00AC6853">
        <w:rPr>
          <w:color w:val="000000"/>
          <w:szCs w:val="22"/>
          <w:lang w:val="sv-SE"/>
        </w:rPr>
        <w:t xml:space="preserve"> </w:t>
      </w:r>
      <w:r w:rsidRPr="000E7AE9">
        <w:rPr>
          <w:color w:val="000000"/>
          <w:szCs w:val="22"/>
          <w:lang w:val="sv-SE"/>
        </w:rPr>
        <w:t>2006</w:t>
      </w:r>
    </w:p>
    <w:p w14:paraId="5C2450A5" w14:textId="77777777" w:rsidR="00620ABA" w:rsidRPr="000E7AE9" w:rsidRDefault="00620ABA" w:rsidP="00463647">
      <w:pPr>
        <w:widowControl w:val="0"/>
        <w:tabs>
          <w:tab w:val="clear" w:pos="567"/>
        </w:tabs>
        <w:spacing w:line="240" w:lineRule="auto"/>
        <w:rPr>
          <w:color w:val="000000"/>
          <w:szCs w:val="22"/>
          <w:lang w:val="sv-SE"/>
        </w:rPr>
      </w:pPr>
    </w:p>
    <w:p w14:paraId="7836B35D" w14:textId="77777777" w:rsidR="00620ABA" w:rsidRPr="000E7AE9" w:rsidRDefault="00620ABA" w:rsidP="00463647">
      <w:pPr>
        <w:widowControl w:val="0"/>
        <w:tabs>
          <w:tab w:val="clear" w:pos="567"/>
        </w:tabs>
        <w:spacing w:line="240" w:lineRule="auto"/>
        <w:rPr>
          <w:color w:val="000000"/>
          <w:szCs w:val="22"/>
          <w:lang w:val="sv-SE"/>
        </w:rPr>
      </w:pPr>
    </w:p>
    <w:p w14:paraId="658BE66D" w14:textId="77777777" w:rsidR="00620ABA" w:rsidRDefault="00620ABA" w:rsidP="00463647">
      <w:pPr>
        <w:widowControl w:val="0"/>
        <w:tabs>
          <w:tab w:val="clear" w:pos="567"/>
        </w:tabs>
        <w:spacing w:line="240" w:lineRule="auto"/>
        <w:ind w:left="567" w:hanging="567"/>
        <w:rPr>
          <w:b/>
          <w:color w:val="000000"/>
          <w:szCs w:val="22"/>
          <w:lang w:val="sv-SE"/>
        </w:rPr>
      </w:pPr>
      <w:r w:rsidRPr="000E7AE9">
        <w:rPr>
          <w:b/>
          <w:color w:val="000000"/>
          <w:szCs w:val="22"/>
          <w:lang w:val="sv-SE"/>
        </w:rPr>
        <w:t>10.</w:t>
      </w:r>
      <w:r w:rsidRPr="000E7AE9">
        <w:rPr>
          <w:b/>
          <w:color w:val="000000"/>
          <w:szCs w:val="22"/>
          <w:lang w:val="sv-SE"/>
        </w:rPr>
        <w:tab/>
        <w:t>DATUM FÖR ÖVERSYN AV PRODUKTRESUMÉN</w:t>
      </w:r>
    </w:p>
    <w:p w14:paraId="4313D650" w14:textId="77777777" w:rsidR="001F4642" w:rsidRPr="00681C98" w:rsidRDefault="001F4642" w:rsidP="00463647">
      <w:pPr>
        <w:widowControl w:val="0"/>
        <w:tabs>
          <w:tab w:val="clear" w:pos="567"/>
        </w:tabs>
        <w:spacing w:line="240" w:lineRule="auto"/>
        <w:ind w:left="567" w:hanging="567"/>
        <w:rPr>
          <w:color w:val="000000"/>
          <w:szCs w:val="22"/>
          <w:lang w:val="sv-SE"/>
        </w:rPr>
      </w:pPr>
    </w:p>
    <w:p w14:paraId="6B11986C" w14:textId="77777777" w:rsidR="00681C98" w:rsidRPr="00681C98" w:rsidRDefault="00681C98" w:rsidP="00463647">
      <w:pPr>
        <w:widowControl w:val="0"/>
        <w:tabs>
          <w:tab w:val="clear" w:pos="567"/>
        </w:tabs>
        <w:spacing w:line="240" w:lineRule="auto"/>
        <w:ind w:left="567" w:hanging="567"/>
        <w:rPr>
          <w:color w:val="000000"/>
          <w:szCs w:val="22"/>
          <w:lang w:val="sv-SE"/>
        </w:rPr>
      </w:pPr>
    </w:p>
    <w:p w14:paraId="1D114D84" w14:textId="77777777" w:rsidR="001F4642" w:rsidRPr="001F4642" w:rsidRDefault="00EE3769" w:rsidP="00463647">
      <w:pPr>
        <w:widowControl w:val="0"/>
        <w:tabs>
          <w:tab w:val="clear" w:pos="567"/>
        </w:tabs>
        <w:spacing w:line="240" w:lineRule="auto"/>
        <w:rPr>
          <w:color w:val="000000"/>
          <w:szCs w:val="22"/>
          <w:lang w:val="sv-SE"/>
        </w:rPr>
      </w:pPr>
      <w:r>
        <w:rPr>
          <w:color w:val="000000"/>
          <w:szCs w:val="22"/>
          <w:lang w:val="sv-SE"/>
        </w:rPr>
        <w:t>Ytterligare i</w:t>
      </w:r>
      <w:r w:rsidR="001F4642">
        <w:rPr>
          <w:color w:val="000000"/>
          <w:szCs w:val="22"/>
          <w:lang w:val="sv-SE"/>
        </w:rPr>
        <w:t>nformation om detta läkemedel finns på Europeiska läkemedelsmyndighetens</w:t>
      </w:r>
      <w:r w:rsidR="00681C98">
        <w:rPr>
          <w:color w:val="000000"/>
          <w:szCs w:val="22"/>
          <w:lang w:val="sv-SE"/>
        </w:rPr>
        <w:t xml:space="preserve"> </w:t>
      </w:r>
      <w:r w:rsidR="009E4DA8">
        <w:rPr>
          <w:color w:val="000000"/>
          <w:szCs w:val="22"/>
          <w:lang w:val="sv-SE"/>
        </w:rPr>
        <w:t>webbplats</w:t>
      </w:r>
      <w:r w:rsidR="001F4642">
        <w:rPr>
          <w:color w:val="000000"/>
          <w:szCs w:val="22"/>
          <w:lang w:val="sv-SE"/>
        </w:rPr>
        <w:t xml:space="preserve"> http://www.ema.europa.eu</w:t>
      </w:r>
    </w:p>
    <w:p w14:paraId="3BD7722E" w14:textId="77777777" w:rsidR="00D31E76" w:rsidRPr="000E7AE9" w:rsidRDefault="00D31E76" w:rsidP="00463647">
      <w:pPr>
        <w:widowControl w:val="0"/>
        <w:tabs>
          <w:tab w:val="clear" w:pos="567"/>
        </w:tabs>
        <w:spacing w:line="240" w:lineRule="auto"/>
        <w:ind w:left="567" w:hanging="567"/>
        <w:rPr>
          <w:color w:val="000000"/>
          <w:szCs w:val="22"/>
          <w:lang w:val="sv-SE"/>
        </w:rPr>
      </w:pPr>
    </w:p>
    <w:p w14:paraId="53443583" w14:textId="77777777" w:rsidR="00413182" w:rsidRDefault="00D31E76" w:rsidP="00463647">
      <w:pPr>
        <w:pStyle w:val="Heading4"/>
        <w:widowControl w:val="0"/>
        <w:spacing w:line="240" w:lineRule="auto"/>
        <w:jc w:val="left"/>
        <w:rPr>
          <w:b w:val="0"/>
          <w:szCs w:val="22"/>
          <w:lang w:val="sv-SE"/>
        </w:rPr>
      </w:pPr>
      <w:r w:rsidRPr="000E7AE9">
        <w:rPr>
          <w:noProof w:val="0"/>
          <w:color w:val="000000"/>
          <w:szCs w:val="22"/>
          <w:lang w:val="sv-SE"/>
        </w:rPr>
        <w:br w:type="page"/>
      </w:r>
      <w:r w:rsidR="000B798D" w:rsidRPr="0096596E">
        <w:rPr>
          <w:lang w:val="en-US"/>
        </w:rPr>
        <w:lastRenderedPageBreak/>
        <w:drawing>
          <wp:inline distT="0" distB="0" distL="0" distR="0" wp14:anchorId="6C670186" wp14:editId="46B255A2">
            <wp:extent cx="198120" cy="177800"/>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177800"/>
                    </a:xfrm>
                    <a:prstGeom prst="rect">
                      <a:avLst/>
                    </a:prstGeom>
                    <a:noFill/>
                    <a:ln>
                      <a:noFill/>
                    </a:ln>
                  </pic:spPr>
                </pic:pic>
              </a:graphicData>
            </a:graphic>
          </wp:inline>
        </w:drawing>
      </w:r>
      <w:r w:rsidR="00413182" w:rsidRPr="00CA3C8F">
        <w:rPr>
          <w:b w:val="0"/>
          <w:szCs w:val="22"/>
          <w:lang w:val="sv-SE"/>
        </w:rPr>
        <w:t>Detta läkemedel är föremål för utökad övervakning. Detta kommer att göra det möjligt att snabbt identifiera ny säkerhetsinformation. Hälso- och sjukvårdspersonal uppmanas att rapportera varje misstänkt biverkning. Se avsnitt 4.8 om hur man rapporterar biverkningar.</w:t>
      </w:r>
    </w:p>
    <w:p w14:paraId="7AC5C485" w14:textId="77777777" w:rsidR="00413182" w:rsidRPr="00CA3C8F" w:rsidRDefault="00413182" w:rsidP="00463647">
      <w:pPr>
        <w:widowControl w:val="0"/>
        <w:spacing w:line="240" w:lineRule="auto"/>
        <w:rPr>
          <w:lang w:val="sv-SE"/>
        </w:rPr>
      </w:pPr>
    </w:p>
    <w:p w14:paraId="10110BAB" w14:textId="77777777" w:rsidR="00413182" w:rsidRPr="00CA3C8F" w:rsidRDefault="00413182" w:rsidP="00463647">
      <w:pPr>
        <w:widowControl w:val="0"/>
        <w:spacing w:line="240" w:lineRule="auto"/>
        <w:rPr>
          <w:lang w:val="sv-SE"/>
        </w:rPr>
      </w:pPr>
    </w:p>
    <w:p w14:paraId="78F96194" w14:textId="77777777" w:rsidR="002C2500" w:rsidRPr="000E7AE9" w:rsidRDefault="007D6097" w:rsidP="00463647">
      <w:pPr>
        <w:pStyle w:val="Heading4"/>
        <w:widowControl w:val="0"/>
        <w:spacing w:line="240" w:lineRule="auto"/>
        <w:rPr>
          <w:noProof w:val="0"/>
          <w:color w:val="000000"/>
          <w:szCs w:val="22"/>
          <w:lang w:val="sv-SE"/>
        </w:rPr>
      </w:pPr>
      <w:r w:rsidRPr="000E7AE9">
        <w:rPr>
          <w:noProof w:val="0"/>
          <w:color w:val="000000"/>
          <w:szCs w:val="22"/>
          <w:lang w:val="sv-SE"/>
        </w:rPr>
        <w:t>1.</w:t>
      </w:r>
      <w:r w:rsidRPr="000E7AE9">
        <w:rPr>
          <w:noProof w:val="0"/>
          <w:color w:val="000000"/>
          <w:szCs w:val="22"/>
          <w:lang w:val="sv-SE"/>
        </w:rPr>
        <w:tab/>
        <w:t>LÄKEMEDLETS NAMN</w:t>
      </w:r>
    </w:p>
    <w:p w14:paraId="12216F64" w14:textId="77777777" w:rsidR="007D6097" w:rsidRPr="0040304A" w:rsidRDefault="007D6097" w:rsidP="00463647">
      <w:pPr>
        <w:keepNext/>
        <w:widowControl w:val="0"/>
        <w:spacing w:line="240" w:lineRule="auto"/>
        <w:rPr>
          <w:color w:val="000000"/>
          <w:szCs w:val="22"/>
          <w:lang w:val="sv-SE"/>
        </w:rPr>
      </w:pPr>
    </w:p>
    <w:p w14:paraId="27BB1649" w14:textId="77777777" w:rsidR="007D6097" w:rsidRPr="000E7AE9" w:rsidRDefault="007D6097" w:rsidP="00463647">
      <w:pPr>
        <w:pStyle w:val="EndnoteText"/>
        <w:widowControl w:val="0"/>
        <w:tabs>
          <w:tab w:val="clear" w:pos="567"/>
        </w:tabs>
        <w:outlineLvl w:val="0"/>
        <w:rPr>
          <w:color w:val="000000"/>
          <w:szCs w:val="22"/>
          <w:lang w:val="sv-SE"/>
        </w:rPr>
      </w:pPr>
      <w:r w:rsidRPr="000E7AE9">
        <w:rPr>
          <w:color w:val="000000"/>
          <w:szCs w:val="22"/>
          <w:lang w:val="sv-SE"/>
        </w:rPr>
        <w:t>G</w:t>
      </w:r>
      <w:r w:rsidR="009D455F" w:rsidRPr="000E7AE9">
        <w:rPr>
          <w:color w:val="000000"/>
          <w:szCs w:val="22"/>
          <w:lang w:val="sv-SE"/>
        </w:rPr>
        <w:t>livec</w:t>
      </w:r>
      <w:r w:rsidRPr="000E7AE9">
        <w:rPr>
          <w:color w:val="000000"/>
          <w:szCs w:val="22"/>
          <w:lang w:val="sv-SE"/>
        </w:rPr>
        <w:t xml:space="preserve"> 100</w:t>
      </w:r>
      <w:r w:rsidR="00C501D6" w:rsidRPr="000E7AE9">
        <w:rPr>
          <w:color w:val="000000"/>
          <w:szCs w:val="22"/>
          <w:lang w:val="sv-SE"/>
        </w:rPr>
        <w:t> mg</w:t>
      </w:r>
      <w:r w:rsidRPr="000E7AE9">
        <w:rPr>
          <w:color w:val="000000"/>
          <w:szCs w:val="22"/>
          <w:lang w:val="sv-SE"/>
        </w:rPr>
        <w:t xml:space="preserve"> filmdragerade tabletter</w:t>
      </w:r>
    </w:p>
    <w:p w14:paraId="4F52C8E2" w14:textId="77777777" w:rsidR="007D6097" w:rsidRPr="000E7AE9" w:rsidRDefault="00FE627D" w:rsidP="00463647">
      <w:pPr>
        <w:pStyle w:val="EndnoteText"/>
        <w:widowControl w:val="0"/>
        <w:tabs>
          <w:tab w:val="clear" w:pos="567"/>
        </w:tabs>
        <w:rPr>
          <w:color w:val="000000"/>
          <w:szCs w:val="22"/>
          <w:lang w:val="sv-SE"/>
        </w:rPr>
      </w:pPr>
      <w:r>
        <w:rPr>
          <w:color w:val="000000"/>
          <w:szCs w:val="22"/>
          <w:lang w:val="sv-SE"/>
        </w:rPr>
        <w:t>Glivec 400 mg filmdragerade tabletter</w:t>
      </w:r>
    </w:p>
    <w:p w14:paraId="35F16230" w14:textId="77777777" w:rsidR="007D6097" w:rsidRDefault="007D6097" w:rsidP="00463647">
      <w:pPr>
        <w:pStyle w:val="EndnoteText"/>
        <w:widowControl w:val="0"/>
        <w:tabs>
          <w:tab w:val="clear" w:pos="567"/>
        </w:tabs>
        <w:rPr>
          <w:color w:val="000000"/>
          <w:szCs w:val="22"/>
          <w:lang w:val="sv-SE"/>
        </w:rPr>
      </w:pPr>
    </w:p>
    <w:p w14:paraId="0850AE59" w14:textId="77777777" w:rsidR="0040304A" w:rsidRPr="000E7AE9" w:rsidRDefault="0040304A" w:rsidP="00463647">
      <w:pPr>
        <w:pStyle w:val="EndnoteText"/>
        <w:widowControl w:val="0"/>
        <w:tabs>
          <w:tab w:val="clear" w:pos="567"/>
        </w:tabs>
        <w:rPr>
          <w:color w:val="000000"/>
          <w:szCs w:val="22"/>
          <w:lang w:val="sv-SE"/>
        </w:rPr>
      </w:pPr>
    </w:p>
    <w:p w14:paraId="1A3D36D2" w14:textId="77777777" w:rsidR="007D6097" w:rsidRPr="000E7AE9" w:rsidRDefault="007D6097" w:rsidP="00463647">
      <w:pPr>
        <w:pStyle w:val="Heading4"/>
        <w:widowControl w:val="0"/>
        <w:spacing w:line="240" w:lineRule="auto"/>
        <w:rPr>
          <w:noProof w:val="0"/>
          <w:color w:val="000000"/>
          <w:szCs w:val="22"/>
          <w:lang w:val="sv-SE"/>
        </w:rPr>
      </w:pPr>
      <w:r w:rsidRPr="000E7AE9">
        <w:rPr>
          <w:noProof w:val="0"/>
          <w:color w:val="000000"/>
          <w:szCs w:val="22"/>
          <w:lang w:val="sv-SE"/>
        </w:rPr>
        <w:t>2.</w:t>
      </w:r>
      <w:r w:rsidRPr="000E7AE9">
        <w:rPr>
          <w:noProof w:val="0"/>
          <w:color w:val="000000"/>
          <w:szCs w:val="22"/>
          <w:lang w:val="sv-SE"/>
        </w:rPr>
        <w:tab/>
        <w:t>KVALITATIV OCH KVANTITATIV SAMMANSÄTTNING</w:t>
      </w:r>
    </w:p>
    <w:p w14:paraId="396CC964" w14:textId="77777777" w:rsidR="007D6097" w:rsidRPr="000E7AE9" w:rsidRDefault="007D6097" w:rsidP="00463647">
      <w:pPr>
        <w:keepNext/>
        <w:widowControl w:val="0"/>
        <w:spacing w:line="240" w:lineRule="auto"/>
        <w:rPr>
          <w:i/>
          <w:color w:val="000000"/>
          <w:szCs w:val="22"/>
          <w:lang w:val="sv-SE"/>
        </w:rPr>
      </w:pPr>
    </w:p>
    <w:p w14:paraId="1D76D686" w14:textId="77777777" w:rsidR="00FE627D" w:rsidRPr="003268EC" w:rsidRDefault="00FE627D" w:rsidP="00463647">
      <w:pPr>
        <w:keepNext/>
        <w:widowControl w:val="0"/>
        <w:spacing w:line="240" w:lineRule="auto"/>
        <w:outlineLvl w:val="0"/>
        <w:rPr>
          <w:color w:val="000000"/>
          <w:szCs w:val="22"/>
          <w:u w:val="single"/>
          <w:lang w:val="sv-SE"/>
        </w:rPr>
      </w:pPr>
      <w:r>
        <w:rPr>
          <w:color w:val="000000"/>
          <w:szCs w:val="22"/>
          <w:u w:val="single"/>
          <w:lang w:val="sv-SE"/>
        </w:rPr>
        <w:t>Glivec 100 mg filmdragerade tabletter</w:t>
      </w:r>
    </w:p>
    <w:p w14:paraId="73109A4F" w14:textId="77777777" w:rsidR="007D6097" w:rsidRPr="000E7AE9" w:rsidRDefault="007D6097" w:rsidP="00463647">
      <w:pPr>
        <w:widowControl w:val="0"/>
        <w:spacing w:line="240" w:lineRule="auto"/>
        <w:outlineLvl w:val="0"/>
        <w:rPr>
          <w:color w:val="000000"/>
          <w:szCs w:val="22"/>
          <w:lang w:val="sv-SE"/>
        </w:rPr>
      </w:pPr>
      <w:r w:rsidRPr="000E7AE9">
        <w:rPr>
          <w:color w:val="000000"/>
          <w:szCs w:val="22"/>
          <w:lang w:val="sv-SE"/>
        </w:rPr>
        <w:t>Varje filmdragerad tablett innehåller 100</w:t>
      </w:r>
      <w:r w:rsidR="00C501D6" w:rsidRPr="000E7AE9">
        <w:rPr>
          <w:color w:val="000000"/>
          <w:szCs w:val="22"/>
          <w:lang w:val="sv-SE"/>
        </w:rPr>
        <w:t> mg</w:t>
      </w:r>
      <w:r w:rsidRPr="000E7AE9">
        <w:rPr>
          <w:color w:val="000000"/>
          <w:szCs w:val="22"/>
          <w:lang w:val="sv-SE"/>
        </w:rPr>
        <w:t xml:space="preserve"> imatinib (som mesylat).</w:t>
      </w:r>
    </w:p>
    <w:p w14:paraId="5EFCBB6A" w14:textId="77777777" w:rsidR="007D6097" w:rsidRPr="000E7AE9" w:rsidRDefault="007D6097" w:rsidP="00463647">
      <w:pPr>
        <w:widowControl w:val="0"/>
        <w:spacing w:line="240" w:lineRule="auto"/>
        <w:rPr>
          <w:color w:val="000000"/>
          <w:szCs w:val="22"/>
          <w:lang w:val="sv-SE"/>
        </w:rPr>
      </w:pPr>
    </w:p>
    <w:p w14:paraId="20AEAEF2" w14:textId="77777777" w:rsidR="00FE627D" w:rsidRDefault="00FE627D" w:rsidP="00463647">
      <w:pPr>
        <w:keepNext/>
        <w:widowControl w:val="0"/>
        <w:spacing w:line="240" w:lineRule="auto"/>
        <w:outlineLvl w:val="0"/>
        <w:rPr>
          <w:color w:val="000000"/>
          <w:szCs w:val="22"/>
          <w:u w:val="single"/>
          <w:lang w:val="sv-SE"/>
        </w:rPr>
      </w:pPr>
      <w:r>
        <w:rPr>
          <w:color w:val="000000"/>
          <w:szCs w:val="22"/>
          <w:u w:val="single"/>
          <w:lang w:val="sv-SE"/>
        </w:rPr>
        <w:t>Glivec 400 mg filmadragerade tabletter</w:t>
      </w:r>
    </w:p>
    <w:p w14:paraId="687A40CB" w14:textId="77777777" w:rsidR="00FE627D" w:rsidRDefault="00FE627D" w:rsidP="00463647">
      <w:pPr>
        <w:widowControl w:val="0"/>
        <w:spacing w:line="240" w:lineRule="auto"/>
        <w:outlineLvl w:val="0"/>
        <w:rPr>
          <w:color w:val="000000"/>
          <w:szCs w:val="22"/>
          <w:lang w:val="sv-SE"/>
        </w:rPr>
      </w:pPr>
      <w:r>
        <w:rPr>
          <w:color w:val="000000"/>
          <w:szCs w:val="22"/>
          <w:lang w:val="sv-SE"/>
        </w:rPr>
        <w:t>Varje filmdragerad tablett innehåller 400 mg imatinib (som mesylat)</w:t>
      </w:r>
    </w:p>
    <w:p w14:paraId="3514A581" w14:textId="77777777" w:rsidR="00FE627D" w:rsidRPr="00FE627D" w:rsidRDefault="00FE627D" w:rsidP="00463647">
      <w:pPr>
        <w:widowControl w:val="0"/>
        <w:spacing w:line="240" w:lineRule="auto"/>
        <w:outlineLvl w:val="0"/>
        <w:rPr>
          <w:color w:val="000000"/>
          <w:szCs w:val="22"/>
          <w:lang w:val="sv-SE"/>
        </w:rPr>
      </w:pPr>
    </w:p>
    <w:p w14:paraId="741E2611" w14:textId="77777777" w:rsidR="007D6097" w:rsidRPr="000E7AE9" w:rsidRDefault="00BA0A58" w:rsidP="00463647">
      <w:pPr>
        <w:widowControl w:val="0"/>
        <w:spacing w:line="240" w:lineRule="auto"/>
        <w:outlineLvl w:val="0"/>
        <w:rPr>
          <w:color w:val="000000"/>
          <w:szCs w:val="22"/>
          <w:lang w:val="sv-SE"/>
        </w:rPr>
      </w:pPr>
      <w:r>
        <w:rPr>
          <w:color w:val="000000"/>
          <w:szCs w:val="22"/>
          <w:lang w:val="sv-SE"/>
        </w:rPr>
        <w:t>För fullständig förteckning över hjälpämnen, se avsnitt 6.1.</w:t>
      </w:r>
    </w:p>
    <w:p w14:paraId="43A76312" w14:textId="77777777" w:rsidR="007D6097" w:rsidRPr="000E7AE9" w:rsidRDefault="007D6097" w:rsidP="00463647">
      <w:pPr>
        <w:widowControl w:val="0"/>
        <w:spacing w:line="240" w:lineRule="auto"/>
        <w:rPr>
          <w:color w:val="000000"/>
          <w:szCs w:val="22"/>
          <w:lang w:val="sv-SE"/>
        </w:rPr>
      </w:pPr>
    </w:p>
    <w:p w14:paraId="07907DFD" w14:textId="77777777" w:rsidR="007D6097" w:rsidRPr="000E7AE9" w:rsidRDefault="007D6097" w:rsidP="00463647">
      <w:pPr>
        <w:widowControl w:val="0"/>
        <w:spacing w:line="240" w:lineRule="auto"/>
        <w:rPr>
          <w:color w:val="000000"/>
          <w:szCs w:val="22"/>
          <w:lang w:val="sv-SE"/>
        </w:rPr>
      </w:pPr>
    </w:p>
    <w:p w14:paraId="4D3DFB39" w14:textId="77777777" w:rsidR="007D6097" w:rsidRPr="000E7AE9" w:rsidRDefault="007D6097" w:rsidP="00463647">
      <w:pPr>
        <w:pStyle w:val="Heading4"/>
        <w:widowControl w:val="0"/>
        <w:spacing w:line="240" w:lineRule="auto"/>
        <w:rPr>
          <w:caps/>
          <w:noProof w:val="0"/>
          <w:color w:val="000000"/>
          <w:szCs w:val="22"/>
          <w:lang w:val="sv-SE"/>
        </w:rPr>
      </w:pPr>
      <w:r w:rsidRPr="000E7AE9">
        <w:rPr>
          <w:noProof w:val="0"/>
          <w:color w:val="000000"/>
          <w:szCs w:val="22"/>
          <w:lang w:val="sv-SE"/>
        </w:rPr>
        <w:t>3.</w:t>
      </w:r>
      <w:r w:rsidRPr="000E7AE9">
        <w:rPr>
          <w:noProof w:val="0"/>
          <w:color w:val="000000"/>
          <w:szCs w:val="22"/>
          <w:lang w:val="sv-SE"/>
        </w:rPr>
        <w:tab/>
        <w:t>LÄKEMEDELSFORM</w:t>
      </w:r>
    </w:p>
    <w:p w14:paraId="5DDB88E8" w14:textId="77777777" w:rsidR="007D6097" w:rsidRPr="000E7AE9" w:rsidRDefault="007D6097" w:rsidP="00463647">
      <w:pPr>
        <w:pStyle w:val="EndnoteText"/>
        <w:keepNext/>
        <w:widowControl w:val="0"/>
        <w:tabs>
          <w:tab w:val="clear" w:pos="567"/>
        </w:tabs>
        <w:rPr>
          <w:color w:val="000000"/>
          <w:szCs w:val="22"/>
          <w:lang w:val="sv-SE"/>
        </w:rPr>
      </w:pPr>
    </w:p>
    <w:p w14:paraId="4A2005E5" w14:textId="77777777" w:rsidR="007D6097" w:rsidRPr="000E7AE9" w:rsidRDefault="007D6097" w:rsidP="00463647">
      <w:pPr>
        <w:widowControl w:val="0"/>
        <w:spacing w:line="240" w:lineRule="auto"/>
        <w:outlineLvl w:val="0"/>
        <w:rPr>
          <w:color w:val="000000"/>
          <w:szCs w:val="22"/>
          <w:lang w:val="sv-SE"/>
        </w:rPr>
      </w:pPr>
      <w:r w:rsidRPr="000E7AE9">
        <w:rPr>
          <w:color w:val="000000"/>
          <w:szCs w:val="22"/>
          <w:lang w:val="sv-SE"/>
        </w:rPr>
        <w:t>Filmdragerad tablett</w:t>
      </w:r>
    </w:p>
    <w:p w14:paraId="498F0552" w14:textId="77777777" w:rsidR="007D6097" w:rsidRPr="000E7AE9" w:rsidRDefault="007D6097" w:rsidP="00463647">
      <w:pPr>
        <w:widowControl w:val="0"/>
        <w:spacing w:line="240" w:lineRule="auto"/>
        <w:rPr>
          <w:color w:val="000000"/>
          <w:szCs w:val="22"/>
          <w:lang w:val="sv-SE"/>
        </w:rPr>
      </w:pPr>
    </w:p>
    <w:p w14:paraId="0ECC008C" w14:textId="77777777" w:rsidR="00FE627D" w:rsidRPr="003268EC" w:rsidRDefault="00FE627D" w:rsidP="00463647">
      <w:pPr>
        <w:keepNext/>
        <w:widowControl w:val="0"/>
        <w:spacing w:line="240" w:lineRule="auto"/>
        <w:outlineLvl w:val="0"/>
        <w:rPr>
          <w:color w:val="000000"/>
          <w:szCs w:val="22"/>
          <w:u w:val="single"/>
          <w:lang w:val="sv-SE"/>
        </w:rPr>
      </w:pPr>
      <w:r>
        <w:rPr>
          <w:color w:val="000000"/>
          <w:szCs w:val="22"/>
          <w:u w:val="single"/>
          <w:lang w:val="sv-SE"/>
        </w:rPr>
        <w:t>Glivec 100 mg filmdragerade tabletter</w:t>
      </w:r>
    </w:p>
    <w:p w14:paraId="433DA199" w14:textId="77777777" w:rsidR="007D6097" w:rsidRPr="000E7AE9" w:rsidRDefault="007D6097" w:rsidP="00463647">
      <w:pPr>
        <w:widowControl w:val="0"/>
        <w:spacing w:line="240" w:lineRule="auto"/>
        <w:outlineLvl w:val="0"/>
        <w:rPr>
          <w:color w:val="000000"/>
          <w:szCs w:val="22"/>
          <w:lang w:val="sv-SE"/>
        </w:rPr>
      </w:pPr>
      <w:r w:rsidRPr="000E7AE9">
        <w:rPr>
          <w:color w:val="000000"/>
          <w:szCs w:val="22"/>
          <w:lang w:val="sv-SE"/>
        </w:rPr>
        <w:t xml:space="preserve">Mycket mörkgul till brunaktigt orange, rund filmdragerad tablett, märkt </w:t>
      </w:r>
      <w:r w:rsidR="00C00FD7" w:rsidRPr="000E7AE9">
        <w:rPr>
          <w:color w:val="000000"/>
          <w:szCs w:val="22"/>
          <w:lang w:val="sv-SE"/>
        </w:rPr>
        <w:t>”</w:t>
      </w:r>
      <w:r w:rsidRPr="000E7AE9">
        <w:rPr>
          <w:color w:val="000000"/>
          <w:szCs w:val="22"/>
          <w:lang w:val="sv-SE"/>
        </w:rPr>
        <w:t>NVR</w:t>
      </w:r>
      <w:r w:rsidR="00C00FD7" w:rsidRPr="000E7AE9">
        <w:rPr>
          <w:color w:val="000000"/>
          <w:szCs w:val="22"/>
          <w:lang w:val="sv-SE"/>
        </w:rPr>
        <w:t>”</w:t>
      </w:r>
      <w:r w:rsidRPr="000E7AE9">
        <w:rPr>
          <w:color w:val="000000"/>
          <w:szCs w:val="22"/>
          <w:lang w:val="sv-SE"/>
        </w:rPr>
        <w:t xml:space="preserve"> på ena sidan och </w:t>
      </w:r>
      <w:r w:rsidR="00C00FD7" w:rsidRPr="000E7AE9">
        <w:rPr>
          <w:color w:val="000000"/>
          <w:szCs w:val="22"/>
          <w:lang w:val="sv-SE"/>
        </w:rPr>
        <w:t>”</w:t>
      </w:r>
      <w:r w:rsidRPr="000E7AE9">
        <w:rPr>
          <w:color w:val="000000"/>
          <w:szCs w:val="22"/>
          <w:lang w:val="sv-SE"/>
        </w:rPr>
        <w:t>SA</w:t>
      </w:r>
      <w:r w:rsidR="00C00FD7" w:rsidRPr="000E7AE9">
        <w:rPr>
          <w:color w:val="000000"/>
          <w:szCs w:val="22"/>
          <w:lang w:val="sv-SE"/>
        </w:rPr>
        <w:t>”</w:t>
      </w:r>
      <w:r w:rsidRPr="000E7AE9">
        <w:rPr>
          <w:color w:val="000000"/>
          <w:szCs w:val="22"/>
          <w:lang w:val="sv-SE"/>
        </w:rPr>
        <w:t xml:space="preserve"> samt med brytskåra på den andra sidan.</w:t>
      </w:r>
    </w:p>
    <w:p w14:paraId="2E6D40E7" w14:textId="77777777" w:rsidR="007D6097" w:rsidRDefault="007D6097" w:rsidP="00463647">
      <w:pPr>
        <w:widowControl w:val="0"/>
        <w:spacing w:line="240" w:lineRule="auto"/>
        <w:rPr>
          <w:color w:val="000000"/>
          <w:szCs w:val="22"/>
          <w:lang w:val="sv-SE"/>
        </w:rPr>
      </w:pPr>
    </w:p>
    <w:p w14:paraId="305F9AFC" w14:textId="77777777" w:rsidR="00FE627D" w:rsidRDefault="00FE627D" w:rsidP="00463647">
      <w:pPr>
        <w:keepNext/>
        <w:widowControl w:val="0"/>
        <w:spacing w:line="240" w:lineRule="auto"/>
        <w:rPr>
          <w:color w:val="000000"/>
          <w:szCs w:val="22"/>
          <w:u w:val="single"/>
          <w:lang w:val="sv-SE"/>
        </w:rPr>
      </w:pPr>
      <w:r>
        <w:rPr>
          <w:color w:val="000000"/>
          <w:szCs w:val="22"/>
          <w:u w:val="single"/>
          <w:lang w:val="sv-SE"/>
        </w:rPr>
        <w:t>Glivec 400 mg filmdragerade tabletter</w:t>
      </w:r>
    </w:p>
    <w:p w14:paraId="5EC990CF" w14:textId="77777777" w:rsidR="00FE627D" w:rsidRDefault="00FE627D" w:rsidP="00463647">
      <w:pPr>
        <w:widowControl w:val="0"/>
        <w:spacing w:line="240" w:lineRule="auto"/>
        <w:rPr>
          <w:color w:val="000000"/>
          <w:szCs w:val="22"/>
          <w:lang w:val="sv-SE"/>
        </w:rPr>
      </w:pPr>
      <w:r w:rsidRPr="000E7AE9">
        <w:rPr>
          <w:color w:val="000000"/>
          <w:szCs w:val="22"/>
          <w:lang w:val="sv-SE"/>
        </w:rPr>
        <w:t>Mycket mörkgul till brunaktigt orange, oval, bikonvex filmdragerad tablett med fasade kanter, märkt ”</w:t>
      </w:r>
      <w:r>
        <w:rPr>
          <w:color w:val="000000"/>
          <w:szCs w:val="22"/>
          <w:lang w:val="sv-SE"/>
        </w:rPr>
        <w:t>glivec</w:t>
      </w:r>
      <w:r w:rsidRPr="000E7AE9">
        <w:rPr>
          <w:color w:val="000000"/>
          <w:szCs w:val="22"/>
          <w:lang w:val="sv-SE"/>
        </w:rPr>
        <w:t>” på ena sidan</w:t>
      </w:r>
      <w:r>
        <w:rPr>
          <w:color w:val="000000"/>
          <w:szCs w:val="22"/>
          <w:lang w:val="sv-SE"/>
        </w:rPr>
        <w:t>.</w:t>
      </w:r>
    </w:p>
    <w:p w14:paraId="75C5382D" w14:textId="77777777" w:rsidR="00FE627D" w:rsidRPr="00FE627D" w:rsidRDefault="00FE627D" w:rsidP="00463647">
      <w:pPr>
        <w:widowControl w:val="0"/>
        <w:spacing w:line="240" w:lineRule="auto"/>
        <w:rPr>
          <w:color w:val="000000"/>
          <w:szCs w:val="22"/>
          <w:lang w:val="sv-SE"/>
        </w:rPr>
      </w:pPr>
    </w:p>
    <w:p w14:paraId="2A091487" w14:textId="77777777" w:rsidR="007D6097" w:rsidRPr="000E7AE9" w:rsidRDefault="007D6097" w:rsidP="00463647">
      <w:pPr>
        <w:widowControl w:val="0"/>
        <w:spacing w:line="240" w:lineRule="auto"/>
        <w:rPr>
          <w:color w:val="000000"/>
          <w:szCs w:val="22"/>
          <w:lang w:val="sv-SE"/>
        </w:rPr>
      </w:pPr>
    </w:p>
    <w:p w14:paraId="39655463" w14:textId="77777777" w:rsidR="00161D46" w:rsidRPr="000E7AE9" w:rsidRDefault="00161D46" w:rsidP="00463647">
      <w:pPr>
        <w:pStyle w:val="Heading4"/>
        <w:widowControl w:val="0"/>
        <w:spacing w:line="240" w:lineRule="auto"/>
        <w:rPr>
          <w:noProof w:val="0"/>
          <w:color w:val="000000"/>
          <w:szCs w:val="22"/>
          <w:lang w:val="sv-SE"/>
        </w:rPr>
      </w:pPr>
      <w:r w:rsidRPr="000E7AE9">
        <w:rPr>
          <w:noProof w:val="0"/>
          <w:color w:val="000000"/>
          <w:szCs w:val="22"/>
          <w:lang w:val="sv-SE"/>
        </w:rPr>
        <w:t>4.</w:t>
      </w:r>
      <w:r w:rsidRPr="000E7AE9">
        <w:rPr>
          <w:noProof w:val="0"/>
          <w:color w:val="000000"/>
          <w:szCs w:val="22"/>
          <w:lang w:val="sv-SE"/>
        </w:rPr>
        <w:tab/>
        <w:t>KLINISKA UPPGIFTER</w:t>
      </w:r>
    </w:p>
    <w:p w14:paraId="7F632F88" w14:textId="77777777" w:rsidR="00161D46" w:rsidRPr="000E7AE9" w:rsidRDefault="00161D46" w:rsidP="00463647">
      <w:pPr>
        <w:pStyle w:val="EndnoteText"/>
        <w:keepNext/>
        <w:widowControl w:val="0"/>
        <w:tabs>
          <w:tab w:val="clear" w:pos="567"/>
        </w:tabs>
        <w:rPr>
          <w:color w:val="000000"/>
          <w:szCs w:val="22"/>
          <w:lang w:val="sv-SE"/>
        </w:rPr>
      </w:pPr>
    </w:p>
    <w:p w14:paraId="1B235EE2" w14:textId="77777777" w:rsidR="00161D46" w:rsidRPr="000E7AE9" w:rsidRDefault="00161D46" w:rsidP="00463647">
      <w:pPr>
        <w:pStyle w:val="Heading4"/>
        <w:widowControl w:val="0"/>
        <w:spacing w:line="240" w:lineRule="auto"/>
        <w:rPr>
          <w:noProof w:val="0"/>
          <w:color w:val="000000"/>
          <w:szCs w:val="22"/>
          <w:lang w:val="sv-SE"/>
        </w:rPr>
      </w:pPr>
      <w:r w:rsidRPr="000E7AE9">
        <w:rPr>
          <w:noProof w:val="0"/>
          <w:color w:val="000000"/>
          <w:szCs w:val="22"/>
          <w:lang w:val="sv-SE"/>
        </w:rPr>
        <w:t>4.1</w:t>
      </w:r>
      <w:r w:rsidRPr="000E7AE9">
        <w:rPr>
          <w:noProof w:val="0"/>
          <w:color w:val="000000"/>
          <w:szCs w:val="22"/>
          <w:lang w:val="sv-SE"/>
        </w:rPr>
        <w:tab/>
        <w:t>Terapeutiska indikationer</w:t>
      </w:r>
    </w:p>
    <w:p w14:paraId="36FBBBED" w14:textId="77777777" w:rsidR="00161D46" w:rsidRPr="000E7AE9" w:rsidRDefault="00161D46" w:rsidP="00463647">
      <w:pPr>
        <w:pStyle w:val="EndnoteText"/>
        <w:keepNext/>
        <w:widowControl w:val="0"/>
        <w:tabs>
          <w:tab w:val="clear" w:pos="567"/>
        </w:tabs>
        <w:rPr>
          <w:color w:val="000000"/>
          <w:szCs w:val="22"/>
          <w:lang w:val="sv-SE"/>
        </w:rPr>
      </w:pPr>
    </w:p>
    <w:p w14:paraId="726532EF" w14:textId="77777777" w:rsidR="00161D46" w:rsidRPr="000E7AE9" w:rsidRDefault="00161D46" w:rsidP="00463647">
      <w:pPr>
        <w:pStyle w:val="EndnoteText"/>
        <w:keepNext/>
        <w:widowControl w:val="0"/>
        <w:tabs>
          <w:tab w:val="clear" w:pos="567"/>
        </w:tabs>
        <w:rPr>
          <w:color w:val="000000"/>
          <w:szCs w:val="22"/>
          <w:lang w:val="sv-SE"/>
        </w:rPr>
      </w:pPr>
      <w:r w:rsidRPr="000E7AE9">
        <w:rPr>
          <w:color w:val="000000"/>
          <w:szCs w:val="22"/>
          <w:lang w:val="sv-SE"/>
        </w:rPr>
        <w:t>Glivec är indicerat för behandling av</w:t>
      </w:r>
    </w:p>
    <w:p w14:paraId="2F5FF1BD" w14:textId="77777777" w:rsidR="00161D46" w:rsidRPr="000E7AE9" w:rsidRDefault="00161D46"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vuxna och barn med nydiagnostiserad Philadelphiakromosom- (bcr-abl)-positiv (Ph+) kronisk myeloisk leukemi (KML), för vilka benmärgstransplantation inte är en förstahandsbehandling.</w:t>
      </w:r>
    </w:p>
    <w:p w14:paraId="0EC99D54" w14:textId="77777777" w:rsidR="00161D46" w:rsidRPr="000E7AE9" w:rsidRDefault="00161D46"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vuxna och barn med (Ph+)-KML i kronisk fas efter terapisvikt med interferon alfa-behandling, eller i accelererad fas eller blastkris.</w:t>
      </w:r>
    </w:p>
    <w:p w14:paraId="67A565CC" w14:textId="77777777" w:rsidR="00161D46" w:rsidRPr="000E7AE9" w:rsidRDefault="00161D46"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 xml:space="preserve">vuxna </w:t>
      </w:r>
      <w:r w:rsidR="003706F0">
        <w:rPr>
          <w:color w:val="000000"/>
          <w:szCs w:val="22"/>
          <w:lang w:val="sv-SE"/>
        </w:rPr>
        <w:t>och barn</w:t>
      </w:r>
      <w:r w:rsidRPr="000E7AE9">
        <w:rPr>
          <w:color w:val="000000"/>
          <w:szCs w:val="22"/>
          <w:lang w:val="sv-SE"/>
        </w:rPr>
        <w:t xml:space="preserve"> med nyligen diagnosticerad Philadelphia-kromosom-positiv akut lymfoblastisk leukemi (Ph+ ALL) tillsammans med kemoterapi.</w:t>
      </w:r>
    </w:p>
    <w:p w14:paraId="4F3F2B7C" w14:textId="77777777" w:rsidR="00161D46" w:rsidRPr="000E7AE9" w:rsidRDefault="00161D46"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vuxna patienter med recidiverande eller refraktär Ph+ ALL som monoterapi.</w:t>
      </w:r>
    </w:p>
    <w:p w14:paraId="45740EDC" w14:textId="77777777" w:rsidR="00161D46" w:rsidRPr="000E7AE9" w:rsidRDefault="00161D46" w:rsidP="00463647">
      <w:pPr>
        <w:pStyle w:val="EndnoteText"/>
        <w:widowControl w:val="0"/>
        <w:numPr>
          <w:ilvl w:val="0"/>
          <w:numId w:val="15"/>
        </w:numPr>
        <w:tabs>
          <w:tab w:val="clear" w:pos="360"/>
          <w:tab w:val="num" w:pos="567"/>
        </w:tabs>
        <w:ind w:left="567" w:hanging="567"/>
        <w:rPr>
          <w:color w:val="000000"/>
          <w:szCs w:val="22"/>
          <w:lang w:val="sv-SE"/>
        </w:rPr>
      </w:pPr>
      <w:r w:rsidRPr="000E7AE9">
        <w:rPr>
          <w:color w:val="000000"/>
          <w:szCs w:val="22"/>
          <w:lang w:val="sv-SE"/>
        </w:rPr>
        <w:t>vuxna patienter med myelodysplastiska/myeloproliferativa sjukdomar (MDS/MPD) förenat med rearrangemang av platelet-derived growth factor receptor (PDGFR)-genen.</w:t>
      </w:r>
    </w:p>
    <w:p w14:paraId="106AED75" w14:textId="77777777" w:rsidR="00161D46" w:rsidRPr="000E7AE9" w:rsidRDefault="00161D46" w:rsidP="00463647">
      <w:pPr>
        <w:pStyle w:val="EndnoteText"/>
        <w:widowControl w:val="0"/>
        <w:numPr>
          <w:ilvl w:val="0"/>
          <w:numId w:val="15"/>
        </w:numPr>
        <w:tabs>
          <w:tab w:val="clear" w:pos="360"/>
          <w:tab w:val="clear" w:pos="567"/>
        </w:tabs>
        <w:ind w:left="567" w:hanging="567"/>
        <w:rPr>
          <w:color w:val="000000"/>
          <w:szCs w:val="22"/>
          <w:lang w:val="sv-SE"/>
        </w:rPr>
      </w:pPr>
      <w:r w:rsidRPr="000E7AE9">
        <w:rPr>
          <w:color w:val="000000"/>
          <w:szCs w:val="22"/>
          <w:lang w:val="sv-SE"/>
        </w:rPr>
        <w:t>vuxna patienter med avancerat hypereosinofilt syndrom (HES) och/eller kronisk eosinofil leukemi (CEL) med FIP1L1-PDGFRα-rearrangemang.</w:t>
      </w:r>
    </w:p>
    <w:p w14:paraId="71246BAE" w14:textId="77777777" w:rsidR="00161D46" w:rsidRPr="000E7AE9" w:rsidRDefault="00161D46" w:rsidP="00463647">
      <w:pPr>
        <w:widowControl w:val="0"/>
        <w:tabs>
          <w:tab w:val="clear" w:pos="567"/>
        </w:tabs>
        <w:spacing w:line="240" w:lineRule="auto"/>
        <w:rPr>
          <w:color w:val="000000"/>
          <w:szCs w:val="22"/>
          <w:lang w:val="sv-SE"/>
        </w:rPr>
      </w:pPr>
    </w:p>
    <w:p w14:paraId="1D43EBAC" w14:textId="77777777" w:rsidR="00161D46" w:rsidRPr="000E7AE9" w:rsidRDefault="00161D46" w:rsidP="00463647">
      <w:pPr>
        <w:widowControl w:val="0"/>
        <w:tabs>
          <w:tab w:val="clear" w:pos="567"/>
        </w:tabs>
        <w:spacing w:line="240" w:lineRule="auto"/>
        <w:rPr>
          <w:color w:val="000000"/>
          <w:szCs w:val="22"/>
          <w:lang w:val="sv-SE"/>
        </w:rPr>
      </w:pPr>
      <w:r w:rsidRPr="000E7AE9">
        <w:rPr>
          <w:color w:val="000000"/>
          <w:szCs w:val="22"/>
          <w:lang w:val="sv-SE"/>
        </w:rPr>
        <w:t>Effekten av Glivec på utfallet av benmärgstransplantation har inte undersökts.</w:t>
      </w:r>
    </w:p>
    <w:p w14:paraId="51B4E9E5" w14:textId="77777777" w:rsidR="00161D46" w:rsidRPr="000E7AE9" w:rsidRDefault="00161D46" w:rsidP="00463647">
      <w:pPr>
        <w:widowControl w:val="0"/>
        <w:tabs>
          <w:tab w:val="clear" w:pos="567"/>
        </w:tabs>
        <w:spacing w:line="240" w:lineRule="auto"/>
        <w:rPr>
          <w:color w:val="000000"/>
          <w:szCs w:val="22"/>
          <w:lang w:val="sv-SE"/>
        </w:rPr>
      </w:pPr>
    </w:p>
    <w:p w14:paraId="247DC9D0" w14:textId="77777777" w:rsidR="00161D46" w:rsidRPr="000E7AE9" w:rsidRDefault="00161D46" w:rsidP="00463647">
      <w:pPr>
        <w:keepNext/>
        <w:widowControl w:val="0"/>
        <w:tabs>
          <w:tab w:val="clear" w:pos="567"/>
        </w:tabs>
        <w:spacing w:line="240" w:lineRule="auto"/>
        <w:rPr>
          <w:color w:val="000000"/>
          <w:szCs w:val="22"/>
          <w:lang w:val="sv-SE"/>
        </w:rPr>
      </w:pPr>
      <w:r w:rsidRPr="000E7AE9">
        <w:rPr>
          <w:color w:val="000000"/>
          <w:szCs w:val="22"/>
          <w:lang w:val="sv-SE"/>
        </w:rPr>
        <w:t>Glivec är indicerat för</w:t>
      </w:r>
    </w:p>
    <w:p w14:paraId="08B3FF51" w14:textId="77777777" w:rsidR="00161D46" w:rsidRPr="000E7AE9" w:rsidRDefault="00161D46" w:rsidP="00463647">
      <w:pPr>
        <w:widowControl w:val="0"/>
        <w:numPr>
          <w:ilvl w:val="0"/>
          <w:numId w:val="18"/>
        </w:numPr>
        <w:tabs>
          <w:tab w:val="clear" w:pos="567"/>
          <w:tab w:val="clear" w:pos="780"/>
        </w:tabs>
        <w:spacing w:line="240" w:lineRule="auto"/>
        <w:ind w:left="567" w:hanging="567"/>
        <w:rPr>
          <w:color w:val="000000"/>
          <w:szCs w:val="22"/>
          <w:lang w:val="sv-SE"/>
        </w:rPr>
      </w:pPr>
      <w:r>
        <w:rPr>
          <w:color w:val="000000"/>
          <w:szCs w:val="22"/>
          <w:lang w:val="sv-SE"/>
        </w:rPr>
        <w:t xml:space="preserve">behandling av </w:t>
      </w:r>
      <w:r w:rsidRPr="000E7AE9">
        <w:rPr>
          <w:color w:val="000000"/>
          <w:szCs w:val="22"/>
          <w:lang w:val="sv-SE"/>
        </w:rPr>
        <w:t xml:space="preserve">vuxna patienter med Kit (CD 117)-positiva, icke-resecerbara och/eller </w:t>
      </w:r>
      <w:r w:rsidRPr="000E7AE9">
        <w:rPr>
          <w:color w:val="000000"/>
          <w:szCs w:val="22"/>
          <w:lang w:val="sv-SE"/>
        </w:rPr>
        <w:lastRenderedPageBreak/>
        <w:t>metastaserande, maligna gastrointestinala stromacellstumörer (GIST).</w:t>
      </w:r>
    </w:p>
    <w:p w14:paraId="7C56763A" w14:textId="77777777" w:rsidR="00161D46" w:rsidRPr="008C2DDF" w:rsidRDefault="00161D46" w:rsidP="00463647">
      <w:pPr>
        <w:widowControl w:val="0"/>
        <w:numPr>
          <w:ilvl w:val="0"/>
          <w:numId w:val="18"/>
        </w:numPr>
        <w:tabs>
          <w:tab w:val="clear" w:pos="567"/>
          <w:tab w:val="clear" w:pos="780"/>
        </w:tabs>
        <w:spacing w:line="240" w:lineRule="auto"/>
        <w:ind w:left="567" w:hanging="567"/>
        <w:rPr>
          <w:color w:val="000000"/>
          <w:szCs w:val="22"/>
          <w:lang w:val="sv-SE"/>
        </w:rPr>
      </w:pPr>
      <w:r>
        <w:rPr>
          <w:color w:val="000000"/>
          <w:szCs w:val="22"/>
          <w:lang w:val="sv-SE"/>
        </w:rPr>
        <w:t xml:space="preserve">adjuvant behandling av vuxna patienter </w:t>
      </w:r>
      <w:r w:rsidRPr="008C2DDF">
        <w:rPr>
          <w:color w:val="000000"/>
          <w:szCs w:val="22"/>
          <w:lang w:val="sv-SE"/>
        </w:rPr>
        <w:t>som löper en signifikant risk för recidiv</w:t>
      </w:r>
      <w:r>
        <w:rPr>
          <w:color w:val="000000"/>
          <w:szCs w:val="22"/>
          <w:lang w:val="sv-SE"/>
        </w:rPr>
        <w:t xml:space="preserve"> efter resektion av Kit (CD117)-positiv GIST. Patienter som löper låg eller mycket låg risk för återfall ska inte få adjuvant behandling.</w:t>
      </w:r>
    </w:p>
    <w:p w14:paraId="1C028AEE" w14:textId="77777777" w:rsidR="00161D46" w:rsidRPr="000E7AE9" w:rsidRDefault="00161D46" w:rsidP="00463647">
      <w:pPr>
        <w:widowControl w:val="0"/>
        <w:numPr>
          <w:ilvl w:val="0"/>
          <w:numId w:val="18"/>
        </w:numPr>
        <w:tabs>
          <w:tab w:val="clear" w:pos="567"/>
          <w:tab w:val="clear" w:pos="780"/>
        </w:tabs>
        <w:spacing w:line="240" w:lineRule="auto"/>
        <w:ind w:left="567" w:hanging="567"/>
        <w:rPr>
          <w:color w:val="000000"/>
          <w:szCs w:val="22"/>
          <w:lang w:val="sv-SE"/>
        </w:rPr>
      </w:pPr>
      <w:r>
        <w:rPr>
          <w:color w:val="000000"/>
          <w:szCs w:val="22"/>
          <w:lang w:val="sv-SE"/>
        </w:rPr>
        <w:t xml:space="preserve">behandling av </w:t>
      </w:r>
      <w:r w:rsidRPr="000E7AE9">
        <w:rPr>
          <w:color w:val="000000"/>
          <w:szCs w:val="22"/>
          <w:lang w:val="sv-SE"/>
        </w:rPr>
        <w:t>vuxna patienter med icke-resecerbara dermatofibrosarkoma protuberans (DFSP) och vuxna patienter med återkommande och/eller metastaserande DFSP som är olämpliga att operera.</w:t>
      </w:r>
    </w:p>
    <w:p w14:paraId="289889AE" w14:textId="77777777" w:rsidR="00161D46" w:rsidRPr="000E7AE9" w:rsidRDefault="00161D46" w:rsidP="00463647">
      <w:pPr>
        <w:widowControl w:val="0"/>
        <w:tabs>
          <w:tab w:val="clear" w:pos="567"/>
        </w:tabs>
        <w:spacing w:line="240" w:lineRule="auto"/>
        <w:rPr>
          <w:color w:val="000000"/>
          <w:szCs w:val="22"/>
          <w:lang w:val="sv-SE"/>
        </w:rPr>
      </w:pPr>
    </w:p>
    <w:p w14:paraId="7EE69B0B" w14:textId="77777777" w:rsidR="00161D46" w:rsidRPr="000E7AE9" w:rsidRDefault="00161D46" w:rsidP="00463647">
      <w:pPr>
        <w:widowControl w:val="0"/>
        <w:tabs>
          <w:tab w:val="clear" w:pos="567"/>
        </w:tabs>
        <w:spacing w:line="240" w:lineRule="auto"/>
        <w:rPr>
          <w:color w:val="000000"/>
          <w:szCs w:val="22"/>
          <w:lang w:val="sv-SE"/>
        </w:rPr>
      </w:pPr>
      <w:r w:rsidRPr="000E7AE9">
        <w:rPr>
          <w:color w:val="000000"/>
          <w:szCs w:val="22"/>
          <w:lang w:val="sv-SE"/>
        </w:rPr>
        <w:t>Hos vuxna och barn baseras effekten av Glivec på det sammantagna hematologiska och cytogenetiska svaret och progressionsfri överlevnad vid KML, på hematologiskt och cytogenetiskt respons vid Ph+ ALL, MDS/MPD, på hematologisk respons vid HES/CEL och på objektiv tumörrespons hos vuxna patienter vid icke-resecerbara och/eller metastaserande GIST och DFSP</w:t>
      </w:r>
      <w:r>
        <w:rPr>
          <w:color w:val="000000"/>
          <w:szCs w:val="22"/>
          <w:lang w:val="sv-SE"/>
        </w:rPr>
        <w:t xml:space="preserve"> och på återfallsfri överlevnad vid adjuvant GIST</w:t>
      </w:r>
      <w:r w:rsidRPr="000E7AE9">
        <w:rPr>
          <w:color w:val="000000"/>
          <w:szCs w:val="22"/>
          <w:lang w:val="sv-SE"/>
        </w:rPr>
        <w:t>. Erfarenheten av Glivec hos patienter med MDS/MPD förenat med rearrangemang PDGFR-genen är mycket begränsat (se avsnitt 5.1). Förutom vid nyligen diagnostiserad KML i kronisk fas finns det inga kontrollerade studier som visar på en klinisk nytta eller ökad överlevnad för dessa sjukdomar.</w:t>
      </w:r>
    </w:p>
    <w:p w14:paraId="6FD6F618" w14:textId="77777777" w:rsidR="00161D46" w:rsidRPr="000E7AE9" w:rsidRDefault="00161D46" w:rsidP="00463647">
      <w:pPr>
        <w:widowControl w:val="0"/>
        <w:tabs>
          <w:tab w:val="clear" w:pos="567"/>
        </w:tabs>
        <w:spacing w:line="240" w:lineRule="auto"/>
        <w:rPr>
          <w:color w:val="000000"/>
          <w:szCs w:val="22"/>
          <w:lang w:val="sv-SE"/>
        </w:rPr>
      </w:pPr>
    </w:p>
    <w:p w14:paraId="24ABF5B9" w14:textId="77777777" w:rsidR="00161D46" w:rsidRPr="000E7AE9" w:rsidRDefault="00161D46" w:rsidP="00463647">
      <w:pPr>
        <w:pStyle w:val="Heading4"/>
        <w:widowControl w:val="0"/>
        <w:spacing w:line="240" w:lineRule="auto"/>
        <w:rPr>
          <w:noProof w:val="0"/>
          <w:color w:val="000000"/>
          <w:szCs w:val="22"/>
          <w:lang w:val="sv-SE"/>
        </w:rPr>
      </w:pPr>
      <w:r w:rsidRPr="000E7AE9">
        <w:rPr>
          <w:noProof w:val="0"/>
          <w:color w:val="000000"/>
          <w:szCs w:val="22"/>
          <w:lang w:val="sv-SE"/>
        </w:rPr>
        <w:t>4.2</w:t>
      </w:r>
      <w:r w:rsidRPr="000E7AE9">
        <w:rPr>
          <w:noProof w:val="0"/>
          <w:color w:val="000000"/>
          <w:szCs w:val="22"/>
          <w:lang w:val="sv-SE"/>
        </w:rPr>
        <w:tab/>
        <w:t>Dosering och administreringssätt</w:t>
      </w:r>
    </w:p>
    <w:p w14:paraId="73FE8F8C" w14:textId="77777777" w:rsidR="00161D46" w:rsidRPr="000E7AE9" w:rsidRDefault="00161D46" w:rsidP="00463647">
      <w:pPr>
        <w:pStyle w:val="EndnoteText"/>
        <w:keepNext/>
        <w:widowControl w:val="0"/>
        <w:tabs>
          <w:tab w:val="clear" w:pos="567"/>
        </w:tabs>
        <w:rPr>
          <w:color w:val="000000"/>
          <w:szCs w:val="22"/>
          <w:lang w:val="sv-SE"/>
        </w:rPr>
      </w:pPr>
    </w:p>
    <w:p w14:paraId="07D5E9CB" w14:textId="77777777" w:rsidR="007D6097" w:rsidRPr="000E7AE9" w:rsidRDefault="007D6097" w:rsidP="00463647">
      <w:pPr>
        <w:pStyle w:val="EndnoteText"/>
        <w:widowControl w:val="0"/>
        <w:tabs>
          <w:tab w:val="clear" w:pos="567"/>
        </w:tabs>
        <w:outlineLvl w:val="0"/>
        <w:rPr>
          <w:color w:val="000000"/>
          <w:szCs w:val="22"/>
          <w:lang w:val="sv-SE"/>
        </w:rPr>
      </w:pPr>
      <w:r w:rsidRPr="000E7AE9">
        <w:rPr>
          <w:color w:val="000000"/>
          <w:szCs w:val="22"/>
          <w:lang w:val="sv-SE"/>
        </w:rPr>
        <w:t xml:space="preserve">Behandling skall </w:t>
      </w:r>
      <w:r w:rsidR="00C90FF0" w:rsidRPr="000E7AE9">
        <w:rPr>
          <w:color w:val="000000"/>
          <w:szCs w:val="22"/>
          <w:lang w:val="sv-SE"/>
        </w:rPr>
        <w:t xml:space="preserve">lämpligen </w:t>
      </w:r>
      <w:r w:rsidRPr="000E7AE9">
        <w:rPr>
          <w:color w:val="000000"/>
          <w:szCs w:val="22"/>
          <w:lang w:val="sv-SE"/>
        </w:rPr>
        <w:t xml:space="preserve">inledas av läkare med erfarenhet av behandling av patienter med </w:t>
      </w:r>
      <w:r w:rsidR="00C90FF0" w:rsidRPr="000E7AE9">
        <w:rPr>
          <w:color w:val="000000"/>
          <w:szCs w:val="22"/>
          <w:lang w:val="sv-SE"/>
        </w:rPr>
        <w:t>hematologiska maligniteter och maligna sarkom</w:t>
      </w:r>
      <w:r w:rsidRPr="000E7AE9">
        <w:rPr>
          <w:color w:val="000000"/>
          <w:szCs w:val="22"/>
          <w:lang w:val="sv-SE"/>
        </w:rPr>
        <w:t>.</w:t>
      </w:r>
    </w:p>
    <w:p w14:paraId="3476D502" w14:textId="77777777" w:rsidR="007D6097" w:rsidRPr="000E7AE9" w:rsidRDefault="007D6097" w:rsidP="00463647">
      <w:pPr>
        <w:pStyle w:val="EndnoteText"/>
        <w:widowControl w:val="0"/>
        <w:tabs>
          <w:tab w:val="clear" w:pos="567"/>
        </w:tabs>
        <w:rPr>
          <w:color w:val="000000"/>
          <w:szCs w:val="22"/>
          <w:lang w:val="sv-SE"/>
        </w:rPr>
      </w:pPr>
    </w:p>
    <w:p w14:paraId="4DD67369" w14:textId="77777777" w:rsidR="00FE627D" w:rsidRPr="000E7AE9" w:rsidRDefault="00FE627D" w:rsidP="00463647">
      <w:pPr>
        <w:pStyle w:val="EndnoteText"/>
        <w:widowControl w:val="0"/>
        <w:tabs>
          <w:tab w:val="clear" w:pos="567"/>
        </w:tabs>
        <w:rPr>
          <w:color w:val="000000"/>
          <w:szCs w:val="22"/>
          <w:lang w:val="sv-SE"/>
        </w:rPr>
      </w:pPr>
      <w:r w:rsidRPr="000E7AE9">
        <w:rPr>
          <w:color w:val="000000"/>
          <w:szCs w:val="22"/>
          <w:lang w:val="sv-SE"/>
        </w:rPr>
        <w:t>En 100 mg-tablett (delbar) finns tillgänglig för andra doser än 400 mg och 800 mg (se Doseringsrekommendationen nedan)</w:t>
      </w:r>
    </w:p>
    <w:p w14:paraId="37165A23" w14:textId="77777777" w:rsidR="002C2500" w:rsidRPr="000E7AE9" w:rsidRDefault="007D6097" w:rsidP="00463647">
      <w:pPr>
        <w:pStyle w:val="EndnoteText"/>
        <w:widowControl w:val="0"/>
        <w:tabs>
          <w:tab w:val="clear" w:pos="567"/>
        </w:tabs>
        <w:rPr>
          <w:color w:val="000000"/>
          <w:szCs w:val="22"/>
          <w:lang w:val="sv-SE"/>
        </w:rPr>
      </w:pPr>
      <w:r w:rsidRPr="000E7AE9">
        <w:rPr>
          <w:color w:val="000000"/>
          <w:szCs w:val="22"/>
          <w:lang w:val="sv-SE"/>
        </w:rPr>
        <w:t>En 400</w:t>
      </w:r>
      <w:r w:rsidR="00C501D6" w:rsidRPr="000E7AE9">
        <w:rPr>
          <w:color w:val="000000"/>
          <w:szCs w:val="22"/>
          <w:lang w:val="sv-SE"/>
        </w:rPr>
        <w:t> mg</w:t>
      </w:r>
      <w:r w:rsidRPr="000E7AE9">
        <w:rPr>
          <w:color w:val="000000"/>
          <w:szCs w:val="22"/>
          <w:lang w:val="sv-SE"/>
        </w:rPr>
        <w:t>-tablett (ej delbar) finns tillgänglig för doser om 400</w:t>
      </w:r>
      <w:r w:rsidR="00C501D6" w:rsidRPr="000E7AE9">
        <w:rPr>
          <w:color w:val="000000"/>
          <w:szCs w:val="22"/>
          <w:lang w:val="sv-SE"/>
        </w:rPr>
        <w:t> mg</w:t>
      </w:r>
      <w:r w:rsidRPr="000E7AE9">
        <w:rPr>
          <w:color w:val="000000"/>
          <w:szCs w:val="22"/>
          <w:lang w:val="sv-SE"/>
        </w:rPr>
        <w:t xml:space="preserve"> eller högre (se Doseringsrekommendationen nedan)</w:t>
      </w:r>
    </w:p>
    <w:p w14:paraId="6F8CC621" w14:textId="77777777" w:rsidR="007D6097" w:rsidRPr="000E7AE9" w:rsidRDefault="007D6097" w:rsidP="00463647">
      <w:pPr>
        <w:pStyle w:val="EndnoteText"/>
        <w:widowControl w:val="0"/>
        <w:tabs>
          <w:tab w:val="clear" w:pos="567"/>
        </w:tabs>
        <w:rPr>
          <w:color w:val="000000"/>
          <w:szCs w:val="22"/>
          <w:lang w:val="sv-SE"/>
        </w:rPr>
      </w:pPr>
    </w:p>
    <w:p w14:paraId="0699E2E4" w14:textId="77777777" w:rsidR="002C2500" w:rsidRPr="000E7AE9" w:rsidRDefault="00FA2E92" w:rsidP="00463647">
      <w:pPr>
        <w:pStyle w:val="EndnoteText"/>
        <w:widowControl w:val="0"/>
        <w:tabs>
          <w:tab w:val="clear" w:pos="567"/>
        </w:tabs>
        <w:rPr>
          <w:color w:val="000000"/>
          <w:szCs w:val="22"/>
          <w:lang w:val="sv-SE"/>
        </w:rPr>
      </w:pPr>
      <w:r w:rsidRPr="000E7AE9">
        <w:rPr>
          <w:color w:val="000000"/>
          <w:szCs w:val="22"/>
          <w:lang w:val="sv-SE"/>
        </w:rPr>
        <w:t>Ordinerad dos skall ges peroralt tillsammans med måltid och ett stort glas vatten för att minimera riskerna för gastrointestinala besvär.</w:t>
      </w:r>
      <w:r w:rsidR="007D6097" w:rsidRPr="000E7AE9">
        <w:rPr>
          <w:color w:val="000000"/>
          <w:szCs w:val="22"/>
          <w:lang w:val="sv-SE"/>
        </w:rPr>
        <w:t xml:space="preserve"> </w:t>
      </w:r>
      <w:r w:rsidR="00084242" w:rsidRPr="000E7AE9">
        <w:rPr>
          <w:color w:val="000000"/>
          <w:szCs w:val="22"/>
          <w:lang w:val="sv-SE"/>
        </w:rPr>
        <w:t>Doser på 400 mg eller 600 </w:t>
      </w:r>
      <w:r w:rsidR="003B0718" w:rsidRPr="000E7AE9">
        <w:rPr>
          <w:color w:val="000000"/>
          <w:szCs w:val="22"/>
          <w:lang w:val="sv-SE"/>
        </w:rPr>
        <w:t>m</w:t>
      </w:r>
      <w:r w:rsidR="00084242" w:rsidRPr="000E7AE9">
        <w:rPr>
          <w:color w:val="000000"/>
          <w:szCs w:val="22"/>
          <w:lang w:val="sv-SE"/>
        </w:rPr>
        <w:t>g skall ges en gång dagligen, medan en daglig dos på 800 mg skall ges som 400 mg två gånger dagligen, morgon och kväll.</w:t>
      </w:r>
    </w:p>
    <w:p w14:paraId="58A204E4" w14:textId="77777777" w:rsidR="007D6097" w:rsidRPr="000E7AE9" w:rsidRDefault="007D6097" w:rsidP="00463647">
      <w:pPr>
        <w:pStyle w:val="EndnoteText"/>
        <w:widowControl w:val="0"/>
        <w:tabs>
          <w:tab w:val="clear" w:pos="567"/>
        </w:tabs>
        <w:rPr>
          <w:color w:val="000000"/>
          <w:szCs w:val="22"/>
          <w:lang w:val="sv-SE"/>
        </w:rPr>
      </w:pPr>
    </w:p>
    <w:p w14:paraId="5AA28448" w14:textId="77777777" w:rsidR="007D6097" w:rsidRPr="000E7AE9" w:rsidRDefault="007D6097" w:rsidP="00463647">
      <w:pPr>
        <w:pStyle w:val="EndnoteText"/>
        <w:widowControl w:val="0"/>
        <w:tabs>
          <w:tab w:val="clear" w:pos="567"/>
        </w:tabs>
        <w:rPr>
          <w:color w:val="000000"/>
          <w:szCs w:val="22"/>
          <w:lang w:val="sv-SE"/>
        </w:rPr>
      </w:pPr>
      <w:r w:rsidRPr="000E7AE9">
        <w:rPr>
          <w:color w:val="000000"/>
          <w:szCs w:val="22"/>
          <w:lang w:val="sv-SE"/>
        </w:rPr>
        <w:t>För patienter som inte kan svälja de filmdragerade tabletterna, kan tabletterna slammas upp</w:t>
      </w:r>
      <w:r w:rsidR="0043720A">
        <w:rPr>
          <w:color w:val="000000"/>
          <w:szCs w:val="22"/>
          <w:lang w:val="sv-SE"/>
        </w:rPr>
        <w:t xml:space="preserve"> i endera ett glas icke kolsyrat </w:t>
      </w:r>
      <w:r w:rsidRPr="000E7AE9">
        <w:rPr>
          <w:color w:val="000000"/>
          <w:szCs w:val="22"/>
          <w:lang w:val="sv-SE"/>
        </w:rPr>
        <w:t>vatten eller äppeljuice. Ett erforderligt antal tabletter placeras i lämplig volym dryck (cirka 50</w:t>
      </w:r>
      <w:r w:rsidR="00C501D6" w:rsidRPr="000E7AE9">
        <w:rPr>
          <w:color w:val="000000"/>
          <w:szCs w:val="22"/>
          <w:lang w:val="sv-SE"/>
        </w:rPr>
        <w:t> ml</w:t>
      </w:r>
      <w:r w:rsidRPr="000E7AE9">
        <w:rPr>
          <w:color w:val="000000"/>
          <w:szCs w:val="22"/>
          <w:lang w:val="sv-SE"/>
        </w:rPr>
        <w:t xml:space="preserve"> för en 100</w:t>
      </w:r>
      <w:r w:rsidR="00C501D6" w:rsidRPr="000E7AE9">
        <w:rPr>
          <w:color w:val="000000"/>
          <w:szCs w:val="22"/>
          <w:lang w:val="sv-SE"/>
        </w:rPr>
        <w:t> mg</w:t>
      </w:r>
      <w:r w:rsidRPr="000E7AE9">
        <w:rPr>
          <w:color w:val="000000"/>
          <w:szCs w:val="22"/>
          <w:lang w:val="sv-SE"/>
        </w:rPr>
        <w:t>-tablett och 200</w:t>
      </w:r>
      <w:r w:rsidR="00C501D6" w:rsidRPr="000E7AE9">
        <w:rPr>
          <w:color w:val="000000"/>
          <w:szCs w:val="22"/>
          <w:lang w:val="sv-SE"/>
        </w:rPr>
        <w:t> ml</w:t>
      </w:r>
      <w:r w:rsidRPr="000E7AE9">
        <w:rPr>
          <w:color w:val="000000"/>
          <w:szCs w:val="22"/>
          <w:lang w:val="sv-SE"/>
        </w:rPr>
        <w:t xml:space="preserve"> för en 400</w:t>
      </w:r>
      <w:r w:rsidR="00C501D6" w:rsidRPr="000E7AE9">
        <w:rPr>
          <w:color w:val="000000"/>
          <w:szCs w:val="22"/>
          <w:lang w:val="sv-SE"/>
        </w:rPr>
        <w:t> mg</w:t>
      </w:r>
      <w:r w:rsidRPr="000E7AE9">
        <w:rPr>
          <w:color w:val="000000"/>
          <w:szCs w:val="22"/>
          <w:lang w:val="sv-SE"/>
        </w:rPr>
        <w:t>-tablett) och rörs om med en sked. Suspensionen skall intas omedelbart efter ett fullständigt sönderfall av tabletterna.</w:t>
      </w:r>
    </w:p>
    <w:p w14:paraId="27B995C0" w14:textId="77777777" w:rsidR="007D6097" w:rsidRPr="000E7AE9" w:rsidRDefault="007D6097" w:rsidP="00463647">
      <w:pPr>
        <w:pStyle w:val="EndnoteText"/>
        <w:widowControl w:val="0"/>
        <w:tabs>
          <w:tab w:val="clear" w:pos="567"/>
        </w:tabs>
        <w:rPr>
          <w:color w:val="000000"/>
          <w:szCs w:val="22"/>
          <w:lang w:val="sv-SE"/>
        </w:rPr>
      </w:pPr>
    </w:p>
    <w:p w14:paraId="15B2A731"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KML hos vuxna</w:t>
      </w:r>
    </w:p>
    <w:p w14:paraId="01C4BE5F" w14:textId="77777777" w:rsidR="00161D46" w:rsidRPr="000E7AE9" w:rsidRDefault="00161D46" w:rsidP="00463647">
      <w:pPr>
        <w:pStyle w:val="BodyText"/>
        <w:widowControl w:val="0"/>
        <w:spacing w:line="240" w:lineRule="auto"/>
        <w:rPr>
          <w:b w:val="0"/>
          <w:i w:val="0"/>
          <w:snapToGrid w:val="0"/>
          <w:color w:val="000000"/>
          <w:szCs w:val="22"/>
          <w:lang w:val="sv-SE"/>
        </w:rPr>
      </w:pPr>
      <w:r w:rsidRPr="000E7AE9">
        <w:rPr>
          <w:b w:val="0"/>
          <w:i w:val="0"/>
          <w:color w:val="000000"/>
          <w:szCs w:val="22"/>
          <w:lang w:val="sv-SE"/>
        </w:rPr>
        <w:t xml:space="preserve">Den rekommenderade dosen Glivec är 400 mg dagligen för </w:t>
      </w:r>
      <w:r w:rsidR="00C57E56">
        <w:rPr>
          <w:b w:val="0"/>
          <w:i w:val="0"/>
          <w:color w:val="000000"/>
          <w:szCs w:val="22"/>
          <w:lang w:val="sv-SE"/>
        </w:rPr>
        <w:t xml:space="preserve">vuxna </w:t>
      </w:r>
      <w:r w:rsidRPr="000E7AE9">
        <w:rPr>
          <w:b w:val="0"/>
          <w:i w:val="0"/>
          <w:color w:val="000000"/>
          <w:szCs w:val="22"/>
          <w:lang w:val="sv-SE"/>
        </w:rPr>
        <w:t>patienter med KML i kronisk fas. KML i kronisk fas definieras när alla av följande kriterier uppfyllts:</w:t>
      </w:r>
      <w:r w:rsidRPr="000E7AE9">
        <w:rPr>
          <w:b w:val="0"/>
          <w:i w:val="0"/>
          <w:snapToGrid w:val="0"/>
          <w:color w:val="000000"/>
          <w:szCs w:val="22"/>
          <w:lang w:val="sv-SE"/>
        </w:rPr>
        <w:t xml:space="preserve"> blaster &lt; 15</w:t>
      </w:r>
      <w:r w:rsidR="00BC1731">
        <w:rPr>
          <w:b w:val="0"/>
          <w:i w:val="0"/>
          <w:snapToGrid w:val="0"/>
          <w:color w:val="000000"/>
          <w:szCs w:val="22"/>
          <w:lang w:val="sv-SE"/>
        </w:rPr>
        <w:t> </w:t>
      </w:r>
      <w:r w:rsidRPr="000E7AE9">
        <w:rPr>
          <w:b w:val="0"/>
          <w:i w:val="0"/>
          <w:snapToGrid w:val="0"/>
          <w:color w:val="000000"/>
          <w:szCs w:val="22"/>
          <w:lang w:val="sv-SE"/>
        </w:rPr>
        <w:t>% i blod och benmärg, basofiler i perifert blod &lt; 20</w:t>
      </w:r>
      <w:r w:rsidR="00BC1731">
        <w:rPr>
          <w:b w:val="0"/>
          <w:i w:val="0"/>
          <w:snapToGrid w:val="0"/>
          <w:color w:val="000000"/>
          <w:szCs w:val="22"/>
          <w:lang w:val="sv-SE"/>
        </w:rPr>
        <w:t> </w:t>
      </w:r>
      <w:r w:rsidRPr="000E7AE9">
        <w:rPr>
          <w:b w:val="0"/>
          <w:i w:val="0"/>
          <w:snapToGrid w:val="0"/>
          <w:color w:val="000000"/>
          <w:szCs w:val="22"/>
          <w:lang w:val="sv-SE"/>
        </w:rPr>
        <w:t>%, trombocyter &gt; 100 x 10</w:t>
      </w:r>
      <w:r w:rsidRPr="000E7AE9">
        <w:rPr>
          <w:b w:val="0"/>
          <w:i w:val="0"/>
          <w:snapToGrid w:val="0"/>
          <w:color w:val="000000"/>
          <w:szCs w:val="22"/>
          <w:vertAlign w:val="superscript"/>
          <w:lang w:val="sv-SE"/>
        </w:rPr>
        <w:t>9</w:t>
      </w:r>
      <w:r w:rsidRPr="000E7AE9">
        <w:rPr>
          <w:b w:val="0"/>
          <w:i w:val="0"/>
          <w:snapToGrid w:val="0"/>
          <w:color w:val="000000"/>
          <w:szCs w:val="22"/>
          <w:lang w:val="sv-SE"/>
        </w:rPr>
        <w:t>/l.</w:t>
      </w:r>
    </w:p>
    <w:p w14:paraId="73C8057F" w14:textId="77777777" w:rsidR="00161D46" w:rsidRPr="000E7AE9" w:rsidRDefault="00161D46" w:rsidP="00463647">
      <w:pPr>
        <w:pStyle w:val="EndnoteText"/>
        <w:widowControl w:val="0"/>
        <w:tabs>
          <w:tab w:val="clear" w:pos="567"/>
        </w:tabs>
        <w:rPr>
          <w:color w:val="000000"/>
          <w:szCs w:val="22"/>
          <w:lang w:val="sv-SE"/>
        </w:rPr>
      </w:pPr>
    </w:p>
    <w:p w14:paraId="5B87C1D0"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600 mg dagligen för </w:t>
      </w:r>
      <w:r w:rsidR="00C57E56">
        <w:rPr>
          <w:color w:val="000000"/>
          <w:szCs w:val="22"/>
          <w:lang w:val="sv-SE"/>
        </w:rPr>
        <w:t xml:space="preserve">vuxna </w:t>
      </w:r>
      <w:r w:rsidRPr="000E7AE9">
        <w:rPr>
          <w:color w:val="000000"/>
          <w:szCs w:val="22"/>
          <w:lang w:val="sv-SE"/>
        </w:rPr>
        <w:t xml:space="preserve">patienter i accelererad fas. Accelererad fas definieras när något av följande kriterier är uppfyllda: </w:t>
      </w:r>
      <w:r w:rsidRPr="000E7AE9">
        <w:rPr>
          <w:snapToGrid w:val="0"/>
          <w:color w:val="000000"/>
          <w:szCs w:val="22"/>
          <w:lang w:val="sv-SE"/>
        </w:rPr>
        <w:t xml:space="preserve">blaster </w:t>
      </w:r>
      <w:r w:rsidRPr="000E7AE9">
        <w:rPr>
          <w:snapToGrid w:val="0"/>
          <w:color w:val="000000"/>
          <w:szCs w:val="22"/>
          <w:lang w:val="sv-SE"/>
        </w:rPr>
        <w:sym w:font="Symbol" w:char="F0B3"/>
      </w:r>
      <w:r w:rsidRPr="000E7AE9">
        <w:rPr>
          <w:snapToGrid w:val="0"/>
          <w:color w:val="000000"/>
          <w:szCs w:val="22"/>
          <w:lang w:val="sv-SE"/>
        </w:rPr>
        <w:t> 15</w:t>
      </w:r>
      <w:r w:rsidR="00BC1731">
        <w:rPr>
          <w:snapToGrid w:val="0"/>
          <w:color w:val="000000"/>
          <w:szCs w:val="22"/>
          <w:lang w:val="sv-SE"/>
        </w:rPr>
        <w:t> </w:t>
      </w:r>
      <w:r w:rsidRPr="000E7AE9">
        <w:rPr>
          <w:snapToGrid w:val="0"/>
          <w:color w:val="000000"/>
          <w:szCs w:val="22"/>
          <w:lang w:val="sv-SE"/>
        </w:rPr>
        <w:t>% men &lt; 30</w:t>
      </w:r>
      <w:r w:rsidR="00BC1731">
        <w:rPr>
          <w:snapToGrid w:val="0"/>
          <w:color w:val="000000"/>
          <w:szCs w:val="22"/>
          <w:lang w:val="sv-SE"/>
        </w:rPr>
        <w:t> </w:t>
      </w:r>
      <w:r w:rsidRPr="000E7AE9">
        <w:rPr>
          <w:snapToGrid w:val="0"/>
          <w:color w:val="000000"/>
          <w:szCs w:val="22"/>
          <w:lang w:val="sv-SE"/>
        </w:rPr>
        <w:t xml:space="preserve">% i blod eller benmärg, blaster plus promyelocyter </w:t>
      </w:r>
      <w:r w:rsidRPr="000E7AE9">
        <w:rPr>
          <w:snapToGrid w:val="0"/>
          <w:color w:val="000000"/>
          <w:szCs w:val="22"/>
          <w:lang w:val="sv-SE"/>
        </w:rPr>
        <w:sym w:font="Symbol" w:char="F0B3"/>
      </w:r>
      <w:r w:rsidRPr="000E7AE9">
        <w:rPr>
          <w:snapToGrid w:val="0"/>
          <w:color w:val="000000"/>
          <w:szCs w:val="22"/>
          <w:lang w:val="sv-SE"/>
        </w:rPr>
        <w:t> 30</w:t>
      </w:r>
      <w:r w:rsidR="00BC1731">
        <w:rPr>
          <w:snapToGrid w:val="0"/>
          <w:color w:val="000000"/>
          <w:szCs w:val="22"/>
          <w:lang w:val="sv-SE"/>
        </w:rPr>
        <w:t> </w:t>
      </w:r>
      <w:r w:rsidRPr="000E7AE9">
        <w:rPr>
          <w:snapToGrid w:val="0"/>
          <w:color w:val="000000"/>
          <w:szCs w:val="22"/>
          <w:lang w:val="sv-SE"/>
        </w:rPr>
        <w:t>% i blod eller benmärg (förutsatt &lt; 30</w:t>
      </w:r>
      <w:r w:rsidR="00BC1731">
        <w:rPr>
          <w:snapToGrid w:val="0"/>
          <w:color w:val="000000"/>
          <w:szCs w:val="22"/>
          <w:lang w:val="sv-SE"/>
        </w:rPr>
        <w:t> </w:t>
      </w:r>
      <w:r w:rsidRPr="000E7AE9">
        <w:rPr>
          <w:snapToGrid w:val="0"/>
          <w:color w:val="000000"/>
          <w:szCs w:val="22"/>
          <w:lang w:val="sv-SE"/>
        </w:rPr>
        <w:t xml:space="preserve">% blaster), basofiler i perifert blod </w:t>
      </w:r>
      <w:r w:rsidRPr="000E7AE9">
        <w:rPr>
          <w:snapToGrid w:val="0"/>
          <w:color w:val="000000"/>
          <w:szCs w:val="22"/>
          <w:lang w:val="sv-SE"/>
        </w:rPr>
        <w:sym w:font="Symbol" w:char="F0B3"/>
      </w:r>
      <w:r w:rsidRPr="000E7AE9">
        <w:rPr>
          <w:snapToGrid w:val="0"/>
          <w:color w:val="000000"/>
          <w:szCs w:val="22"/>
          <w:lang w:val="sv-SE"/>
        </w:rPr>
        <w:t> 20</w:t>
      </w:r>
      <w:r w:rsidR="00BC1731">
        <w:rPr>
          <w:snapToGrid w:val="0"/>
          <w:color w:val="000000"/>
          <w:szCs w:val="22"/>
          <w:lang w:val="sv-SE"/>
        </w:rPr>
        <w:t> </w:t>
      </w:r>
      <w:r w:rsidRPr="000E7AE9">
        <w:rPr>
          <w:snapToGrid w:val="0"/>
          <w:color w:val="000000"/>
          <w:szCs w:val="22"/>
          <w:lang w:val="sv-SE"/>
        </w:rPr>
        <w:t>%, trombocyter &lt; 100 x 10</w:t>
      </w:r>
      <w:r w:rsidRPr="000E7AE9">
        <w:rPr>
          <w:snapToGrid w:val="0"/>
          <w:color w:val="000000"/>
          <w:szCs w:val="22"/>
          <w:vertAlign w:val="superscript"/>
          <w:lang w:val="sv-SE"/>
        </w:rPr>
        <w:t>9</w:t>
      </w:r>
      <w:r w:rsidRPr="000E7AE9">
        <w:rPr>
          <w:snapToGrid w:val="0"/>
          <w:color w:val="000000"/>
          <w:szCs w:val="22"/>
          <w:lang w:val="sv-SE"/>
        </w:rPr>
        <w:t>/l utan samband med behandlingen.</w:t>
      </w:r>
    </w:p>
    <w:p w14:paraId="02232FE5" w14:textId="77777777" w:rsidR="00161D46" w:rsidRPr="000E7AE9" w:rsidRDefault="00161D46" w:rsidP="00463647">
      <w:pPr>
        <w:pStyle w:val="EndnoteText"/>
        <w:widowControl w:val="0"/>
        <w:tabs>
          <w:tab w:val="clear" w:pos="567"/>
        </w:tabs>
        <w:rPr>
          <w:color w:val="000000"/>
          <w:szCs w:val="22"/>
          <w:lang w:val="sv-SE"/>
        </w:rPr>
      </w:pPr>
    </w:p>
    <w:p w14:paraId="1AF103D0" w14:textId="77777777" w:rsidR="00161D46" w:rsidRPr="000E7AE9" w:rsidRDefault="00161D46" w:rsidP="00463647">
      <w:pPr>
        <w:pStyle w:val="BodyText"/>
        <w:widowControl w:val="0"/>
        <w:spacing w:line="240" w:lineRule="auto"/>
        <w:rPr>
          <w:b w:val="0"/>
          <w:i w:val="0"/>
          <w:snapToGrid w:val="0"/>
          <w:color w:val="000000"/>
          <w:szCs w:val="22"/>
          <w:lang w:val="sv-SE"/>
        </w:rPr>
      </w:pPr>
      <w:r w:rsidRPr="000E7AE9">
        <w:rPr>
          <w:b w:val="0"/>
          <w:i w:val="0"/>
          <w:color w:val="000000"/>
          <w:szCs w:val="22"/>
          <w:lang w:val="sv-SE"/>
        </w:rPr>
        <w:t>Den rekommenderade dosen Glivec är 600 mg dagligen för</w:t>
      </w:r>
      <w:r w:rsidR="00C57E56">
        <w:rPr>
          <w:b w:val="0"/>
          <w:i w:val="0"/>
          <w:color w:val="000000"/>
          <w:szCs w:val="22"/>
          <w:lang w:val="sv-SE"/>
        </w:rPr>
        <w:t xml:space="preserve"> vuxna</w:t>
      </w:r>
      <w:r w:rsidRPr="000E7AE9">
        <w:rPr>
          <w:b w:val="0"/>
          <w:i w:val="0"/>
          <w:color w:val="000000"/>
          <w:szCs w:val="22"/>
          <w:lang w:val="sv-SE"/>
        </w:rPr>
        <w:t xml:space="preserve"> patienter i blastkris. Blastkris definieras som </w:t>
      </w:r>
      <w:r w:rsidRPr="000E7AE9">
        <w:rPr>
          <w:b w:val="0"/>
          <w:i w:val="0"/>
          <w:snapToGrid w:val="0"/>
          <w:color w:val="000000"/>
          <w:szCs w:val="22"/>
          <w:lang w:val="sv-SE"/>
        </w:rPr>
        <w:t xml:space="preserve">blaster </w:t>
      </w:r>
      <w:r w:rsidRPr="000E7AE9">
        <w:rPr>
          <w:b w:val="0"/>
          <w:i w:val="0"/>
          <w:snapToGrid w:val="0"/>
          <w:color w:val="000000"/>
          <w:szCs w:val="22"/>
          <w:lang w:val="sv-SE"/>
        </w:rPr>
        <w:sym w:font="Symbol" w:char="F0B3"/>
      </w:r>
      <w:r w:rsidRPr="000E7AE9">
        <w:rPr>
          <w:b w:val="0"/>
          <w:i w:val="0"/>
          <w:snapToGrid w:val="0"/>
          <w:color w:val="000000"/>
          <w:szCs w:val="22"/>
          <w:lang w:val="sv-SE"/>
        </w:rPr>
        <w:t> 30</w:t>
      </w:r>
      <w:r w:rsidR="00BC1731">
        <w:rPr>
          <w:b w:val="0"/>
          <w:i w:val="0"/>
          <w:snapToGrid w:val="0"/>
          <w:color w:val="000000"/>
          <w:szCs w:val="22"/>
          <w:lang w:val="sv-SE"/>
        </w:rPr>
        <w:t> </w:t>
      </w:r>
      <w:r w:rsidRPr="000E7AE9">
        <w:rPr>
          <w:b w:val="0"/>
          <w:i w:val="0"/>
          <w:snapToGrid w:val="0"/>
          <w:color w:val="000000"/>
          <w:szCs w:val="22"/>
          <w:lang w:val="sv-SE"/>
        </w:rPr>
        <w:t>% i blod eller benmärg eller extramedullär sjukdom annan än hepatosplenomegali.</w:t>
      </w:r>
    </w:p>
    <w:p w14:paraId="2B2C0F11" w14:textId="77777777" w:rsidR="00161D46" w:rsidRPr="000E7AE9" w:rsidRDefault="00161D46" w:rsidP="00463647">
      <w:pPr>
        <w:pStyle w:val="BodyText"/>
        <w:widowControl w:val="0"/>
        <w:spacing w:line="240" w:lineRule="auto"/>
        <w:rPr>
          <w:b w:val="0"/>
          <w:i w:val="0"/>
          <w:snapToGrid w:val="0"/>
          <w:color w:val="000000"/>
          <w:szCs w:val="22"/>
          <w:lang w:val="sv-SE"/>
        </w:rPr>
      </w:pPr>
    </w:p>
    <w:p w14:paraId="544ADB1D" w14:textId="77777777" w:rsidR="00161D46" w:rsidRPr="000E7AE9" w:rsidRDefault="00161D46" w:rsidP="00463647">
      <w:pPr>
        <w:pStyle w:val="EndnoteText"/>
        <w:widowControl w:val="0"/>
        <w:tabs>
          <w:tab w:val="clear" w:pos="567"/>
        </w:tabs>
        <w:rPr>
          <w:color w:val="000000"/>
          <w:szCs w:val="22"/>
          <w:lang w:val="sv-SE"/>
        </w:rPr>
      </w:pPr>
      <w:r w:rsidRPr="000E7AE9">
        <w:rPr>
          <w:snapToGrid w:val="0"/>
          <w:color w:val="000000"/>
          <w:szCs w:val="22"/>
          <w:lang w:val="sv-SE"/>
        </w:rPr>
        <w:t>Behandlingstid: I kliniska studier fortsatte behandlingen med Glivec tills sjukdomen tilltog. Effekten av att man avslutar behandlingen efter att ha uppnått fullständigt cytogenetiskt svar har inte undersökts.</w:t>
      </w:r>
    </w:p>
    <w:p w14:paraId="56C4BC81" w14:textId="77777777" w:rsidR="00161D46" w:rsidRPr="000E7AE9" w:rsidRDefault="00161D46" w:rsidP="00463647">
      <w:pPr>
        <w:pStyle w:val="EndnoteText"/>
        <w:widowControl w:val="0"/>
        <w:tabs>
          <w:tab w:val="clear" w:pos="567"/>
        </w:tabs>
        <w:rPr>
          <w:color w:val="000000"/>
          <w:szCs w:val="22"/>
          <w:lang w:val="sv-SE"/>
        </w:rPr>
      </w:pPr>
    </w:p>
    <w:p w14:paraId="548079F4"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 xml:space="preserve">Dosökning från 400 mg till 600 mg eller 800 mg till patienter med sjukdom i kronisk fas eller från 600 mg till maximalt 800 mg (givet som 400 mg två gånger dagligen) hos patienter i accelererad fas eller blastkris kan övervägas i följande fall, såvida inte allvarlig biverkan, svår icke-leukemirelaterad </w:t>
      </w:r>
      <w:r w:rsidRPr="000E7AE9">
        <w:rPr>
          <w:color w:val="000000"/>
          <w:szCs w:val="22"/>
          <w:lang w:val="sv-SE"/>
        </w:rPr>
        <w:lastRenderedPageBreak/>
        <w:t>neutropeni eller trombocytopeni föreligger: Sjukdomsprogress (när som helst under förloppet), uteblivet tillfredsställande hematologiskt svar efter minst 3 månaders behandling, uteblivet cytogenetiskt svar efter 12 månaders behandling eller förlust av tidigare erhållet hematologiskt och/eller cytogenetiskt svar. Patienterna skall följas noga efter dosupptrappning med tanke på en ökad risk för biverkningar vid högre doser.</w:t>
      </w:r>
    </w:p>
    <w:p w14:paraId="5FD35E5B" w14:textId="77777777" w:rsidR="00161D46" w:rsidRPr="000E7AE9" w:rsidRDefault="00161D46" w:rsidP="00463647">
      <w:pPr>
        <w:pStyle w:val="EndnoteText"/>
        <w:widowControl w:val="0"/>
        <w:tabs>
          <w:tab w:val="clear" w:pos="567"/>
        </w:tabs>
        <w:rPr>
          <w:color w:val="000000"/>
          <w:szCs w:val="22"/>
          <w:lang w:val="sv-SE"/>
        </w:rPr>
      </w:pPr>
    </w:p>
    <w:p w14:paraId="4AD7A54C"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KML hos barn</w:t>
      </w:r>
    </w:p>
    <w:p w14:paraId="4DED1F16"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Barndoseringen skall baseras på kroppsyta (mg/m</w:t>
      </w:r>
      <w:r w:rsidRPr="000E7AE9">
        <w:rPr>
          <w:color w:val="000000"/>
          <w:szCs w:val="22"/>
          <w:vertAlign w:val="superscript"/>
          <w:lang w:val="sv-SE"/>
        </w:rPr>
        <w:t>2</w:t>
      </w:r>
      <w:r w:rsidRPr="000E7AE9">
        <w:rPr>
          <w:color w:val="000000"/>
          <w:szCs w:val="22"/>
          <w:lang w:val="sv-SE"/>
        </w:rPr>
        <w:t>). Dosen 340 mg/m</w:t>
      </w:r>
      <w:r w:rsidRPr="000E7AE9">
        <w:rPr>
          <w:color w:val="000000"/>
          <w:szCs w:val="22"/>
          <w:vertAlign w:val="superscript"/>
          <w:lang w:val="sv-SE"/>
        </w:rPr>
        <w:t>2</w:t>
      </w:r>
      <w:r w:rsidRPr="000E7AE9">
        <w:rPr>
          <w:color w:val="000000"/>
          <w:szCs w:val="22"/>
          <w:lang w:val="sv-SE"/>
        </w:rPr>
        <w:t xml:space="preserve"> dagligen rekommenderas till barn med KML i kronisk fas respektive KML i avancerad fas (får ej överstiga totaldosen 800 mg). Behandlingen kan ges som en daglig engångsdos eller alternativt kan den dagliga dosen ges vid två tillfällen - en på morgonen och en på kvällen. Aktuell doseringsrekommendation är baserad på ett litet antal pediatriska patienter (se avsnitt 5.1 och 5.2). Det finns ingen erfarenhet av behandling av barn under 2 års ålder.</w:t>
      </w:r>
    </w:p>
    <w:p w14:paraId="1CCE7DF7" w14:textId="77777777" w:rsidR="00161D46" w:rsidRPr="000E7AE9" w:rsidRDefault="00161D46" w:rsidP="00463647">
      <w:pPr>
        <w:pStyle w:val="EndnoteText"/>
        <w:widowControl w:val="0"/>
        <w:tabs>
          <w:tab w:val="clear" w:pos="567"/>
        </w:tabs>
        <w:rPr>
          <w:color w:val="000000"/>
          <w:szCs w:val="22"/>
          <w:lang w:val="sv-SE"/>
        </w:rPr>
      </w:pPr>
    </w:p>
    <w:p w14:paraId="38C32095" w14:textId="77777777" w:rsidR="00161D46" w:rsidRPr="000E7AE9" w:rsidRDefault="00161D46" w:rsidP="00463647">
      <w:pPr>
        <w:pStyle w:val="EndnoteText"/>
        <w:widowControl w:val="0"/>
        <w:tabs>
          <w:tab w:val="clear" w:pos="567"/>
        </w:tabs>
        <w:rPr>
          <w:rFonts w:eastAsia="MS Mincho"/>
          <w:color w:val="000000"/>
          <w:szCs w:val="22"/>
          <w:lang w:val="sv-SE" w:eastAsia="ja-JP"/>
        </w:rPr>
      </w:pPr>
      <w:r w:rsidRPr="000E7AE9">
        <w:rPr>
          <w:color w:val="000000"/>
          <w:szCs w:val="22"/>
          <w:lang w:val="sv-SE"/>
        </w:rPr>
        <w:t>Dosökningar från 340</w:t>
      </w:r>
      <w:r w:rsidRPr="000E7AE9">
        <w:rPr>
          <w:rFonts w:eastAsia="MS Mincho"/>
          <w:color w:val="000000"/>
          <w:szCs w:val="22"/>
          <w:lang w:val="sv-SE" w:eastAsia="ja-JP"/>
        </w:rPr>
        <w:t> mg/m</w:t>
      </w:r>
      <w:r w:rsidRPr="000E7AE9">
        <w:rPr>
          <w:rFonts w:eastAsia="MS Mincho"/>
          <w:color w:val="000000"/>
          <w:szCs w:val="22"/>
          <w:vertAlign w:val="superscript"/>
          <w:lang w:val="sv-SE" w:eastAsia="ja-JP"/>
        </w:rPr>
        <w:t>2</w:t>
      </w:r>
      <w:r w:rsidRPr="000E7AE9">
        <w:rPr>
          <w:rFonts w:eastAsia="MS Mincho"/>
          <w:color w:val="000000"/>
          <w:szCs w:val="22"/>
          <w:lang w:val="sv-SE" w:eastAsia="ja-JP"/>
        </w:rPr>
        <w:t xml:space="preserve"> dagligen till 570 mg/m</w:t>
      </w:r>
      <w:r w:rsidRPr="000E7AE9">
        <w:rPr>
          <w:rFonts w:eastAsia="MS Mincho"/>
          <w:color w:val="000000"/>
          <w:szCs w:val="22"/>
          <w:vertAlign w:val="superscript"/>
          <w:lang w:val="sv-SE" w:eastAsia="ja-JP"/>
        </w:rPr>
        <w:t>2</w:t>
      </w:r>
      <w:r w:rsidRPr="000E7AE9">
        <w:rPr>
          <w:rFonts w:eastAsia="MS Mincho"/>
          <w:color w:val="000000"/>
          <w:szCs w:val="22"/>
          <w:lang w:val="sv-SE" w:eastAsia="ja-JP"/>
        </w:rPr>
        <w:t xml:space="preserve"> dagligen (får ej överskrida totaldosen 800 mg) kan övervägas hos barn i frånvaro av svåra biverkningar och svår non-leukemi-relaterad neutropeni eller trombocytopeni vid följande omständigheter: sjukdomsprogression (när som helst); misslyckande att erhålla ett tillfredsställande hematologiskt svar efter minst 3 månaders behandling, misslyckande att erhålla ett cytogenetiskt svar efter 12 månaders behandling; eller relaps efter tidigare uppnått hematologiskt och/eller cytogenetiskt svar. Patienter bör monitoreras noggrant efter dosökning med tanke på risken för ökad incidens av biverkningar vid högre doser.</w:t>
      </w:r>
    </w:p>
    <w:p w14:paraId="30C5C248" w14:textId="77777777" w:rsidR="00161D46" w:rsidRPr="000E7AE9" w:rsidRDefault="00161D46" w:rsidP="00463647">
      <w:pPr>
        <w:pStyle w:val="EndnoteText"/>
        <w:widowControl w:val="0"/>
        <w:tabs>
          <w:tab w:val="clear" w:pos="567"/>
        </w:tabs>
        <w:rPr>
          <w:rFonts w:eastAsia="MS Mincho"/>
          <w:color w:val="000000"/>
          <w:szCs w:val="22"/>
          <w:lang w:val="sv-SE" w:eastAsia="ja-JP"/>
        </w:rPr>
      </w:pPr>
    </w:p>
    <w:p w14:paraId="2DBB08F1"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Ph+ ALL</w:t>
      </w:r>
      <w:r w:rsidR="003706F0">
        <w:rPr>
          <w:color w:val="000000"/>
          <w:szCs w:val="22"/>
          <w:u w:val="single"/>
          <w:lang w:val="sv-SE"/>
        </w:rPr>
        <w:t xml:space="preserve"> hos vuxna patienter</w:t>
      </w:r>
    </w:p>
    <w:p w14:paraId="7B52D5A5"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600 mg dagligen för </w:t>
      </w:r>
      <w:r w:rsidR="00C57E56">
        <w:rPr>
          <w:color w:val="000000"/>
          <w:szCs w:val="22"/>
          <w:lang w:val="sv-SE"/>
        </w:rPr>
        <w:t xml:space="preserve">vuxna </w:t>
      </w:r>
      <w:r w:rsidRPr="000E7AE9">
        <w:rPr>
          <w:color w:val="000000"/>
          <w:szCs w:val="22"/>
          <w:lang w:val="sv-SE"/>
        </w:rPr>
        <w:t>patienter med Ph+ ALL. Hematologer som är experter på hantering av denna sjukdom skall övervaka behandlingen i alla behandlingsfaser.</w:t>
      </w:r>
    </w:p>
    <w:p w14:paraId="33DB21D0" w14:textId="77777777" w:rsidR="00161D46" w:rsidRPr="000E7AE9" w:rsidRDefault="00161D46" w:rsidP="00463647">
      <w:pPr>
        <w:pStyle w:val="EndnoteText"/>
        <w:widowControl w:val="0"/>
        <w:tabs>
          <w:tab w:val="clear" w:pos="567"/>
        </w:tabs>
        <w:rPr>
          <w:color w:val="000000"/>
          <w:szCs w:val="22"/>
          <w:lang w:val="sv-SE"/>
        </w:rPr>
      </w:pPr>
    </w:p>
    <w:p w14:paraId="78AD009A" w14:textId="77777777" w:rsidR="00161D46" w:rsidRPr="000E7AE9" w:rsidRDefault="00161D46" w:rsidP="00463647">
      <w:pPr>
        <w:widowControl w:val="0"/>
        <w:spacing w:line="240" w:lineRule="auto"/>
        <w:rPr>
          <w:rFonts w:eastAsia="MS Mincho"/>
          <w:color w:val="000000"/>
          <w:szCs w:val="22"/>
          <w:lang w:val="sv-SE" w:eastAsia="ja-JP"/>
        </w:rPr>
      </w:pPr>
      <w:r w:rsidRPr="000E7AE9">
        <w:rPr>
          <w:rFonts w:eastAsia="MS Mincho"/>
          <w:color w:val="000000"/>
          <w:szCs w:val="22"/>
          <w:lang w:val="sv-SE" w:eastAsia="ja-JP"/>
        </w:rPr>
        <w:t>Behandlingsschema: Baserat på befintliga data har Glivec visat sig vara effektivt och säkert när det ges i dosen 600 mg/dag i kombination med kemoterapi i induktionsfas, konsoliderings- och underhållsfas av kemoterapin (se avsnitt 5.1) hos vuxna patienter med nydiagnosticerad Ph+ ALL. Längden på behandlingen med Glivec kan variera med valt behandlingsprogram men längre exponering med Glivec har generellt gett bättre resultat.</w:t>
      </w:r>
    </w:p>
    <w:p w14:paraId="1FFCFE32" w14:textId="77777777" w:rsidR="00161D46" w:rsidRPr="000E7AE9" w:rsidRDefault="00161D46" w:rsidP="00463647">
      <w:pPr>
        <w:widowControl w:val="0"/>
        <w:spacing w:line="240" w:lineRule="auto"/>
        <w:rPr>
          <w:rFonts w:eastAsia="MS Mincho"/>
          <w:color w:val="000000"/>
          <w:szCs w:val="22"/>
          <w:lang w:val="sv-SE" w:eastAsia="ja-JP"/>
        </w:rPr>
      </w:pPr>
    </w:p>
    <w:p w14:paraId="47B08D85" w14:textId="77777777" w:rsidR="00161D46" w:rsidRPr="000E7AE9" w:rsidRDefault="00161D46" w:rsidP="00463647">
      <w:pPr>
        <w:pStyle w:val="EndnoteText"/>
        <w:widowControl w:val="0"/>
        <w:tabs>
          <w:tab w:val="clear" w:pos="567"/>
        </w:tabs>
        <w:rPr>
          <w:color w:val="000000"/>
          <w:szCs w:val="22"/>
          <w:lang w:val="sv-SE"/>
        </w:rPr>
      </w:pPr>
      <w:r w:rsidRPr="000E7AE9">
        <w:rPr>
          <w:rFonts w:eastAsia="MS Mincho"/>
          <w:color w:val="000000"/>
          <w:szCs w:val="22"/>
          <w:lang w:val="sv-SE" w:eastAsia="ja-JP"/>
        </w:rPr>
        <w:t>För vuxna patienter med relapserande eller refraktär Ph+ALL är monoterapi med Glivec vid dosen 600 mg/dag säker, effektiv och kan ges tills sjukdomsprogression uppstår.</w:t>
      </w:r>
    </w:p>
    <w:p w14:paraId="5B31FA7C" w14:textId="77777777" w:rsidR="00007DBA" w:rsidRPr="008C6AAC" w:rsidRDefault="00007DBA" w:rsidP="00463647">
      <w:pPr>
        <w:pStyle w:val="EndnoteText"/>
        <w:widowControl w:val="0"/>
        <w:tabs>
          <w:tab w:val="clear" w:pos="567"/>
        </w:tabs>
        <w:rPr>
          <w:color w:val="000000"/>
          <w:szCs w:val="22"/>
          <w:lang w:val="sv-SE"/>
        </w:rPr>
      </w:pPr>
    </w:p>
    <w:p w14:paraId="276358B7" w14:textId="77777777" w:rsidR="003706F0" w:rsidRPr="00946267" w:rsidRDefault="003706F0" w:rsidP="00463647">
      <w:pPr>
        <w:pStyle w:val="EndnoteText"/>
        <w:keepNext/>
        <w:widowControl w:val="0"/>
        <w:tabs>
          <w:tab w:val="clear" w:pos="567"/>
        </w:tabs>
        <w:rPr>
          <w:color w:val="000000"/>
          <w:szCs w:val="22"/>
          <w:u w:val="single"/>
          <w:lang w:val="sv-SE"/>
        </w:rPr>
      </w:pPr>
      <w:r w:rsidRPr="00946267">
        <w:rPr>
          <w:color w:val="000000"/>
          <w:szCs w:val="22"/>
          <w:u w:val="single"/>
          <w:lang w:val="sv-SE"/>
        </w:rPr>
        <w:t>Dosering vid Ph+ ALL hos barn</w:t>
      </w:r>
    </w:p>
    <w:p w14:paraId="294F2D03" w14:textId="77777777" w:rsidR="003706F0" w:rsidRPr="008C6AAC" w:rsidRDefault="003706F0" w:rsidP="00463647">
      <w:pPr>
        <w:pStyle w:val="EndnoteText"/>
        <w:widowControl w:val="0"/>
        <w:tabs>
          <w:tab w:val="clear" w:pos="567"/>
        </w:tabs>
        <w:rPr>
          <w:color w:val="000000"/>
          <w:szCs w:val="22"/>
          <w:lang w:val="sv-SE"/>
        </w:rPr>
      </w:pPr>
      <w:r w:rsidRPr="008C6AAC">
        <w:rPr>
          <w:color w:val="000000"/>
          <w:szCs w:val="22"/>
          <w:lang w:val="sv-SE"/>
        </w:rPr>
        <w:t>Doseringen hos barn bör baseras på kroppsytan (mg/m</w:t>
      </w:r>
      <w:r w:rsidRPr="008C6AAC">
        <w:rPr>
          <w:color w:val="000000"/>
          <w:szCs w:val="22"/>
          <w:vertAlign w:val="superscript"/>
          <w:lang w:val="sv-SE"/>
        </w:rPr>
        <w:t>2</w:t>
      </w:r>
      <w:r w:rsidRPr="008C6AAC">
        <w:rPr>
          <w:color w:val="000000"/>
          <w:szCs w:val="22"/>
          <w:lang w:val="sv-SE"/>
        </w:rPr>
        <w:t>). En dos på 340 mg/m</w:t>
      </w:r>
      <w:r w:rsidRPr="008C6AAC">
        <w:rPr>
          <w:color w:val="000000"/>
          <w:szCs w:val="22"/>
          <w:vertAlign w:val="superscript"/>
          <w:lang w:val="sv-SE"/>
        </w:rPr>
        <w:t>2</w:t>
      </w:r>
      <w:r w:rsidRPr="008C6AAC">
        <w:rPr>
          <w:color w:val="000000"/>
          <w:szCs w:val="22"/>
          <w:lang w:val="sv-SE"/>
        </w:rPr>
        <w:t xml:space="preserve"> dagligen rekommenderas för barn med Ph+ ALL (ska ej överskrida en total dos på 600 mg).</w:t>
      </w:r>
    </w:p>
    <w:p w14:paraId="5D7E9F55" w14:textId="77777777" w:rsidR="003706F0" w:rsidRDefault="003706F0" w:rsidP="00463647">
      <w:pPr>
        <w:pStyle w:val="EndnoteText"/>
        <w:widowControl w:val="0"/>
        <w:tabs>
          <w:tab w:val="clear" w:pos="567"/>
        </w:tabs>
        <w:rPr>
          <w:color w:val="000000"/>
          <w:szCs w:val="22"/>
          <w:u w:val="single"/>
          <w:lang w:val="sv-SE"/>
        </w:rPr>
      </w:pPr>
    </w:p>
    <w:p w14:paraId="5DB37883"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MDS/MPD</w:t>
      </w:r>
    </w:p>
    <w:p w14:paraId="4923245D"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Den rekommenderade dosen Glivec är 400</w:t>
      </w:r>
      <w:r w:rsidRPr="000E7AE9">
        <w:rPr>
          <w:color w:val="000000"/>
          <w:lang w:val="sv-SE"/>
        </w:rPr>
        <w:t> </w:t>
      </w:r>
      <w:r w:rsidRPr="000E7AE9">
        <w:rPr>
          <w:color w:val="000000"/>
          <w:szCs w:val="22"/>
          <w:lang w:val="sv-SE"/>
        </w:rPr>
        <w:t xml:space="preserve">mg dagligen för </w:t>
      </w:r>
      <w:r w:rsidR="00C57E56">
        <w:rPr>
          <w:color w:val="000000"/>
          <w:szCs w:val="22"/>
          <w:lang w:val="sv-SE"/>
        </w:rPr>
        <w:t xml:space="preserve">vuxna </w:t>
      </w:r>
      <w:r w:rsidRPr="000E7AE9">
        <w:rPr>
          <w:color w:val="000000"/>
          <w:szCs w:val="22"/>
          <w:lang w:val="sv-SE"/>
        </w:rPr>
        <w:t>patienter med MDS/MPD.</w:t>
      </w:r>
    </w:p>
    <w:p w14:paraId="6436D767" w14:textId="77777777" w:rsidR="00161D46" w:rsidRPr="000E7AE9" w:rsidRDefault="00161D46" w:rsidP="00463647">
      <w:pPr>
        <w:pStyle w:val="EndnoteText"/>
        <w:widowControl w:val="0"/>
        <w:tabs>
          <w:tab w:val="clear" w:pos="567"/>
        </w:tabs>
        <w:rPr>
          <w:color w:val="000000"/>
          <w:szCs w:val="22"/>
          <w:lang w:val="sv-SE"/>
        </w:rPr>
      </w:pPr>
    </w:p>
    <w:p w14:paraId="26F27F88"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Behandlingstid: I den enda genomförda kliniska studien hittills, fortsatte behandlingen med Glivec tills sjukdomen tilltog (se avsnitt 5.1). Vid tiden för analys var behandlingstiden i median 47 månader (24 dagar – 60 månader).</w:t>
      </w:r>
    </w:p>
    <w:p w14:paraId="40135A93" w14:textId="77777777" w:rsidR="00161D46" w:rsidRPr="000E7AE9" w:rsidRDefault="00161D46" w:rsidP="00463647">
      <w:pPr>
        <w:pStyle w:val="EndnoteText"/>
        <w:widowControl w:val="0"/>
        <w:tabs>
          <w:tab w:val="clear" w:pos="567"/>
        </w:tabs>
        <w:rPr>
          <w:color w:val="000000"/>
          <w:szCs w:val="22"/>
          <w:lang w:val="sv-SE"/>
        </w:rPr>
      </w:pPr>
    </w:p>
    <w:p w14:paraId="41868EE5" w14:textId="77777777" w:rsidR="00161D46" w:rsidRPr="000E7AE9" w:rsidRDefault="00161D46" w:rsidP="00463647">
      <w:pPr>
        <w:pStyle w:val="EndnoteText"/>
        <w:keepNext/>
        <w:widowControl w:val="0"/>
        <w:tabs>
          <w:tab w:val="clear" w:pos="567"/>
        </w:tabs>
        <w:rPr>
          <w:color w:val="000000"/>
          <w:szCs w:val="22"/>
          <w:lang w:val="sv-SE"/>
        </w:rPr>
      </w:pPr>
      <w:r w:rsidRPr="000E7AE9">
        <w:rPr>
          <w:color w:val="000000"/>
          <w:szCs w:val="22"/>
          <w:u w:val="single"/>
          <w:lang w:val="sv-SE"/>
        </w:rPr>
        <w:t>Dosering vid HES/CEL</w:t>
      </w:r>
    </w:p>
    <w:p w14:paraId="6224CAB2"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100 mg dagligen för </w:t>
      </w:r>
      <w:r w:rsidR="00C57E56">
        <w:rPr>
          <w:color w:val="000000"/>
          <w:szCs w:val="22"/>
          <w:lang w:val="sv-SE"/>
        </w:rPr>
        <w:t xml:space="preserve">vuxna </w:t>
      </w:r>
      <w:r w:rsidRPr="000E7AE9">
        <w:rPr>
          <w:color w:val="000000"/>
          <w:szCs w:val="22"/>
          <w:lang w:val="sv-SE"/>
        </w:rPr>
        <w:t>patienter med HES/CEL.</w:t>
      </w:r>
    </w:p>
    <w:p w14:paraId="3880F0E5" w14:textId="77777777" w:rsidR="00161D46" w:rsidRPr="000E7AE9" w:rsidRDefault="00161D46" w:rsidP="00463647">
      <w:pPr>
        <w:pStyle w:val="EndnoteText"/>
        <w:widowControl w:val="0"/>
        <w:tabs>
          <w:tab w:val="clear" w:pos="567"/>
        </w:tabs>
        <w:rPr>
          <w:color w:val="000000"/>
          <w:szCs w:val="22"/>
          <w:lang w:val="sv-SE"/>
        </w:rPr>
      </w:pPr>
    </w:p>
    <w:p w14:paraId="45A6600D"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Dosökning från 100 mg till 400 mg kan övervägas för dessa patienter i frånvaro av läkemedelsbiverkningar om behandlingssvaret bedöms vara otillräckligt.</w:t>
      </w:r>
    </w:p>
    <w:p w14:paraId="1ABFAAEA" w14:textId="77777777" w:rsidR="00161D46" w:rsidRDefault="00161D46" w:rsidP="00463647">
      <w:pPr>
        <w:pStyle w:val="EndnoteText"/>
        <w:widowControl w:val="0"/>
        <w:tabs>
          <w:tab w:val="clear" w:pos="567"/>
        </w:tabs>
        <w:rPr>
          <w:color w:val="000000"/>
          <w:szCs w:val="22"/>
          <w:lang w:val="sv-SE"/>
        </w:rPr>
      </w:pPr>
    </w:p>
    <w:p w14:paraId="460CA4D4" w14:textId="77777777" w:rsidR="00161D46" w:rsidRDefault="00161D46" w:rsidP="00463647">
      <w:pPr>
        <w:pStyle w:val="EndnoteText"/>
        <w:widowControl w:val="0"/>
        <w:tabs>
          <w:tab w:val="clear" w:pos="567"/>
        </w:tabs>
        <w:rPr>
          <w:color w:val="000000"/>
          <w:szCs w:val="22"/>
          <w:lang w:val="sv-SE"/>
        </w:rPr>
      </w:pPr>
      <w:r>
        <w:rPr>
          <w:color w:val="000000"/>
          <w:szCs w:val="22"/>
          <w:lang w:val="sv-SE"/>
        </w:rPr>
        <w:t>Behandling bör fortsätta så länge patienten har fortsatt nytta.</w:t>
      </w:r>
    </w:p>
    <w:p w14:paraId="6E1C4057" w14:textId="77777777" w:rsidR="00161D46" w:rsidRPr="000E7AE9" w:rsidRDefault="00161D46" w:rsidP="00463647">
      <w:pPr>
        <w:pStyle w:val="EndnoteText"/>
        <w:widowControl w:val="0"/>
        <w:tabs>
          <w:tab w:val="clear" w:pos="567"/>
        </w:tabs>
        <w:rPr>
          <w:color w:val="000000"/>
          <w:szCs w:val="22"/>
          <w:lang w:val="sv-SE"/>
        </w:rPr>
      </w:pPr>
    </w:p>
    <w:p w14:paraId="4CDD35F4"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GIST</w:t>
      </w:r>
    </w:p>
    <w:p w14:paraId="5D6B9E4A"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400 mg dagligen för </w:t>
      </w:r>
      <w:r w:rsidR="00C57E56">
        <w:rPr>
          <w:color w:val="000000"/>
          <w:szCs w:val="22"/>
          <w:lang w:val="sv-SE"/>
        </w:rPr>
        <w:t xml:space="preserve">vuxna </w:t>
      </w:r>
      <w:r w:rsidRPr="000E7AE9">
        <w:rPr>
          <w:color w:val="000000"/>
          <w:szCs w:val="22"/>
          <w:lang w:val="sv-SE"/>
        </w:rPr>
        <w:t xml:space="preserve">patienter med icke-resecerbar </w:t>
      </w:r>
      <w:r w:rsidRPr="000E7AE9">
        <w:rPr>
          <w:color w:val="000000"/>
          <w:szCs w:val="22"/>
          <w:lang w:val="sv-SE"/>
        </w:rPr>
        <w:lastRenderedPageBreak/>
        <w:t>och/eller metastaserande, malign GIST.</w:t>
      </w:r>
    </w:p>
    <w:p w14:paraId="04A4761F" w14:textId="77777777" w:rsidR="00161D46" w:rsidRPr="000E7AE9" w:rsidRDefault="00161D46" w:rsidP="00463647">
      <w:pPr>
        <w:pStyle w:val="EndnoteText"/>
        <w:widowControl w:val="0"/>
        <w:tabs>
          <w:tab w:val="clear" w:pos="567"/>
        </w:tabs>
        <w:rPr>
          <w:color w:val="000000"/>
          <w:szCs w:val="22"/>
          <w:lang w:val="sv-SE"/>
        </w:rPr>
      </w:pPr>
    </w:p>
    <w:p w14:paraId="345432B1"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Det finns begränsade data på effekten av dosökning från 400 mg till 600 mg eller 800 mg hos patienter som progredierar vid den lägre dosen (se avsnitt 5.1).</w:t>
      </w:r>
    </w:p>
    <w:p w14:paraId="1D298951" w14:textId="77777777" w:rsidR="00161D46" w:rsidRPr="000E7AE9" w:rsidRDefault="00161D46" w:rsidP="00463647">
      <w:pPr>
        <w:pStyle w:val="EndnoteText"/>
        <w:widowControl w:val="0"/>
        <w:tabs>
          <w:tab w:val="clear" w:pos="567"/>
        </w:tabs>
        <w:rPr>
          <w:color w:val="000000"/>
          <w:szCs w:val="22"/>
          <w:lang w:val="sv-SE"/>
        </w:rPr>
      </w:pPr>
    </w:p>
    <w:p w14:paraId="5D85BA2C" w14:textId="77777777" w:rsidR="00161D46" w:rsidRDefault="00161D46" w:rsidP="00463647">
      <w:pPr>
        <w:pStyle w:val="EndnoteText"/>
        <w:widowControl w:val="0"/>
        <w:tabs>
          <w:tab w:val="clear" w:pos="567"/>
        </w:tabs>
        <w:rPr>
          <w:color w:val="000000"/>
          <w:szCs w:val="22"/>
          <w:lang w:val="sv-SE"/>
        </w:rPr>
      </w:pPr>
      <w:r w:rsidRPr="000E7AE9">
        <w:rPr>
          <w:color w:val="000000"/>
          <w:szCs w:val="22"/>
          <w:lang w:val="sv-SE"/>
        </w:rPr>
        <w:t>Behandlingstid: I kliniska studier med GIST-patienter fortsatte behandlingen med Glivec till sjukdomsprogress. Vid tiden för analys var behandlingstiden i median 7 månader (7 dagar till 13 månader). Effekten av att stoppa behandlingen efter att ha uppnått ett svar har inte undersökts.</w:t>
      </w:r>
    </w:p>
    <w:p w14:paraId="6E440A57" w14:textId="77777777" w:rsidR="00161D46" w:rsidRDefault="00161D46" w:rsidP="00463647">
      <w:pPr>
        <w:pStyle w:val="EndnoteText"/>
        <w:widowControl w:val="0"/>
        <w:tabs>
          <w:tab w:val="clear" w:pos="567"/>
        </w:tabs>
        <w:rPr>
          <w:color w:val="000000"/>
          <w:szCs w:val="22"/>
          <w:lang w:val="sv-SE"/>
        </w:rPr>
      </w:pPr>
    </w:p>
    <w:p w14:paraId="434D9C13" w14:textId="77777777" w:rsidR="00161D46" w:rsidRPr="000E7AE9" w:rsidRDefault="00161D46" w:rsidP="00463647">
      <w:pPr>
        <w:pStyle w:val="EndnoteText"/>
        <w:widowControl w:val="0"/>
        <w:tabs>
          <w:tab w:val="clear" w:pos="567"/>
        </w:tabs>
        <w:rPr>
          <w:color w:val="000000"/>
          <w:szCs w:val="22"/>
          <w:lang w:val="sv-SE"/>
        </w:rPr>
      </w:pPr>
      <w:r>
        <w:rPr>
          <w:color w:val="000000"/>
          <w:szCs w:val="22"/>
          <w:lang w:val="sv-SE"/>
        </w:rPr>
        <w:t>Rekommenderad dos Glivec är 400</w:t>
      </w:r>
      <w:r w:rsidRPr="000E7AE9">
        <w:rPr>
          <w:color w:val="000000"/>
          <w:szCs w:val="22"/>
          <w:lang w:val="sv-SE"/>
        </w:rPr>
        <w:t> </w:t>
      </w:r>
      <w:r>
        <w:rPr>
          <w:color w:val="000000"/>
          <w:szCs w:val="22"/>
          <w:lang w:val="sv-SE"/>
        </w:rPr>
        <w:t xml:space="preserve">mg </w:t>
      </w:r>
      <w:r w:rsidRPr="008C2DDF">
        <w:rPr>
          <w:color w:val="000000"/>
          <w:szCs w:val="22"/>
          <w:lang w:val="sv-SE"/>
        </w:rPr>
        <w:t>dagligen</w:t>
      </w:r>
      <w:r>
        <w:rPr>
          <w:color w:val="000000"/>
          <w:szCs w:val="22"/>
          <w:lang w:val="sv-SE"/>
        </w:rPr>
        <w:t xml:space="preserve"> för adjuvant behandling av vuxna patienter efter resektion av GIST. Optimal behandlingstid är ännu inte fastställd. Behandlingstid i den kliniska studie som denna indikation stödjer sig på var </w:t>
      </w:r>
      <w:r w:rsidR="00AC6551">
        <w:rPr>
          <w:color w:val="000000"/>
          <w:szCs w:val="22"/>
          <w:lang w:val="sv-SE"/>
        </w:rPr>
        <w:t>36</w:t>
      </w:r>
      <w:r w:rsidRPr="000E7AE9">
        <w:rPr>
          <w:color w:val="000000"/>
          <w:szCs w:val="22"/>
          <w:lang w:val="sv-SE"/>
        </w:rPr>
        <w:t> </w:t>
      </w:r>
      <w:r>
        <w:rPr>
          <w:color w:val="000000"/>
          <w:szCs w:val="22"/>
          <w:lang w:val="sv-SE"/>
        </w:rPr>
        <w:t>månader</w:t>
      </w:r>
      <w:r w:rsidR="00AC6551">
        <w:rPr>
          <w:color w:val="000000"/>
          <w:szCs w:val="22"/>
          <w:lang w:val="sv-SE"/>
        </w:rPr>
        <w:t xml:space="preserve"> (se avsnitt 5.1)</w:t>
      </w:r>
      <w:r>
        <w:rPr>
          <w:color w:val="000000"/>
          <w:szCs w:val="22"/>
          <w:lang w:val="sv-SE"/>
        </w:rPr>
        <w:t>.</w:t>
      </w:r>
    </w:p>
    <w:p w14:paraId="1369511C" w14:textId="77777777" w:rsidR="00161D46" w:rsidRPr="000E7AE9" w:rsidRDefault="00161D46" w:rsidP="00463647">
      <w:pPr>
        <w:pStyle w:val="EndnoteText"/>
        <w:widowControl w:val="0"/>
        <w:tabs>
          <w:tab w:val="clear" w:pos="567"/>
        </w:tabs>
        <w:rPr>
          <w:color w:val="000000"/>
          <w:szCs w:val="22"/>
          <w:lang w:val="sv-SE"/>
        </w:rPr>
      </w:pPr>
    </w:p>
    <w:p w14:paraId="4A59483B"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Dosering vid DFSP</w:t>
      </w:r>
    </w:p>
    <w:p w14:paraId="5E34EDF4"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 xml:space="preserve">Den rekommenderade dosen Glivec är 800 mg dagligen för </w:t>
      </w:r>
      <w:r w:rsidR="00C57E56">
        <w:rPr>
          <w:color w:val="000000"/>
          <w:szCs w:val="22"/>
          <w:lang w:val="sv-SE"/>
        </w:rPr>
        <w:t xml:space="preserve">vuxna </w:t>
      </w:r>
      <w:r w:rsidRPr="000E7AE9">
        <w:rPr>
          <w:color w:val="000000"/>
          <w:szCs w:val="22"/>
          <w:lang w:val="sv-SE"/>
        </w:rPr>
        <w:t>patienter med DFSP.</w:t>
      </w:r>
    </w:p>
    <w:p w14:paraId="2F998069" w14:textId="77777777" w:rsidR="00161D46" w:rsidRPr="000E7AE9" w:rsidRDefault="00161D46" w:rsidP="00463647">
      <w:pPr>
        <w:pStyle w:val="EndnoteText"/>
        <w:widowControl w:val="0"/>
        <w:tabs>
          <w:tab w:val="clear" w:pos="567"/>
        </w:tabs>
        <w:rPr>
          <w:color w:val="000000"/>
          <w:szCs w:val="22"/>
          <w:lang w:val="sv-SE"/>
        </w:rPr>
      </w:pPr>
    </w:p>
    <w:p w14:paraId="2EDFFCA9" w14:textId="77777777" w:rsidR="00161D46" w:rsidRPr="000E7AE9" w:rsidRDefault="00161D46" w:rsidP="00463647">
      <w:pPr>
        <w:pStyle w:val="EndnoteText"/>
        <w:keepNext/>
        <w:widowControl w:val="0"/>
        <w:tabs>
          <w:tab w:val="clear" w:pos="567"/>
        </w:tabs>
        <w:rPr>
          <w:color w:val="000000"/>
          <w:szCs w:val="22"/>
          <w:lang w:val="sv-SE"/>
        </w:rPr>
      </w:pPr>
      <w:r w:rsidRPr="000E7AE9">
        <w:rPr>
          <w:color w:val="000000"/>
          <w:szCs w:val="22"/>
          <w:u w:val="single"/>
          <w:lang w:val="sv-SE"/>
        </w:rPr>
        <w:t>Dosjustering för biverkningar</w:t>
      </w:r>
    </w:p>
    <w:p w14:paraId="61ECA1EE" w14:textId="77777777" w:rsidR="00161D46" w:rsidRPr="000E7AE9" w:rsidRDefault="00161D46" w:rsidP="00463647">
      <w:pPr>
        <w:pStyle w:val="EndnoteText"/>
        <w:keepNext/>
        <w:widowControl w:val="0"/>
        <w:tabs>
          <w:tab w:val="clear" w:pos="567"/>
        </w:tabs>
        <w:rPr>
          <w:i/>
          <w:color w:val="000000"/>
          <w:szCs w:val="22"/>
          <w:lang w:val="sv-SE"/>
        </w:rPr>
      </w:pPr>
      <w:r w:rsidRPr="000E7AE9">
        <w:rPr>
          <w:i/>
          <w:color w:val="000000"/>
          <w:szCs w:val="22"/>
          <w:lang w:val="sv-SE"/>
        </w:rPr>
        <w:t>Icke-hematologiska biverkningar</w:t>
      </w:r>
    </w:p>
    <w:p w14:paraId="4E0D0CB0"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Om svåra icke-hematologiska biverkningar uppträder under behandling med Glivec skall behandlingen sättas ut till dess biverkningen har försvunnit. Efter detta kan behandlingen återupptas, där lämplig dosstorlek avgörs efter biverkningens svårighetsgrad.</w:t>
      </w:r>
    </w:p>
    <w:p w14:paraId="65ACA4FC" w14:textId="77777777" w:rsidR="00161D46" w:rsidRPr="000E7AE9" w:rsidRDefault="00161D46" w:rsidP="00463647">
      <w:pPr>
        <w:pStyle w:val="EndnoteText"/>
        <w:widowControl w:val="0"/>
        <w:tabs>
          <w:tab w:val="clear" w:pos="567"/>
        </w:tabs>
        <w:rPr>
          <w:color w:val="000000"/>
          <w:szCs w:val="22"/>
          <w:lang w:val="sv-SE"/>
        </w:rPr>
      </w:pPr>
    </w:p>
    <w:p w14:paraId="2B424AB7"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Om höjning i bilirubin &gt; 3 gånger det institutionella övre normala gränsvärdet (IULN) eller i levertransaminaser &gt; 5 gånger IULN inträffar, skall man sätta ut Glivec tills bilirubinnivåerna återgått till &lt; 1,5 gånger IULN och transaminasnivåerna till &lt; 2,5 gånger IULN. Behandling med Glivec kan därefter fortsätta med en reducerad daglig dos. Hos vuxna skall dosen reduceras från 400 mg till 300 mg eller från 600 mg till 400 mg, eller från 800 mg till 600 mg. Hos barn skall dosen reduceras från 340 mg/m</w:t>
      </w:r>
      <w:r w:rsidRPr="000E7AE9">
        <w:rPr>
          <w:color w:val="000000"/>
          <w:szCs w:val="22"/>
          <w:vertAlign w:val="superscript"/>
          <w:lang w:val="sv-SE"/>
        </w:rPr>
        <w:t>2</w:t>
      </w:r>
      <w:r w:rsidRPr="000E7AE9">
        <w:rPr>
          <w:color w:val="000000"/>
          <w:szCs w:val="22"/>
          <w:lang w:val="sv-SE"/>
        </w:rPr>
        <w:t>/dag till 260 mg/m</w:t>
      </w:r>
      <w:r w:rsidRPr="000E7AE9">
        <w:rPr>
          <w:color w:val="000000"/>
          <w:szCs w:val="22"/>
          <w:vertAlign w:val="superscript"/>
          <w:lang w:val="sv-SE"/>
        </w:rPr>
        <w:t>2</w:t>
      </w:r>
      <w:r w:rsidRPr="000E7AE9">
        <w:rPr>
          <w:color w:val="000000"/>
          <w:szCs w:val="22"/>
          <w:lang w:val="sv-SE"/>
        </w:rPr>
        <w:t>/dag.</w:t>
      </w:r>
    </w:p>
    <w:p w14:paraId="293908ED" w14:textId="77777777" w:rsidR="00161D46" w:rsidRPr="000E7AE9" w:rsidRDefault="00161D46" w:rsidP="00463647">
      <w:pPr>
        <w:pStyle w:val="EndnoteText"/>
        <w:widowControl w:val="0"/>
        <w:tabs>
          <w:tab w:val="clear" w:pos="567"/>
        </w:tabs>
        <w:rPr>
          <w:color w:val="000000"/>
          <w:szCs w:val="22"/>
          <w:lang w:val="sv-SE"/>
        </w:rPr>
      </w:pPr>
    </w:p>
    <w:p w14:paraId="0C1839A7" w14:textId="77777777" w:rsidR="00161D46" w:rsidRPr="000E7AE9" w:rsidRDefault="00161D46" w:rsidP="00463647">
      <w:pPr>
        <w:pStyle w:val="EndnoteText"/>
        <w:keepNext/>
        <w:widowControl w:val="0"/>
        <w:tabs>
          <w:tab w:val="clear" w:pos="567"/>
        </w:tabs>
        <w:rPr>
          <w:i/>
          <w:color w:val="000000"/>
          <w:szCs w:val="22"/>
          <w:lang w:val="sv-SE"/>
        </w:rPr>
      </w:pPr>
      <w:r w:rsidRPr="000E7AE9">
        <w:rPr>
          <w:i/>
          <w:color w:val="000000"/>
          <w:szCs w:val="22"/>
          <w:lang w:val="sv-SE"/>
        </w:rPr>
        <w:t>Hematologiska biverkningar</w:t>
      </w:r>
    </w:p>
    <w:p w14:paraId="18686F12"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Dosreduktion eller utsättande av behandling rekommenderas vid svår neutropeni och trombocytopeni enligt anvisningar i nedanstående tabell.</w:t>
      </w:r>
    </w:p>
    <w:p w14:paraId="7979D03D" w14:textId="77777777" w:rsidR="00161D46" w:rsidRPr="000E7AE9" w:rsidRDefault="00161D46" w:rsidP="00463647">
      <w:pPr>
        <w:pStyle w:val="EndnoteText"/>
        <w:widowControl w:val="0"/>
        <w:tabs>
          <w:tab w:val="clear" w:pos="567"/>
        </w:tabs>
        <w:rPr>
          <w:color w:val="000000"/>
          <w:szCs w:val="22"/>
          <w:lang w:val="sv-SE"/>
        </w:rPr>
      </w:pPr>
    </w:p>
    <w:p w14:paraId="5136B809" w14:textId="77777777" w:rsidR="00161D46" w:rsidRPr="000E7AE9" w:rsidRDefault="00161D46" w:rsidP="00463647">
      <w:pPr>
        <w:pStyle w:val="EndnoteText"/>
        <w:keepNext/>
        <w:widowControl w:val="0"/>
        <w:tabs>
          <w:tab w:val="clear" w:pos="567"/>
        </w:tabs>
        <w:rPr>
          <w:bCs/>
          <w:color w:val="000000"/>
          <w:szCs w:val="22"/>
          <w:lang w:val="sv-SE"/>
        </w:rPr>
      </w:pPr>
      <w:r w:rsidRPr="000E7AE9">
        <w:rPr>
          <w:bCs/>
          <w:color w:val="000000"/>
          <w:szCs w:val="22"/>
          <w:lang w:val="sv-SE"/>
        </w:rPr>
        <w:t>Dosjustering vid neutropeni och trombocytopeni:</w:t>
      </w:r>
    </w:p>
    <w:p w14:paraId="3B3EFF1F" w14:textId="77777777" w:rsidR="009039A5" w:rsidRPr="000E7AE9" w:rsidRDefault="009039A5" w:rsidP="00463647">
      <w:pPr>
        <w:pStyle w:val="EndnoteText"/>
        <w:keepNext/>
        <w:widowControl w:val="0"/>
        <w:tabs>
          <w:tab w:val="clear" w:pos="567"/>
        </w:tabs>
        <w:rPr>
          <w:color w:val="000000"/>
          <w:szCs w:val="22"/>
          <w:lang w:val="sv-SE"/>
        </w:rPr>
      </w:pPr>
    </w:p>
    <w:tbl>
      <w:tblPr>
        <w:tblW w:w="0" w:type="auto"/>
        <w:tblLayout w:type="fixed"/>
        <w:tblLook w:val="0000" w:firstRow="0" w:lastRow="0" w:firstColumn="0" w:lastColumn="0" w:noHBand="0" w:noVBand="0"/>
      </w:tblPr>
      <w:tblGrid>
        <w:gridCol w:w="2376"/>
        <w:gridCol w:w="2400"/>
        <w:gridCol w:w="4404"/>
      </w:tblGrid>
      <w:tr w:rsidR="009039A5" w:rsidRPr="00644A2E" w14:paraId="515E7E60" w14:textId="77777777" w:rsidTr="0040304A">
        <w:trPr>
          <w:cantSplit/>
        </w:trPr>
        <w:tc>
          <w:tcPr>
            <w:tcW w:w="2376" w:type="dxa"/>
            <w:tcBorders>
              <w:top w:val="single" w:sz="4" w:space="0" w:color="auto"/>
              <w:left w:val="single" w:sz="4" w:space="0" w:color="auto"/>
              <w:bottom w:val="single" w:sz="4" w:space="0" w:color="auto"/>
              <w:right w:val="single" w:sz="4" w:space="0" w:color="auto"/>
            </w:tcBorders>
          </w:tcPr>
          <w:p w14:paraId="7ACE1788" w14:textId="77777777" w:rsidR="009039A5" w:rsidRPr="000E7AE9" w:rsidRDefault="009039A5" w:rsidP="00463647">
            <w:pPr>
              <w:pStyle w:val="EndnoteText"/>
              <w:keepNext/>
              <w:widowControl w:val="0"/>
              <w:tabs>
                <w:tab w:val="clear" w:pos="567"/>
              </w:tabs>
              <w:rPr>
                <w:color w:val="000000"/>
                <w:szCs w:val="22"/>
                <w:lang w:val="sv-SE"/>
              </w:rPr>
            </w:pPr>
            <w:r w:rsidRPr="000E7AE9">
              <w:rPr>
                <w:color w:val="000000"/>
                <w:szCs w:val="22"/>
                <w:lang w:val="sv-SE"/>
              </w:rPr>
              <w:t>HES/CEL (startdos 100 mg)</w:t>
            </w:r>
          </w:p>
        </w:tc>
        <w:tc>
          <w:tcPr>
            <w:tcW w:w="2400" w:type="dxa"/>
            <w:tcBorders>
              <w:top w:val="single" w:sz="4" w:space="0" w:color="auto"/>
              <w:left w:val="single" w:sz="4" w:space="0" w:color="auto"/>
              <w:bottom w:val="single" w:sz="4" w:space="0" w:color="auto"/>
              <w:right w:val="single" w:sz="4" w:space="0" w:color="auto"/>
            </w:tcBorders>
          </w:tcPr>
          <w:p w14:paraId="4F69C35A" w14:textId="77777777" w:rsidR="009039A5" w:rsidRPr="000E7AE9" w:rsidRDefault="009039A5"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ANC-värde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277832C8" w14:textId="77777777" w:rsidR="009039A5" w:rsidRPr="000E7AE9" w:rsidRDefault="009039A5"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w:t>
            </w:r>
          </w:p>
          <w:p w14:paraId="4940E963" w14:textId="77777777" w:rsidR="009039A5" w:rsidRPr="000E7AE9" w:rsidRDefault="009039A5"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trombocyter &lt; 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5A4666C9" w14:textId="77777777" w:rsidR="009039A5" w:rsidRPr="000E7AE9" w:rsidRDefault="009039A5" w:rsidP="00463647">
            <w:pPr>
              <w:pStyle w:val="Table"/>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Pr="000E7AE9">
              <w:rPr>
                <w:rFonts w:ascii="Times New Roman" w:hAnsi="Times New Roman"/>
                <w:color w:val="000000"/>
                <w:sz w:val="22"/>
                <w:szCs w:val="22"/>
                <w:lang w:val="sv-SE"/>
              </w:rPr>
              <w:t xml:space="preserve">Sätt ut Glivec till dess ANC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 xml:space="preserve">/l och trombocyter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75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59E21578" w14:textId="77777777" w:rsidR="009039A5" w:rsidRPr="000E7AE9" w:rsidRDefault="009039A5" w:rsidP="00463647">
            <w:pPr>
              <w:pStyle w:val="Table"/>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Pr="000E7AE9">
              <w:rPr>
                <w:rFonts w:ascii="Times New Roman" w:hAnsi="Times New Roman"/>
                <w:color w:val="000000"/>
                <w:sz w:val="22"/>
                <w:szCs w:val="22"/>
                <w:lang w:val="sv-SE"/>
              </w:rPr>
              <w:t>Återuppta behandling med tidigare Glivec-dos (d.v.s. innan allvarlig biverkan).</w:t>
            </w:r>
          </w:p>
        </w:tc>
      </w:tr>
      <w:tr w:rsidR="009039A5" w:rsidRPr="00644A2E" w14:paraId="7997BB44" w14:textId="77777777" w:rsidTr="0040304A">
        <w:trPr>
          <w:cantSplit/>
        </w:trPr>
        <w:tc>
          <w:tcPr>
            <w:tcW w:w="2376" w:type="dxa"/>
            <w:tcBorders>
              <w:top w:val="single" w:sz="4" w:space="0" w:color="auto"/>
              <w:left w:val="single" w:sz="4" w:space="0" w:color="auto"/>
              <w:bottom w:val="single" w:sz="4" w:space="0" w:color="auto"/>
              <w:right w:val="single" w:sz="4" w:space="0" w:color="auto"/>
            </w:tcBorders>
          </w:tcPr>
          <w:p w14:paraId="3123044A" w14:textId="77777777" w:rsidR="009039A5" w:rsidRPr="000E7AE9" w:rsidRDefault="009039A5" w:rsidP="00463647">
            <w:pPr>
              <w:pStyle w:val="EndnoteText"/>
              <w:widowControl w:val="0"/>
              <w:tabs>
                <w:tab w:val="clear" w:pos="567"/>
              </w:tabs>
              <w:rPr>
                <w:color w:val="000000"/>
                <w:szCs w:val="22"/>
                <w:lang w:val="sv-SE"/>
              </w:rPr>
            </w:pPr>
            <w:r w:rsidRPr="000E7AE9">
              <w:rPr>
                <w:color w:val="000000"/>
                <w:szCs w:val="22"/>
                <w:lang w:val="sv-SE"/>
              </w:rPr>
              <w:t>KML i kronisk fas, MDS/MPD och GIST (startdos 400 mg)</w:t>
            </w:r>
          </w:p>
          <w:p w14:paraId="27685570" w14:textId="77777777" w:rsidR="009039A5" w:rsidRPr="000E7AE9" w:rsidRDefault="009039A5" w:rsidP="00463647">
            <w:pPr>
              <w:pStyle w:val="EndnoteText"/>
              <w:widowControl w:val="0"/>
              <w:tabs>
                <w:tab w:val="clear" w:pos="567"/>
              </w:tabs>
              <w:rPr>
                <w:color w:val="000000"/>
                <w:szCs w:val="22"/>
                <w:lang w:val="sv-SE"/>
              </w:rPr>
            </w:pPr>
            <w:r w:rsidRPr="000E7AE9">
              <w:rPr>
                <w:color w:val="000000"/>
                <w:szCs w:val="22"/>
                <w:lang w:val="sv-SE"/>
              </w:rPr>
              <w:t>HES/CEL (vid dosen 400 mg)</w:t>
            </w:r>
          </w:p>
        </w:tc>
        <w:tc>
          <w:tcPr>
            <w:tcW w:w="2400" w:type="dxa"/>
            <w:tcBorders>
              <w:top w:val="single" w:sz="4" w:space="0" w:color="auto"/>
              <w:left w:val="single" w:sz="4" w:space="0" w:color="auto"/>
              <w:bottom w:val="single" w:sz="4" w:space="0" w:color="auto"/>
              <w:right w:val="single" w:sz="4" w:space="0" w:color="auto"/>
            </w:tcBorders>
          </w:tcPr>
          <w:p w14:paraId="68A27942" w14:textId="77777777" w:rsidR="009039A5" w:rsidRPr="000E7AE9" w:rsidRDefault="009039A5"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ANC-värde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3C12D56F" w14:textId="77777777" w:rsidR="009039A5" w:rsidRPr="000E7AE9" w:rsidRDefault="009039A5"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w:t>
            </w:r>
          </w:p>
          <w:p w14:paraId="3992D1DA" w14:textId="77777777" w:rsidR="009039A5" w:rsidRPr="000E7AE9" w:rsidRDefault="009039A5" w:rsidP="00463647">
            <w:pPr>
              <w:pStyle w:val="EndnoteText"/>
              <w:widowControl w:val="0"/>
              <w:tabs>
                <w:tab w:val="clear" w:pos="567"/>
              </w:tabs>
              <w:rPr>
                <w:color w:val="000000"/>
                <w:szCs w:val="22"/>
                <w:lang w:val="sv-SE"/>
              </w:rPr>
            </w:pPr>
            <w:r w:rsidRPr="000E7AE9">
              <w:rPr>
                <w:color w:val="000000"/>
                <w:szCs w:val="22"/>
                <w:lang w:val="sv-SE"/>
              </w:rPr>
              <w:t>trombocyter &lt; 50 x 10</w:t>
            </w:r>
            <w:r w:rsidRPr="000E7AE9">
              <w:rPr>
                <w:color w:val="000000"/>
                <w:szCs w:val="22"/>
                <w:vertAlign w:val="superscript"/>
                <w:lang w:val="sv-SE"/>
              </w:rPr>
              <w:t>9</w:t>
            </w:r>
            <w:r w:rsidRPr="000E7AE9">
              <w:rPr>
                <w:color w:val="000000"/>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50895975"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Pr="000E7AE9">
              <w:rPr>
                <w:rFonts w:ascii="Times New Roman" w:hAnsi="Times New Roman"/>
                <w:color w:val="000000"/>
                <w:sz w:val="22"/>
                <w:szCs w:val="22"/>
                <w:lang w:val="sv-SE"/>
              </w:rPr>
              <w:t xml:space="preserve">Sätt ut Glivec till dess ANC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 xml:space="preserve">/l och trombocyter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75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4039BF5C"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Pr="000E7AE9">
              <w:rPr>
                <w:rFonts w:ascii="Times New Roman" w:hAnsi="Times New Roman"/>
                <w:color w:val="000000"/>
                <w:sz w:val="22"/>
                <w:szCs w:val="22"/>
                <w:lang w:val="sv-SE"/>
              </w:rPr>
              <w:t>Återuppta behandling med tidigare Glivec-dos (d.v.s. innan allvarlig biverkan).</w:t>
            </w:r>
          </w:p>
          <w:p w14:paraId="026F0ECF" w14:textId="77777777" w:rsidR="009039A5" w:rsidRPr="000E7AE9" w:rsidRDefault="009039A5" w:rsidP="00463647">
            <w:pPr>
              <w:pStyle w:val="EndnoteText"/>
              <w:widowControl w:val="0"/>
              <w:tabs>
                <w:tab w:val="clear" w:pos="567"/>
              </w:tabs>
              <w:ind w:left="469" w:hanging="469"/>
              <w:rPr>
                <w:color w:val="000000"/>
                <w:szCs w:val="22"/>
                <w:lang w:val="sv-SE"/>
              </w:rPr>
            </w:pPr>
            <w:r>
              <w:rPr>
                <w:color w:val="000000"/>
                <w:szCs w:val="22"/>
                <w:lang w:val="sv-SE"/>
              </w:rPr>
              <w:t>3.</w:t>
            </w:r>
            <w:r>
              <w:rPr>
                <w:color w:val="000000"/>
                <w:szCs w:val="22"/>
                <w:lang w:val="sv-SE"/>
              </w:rPr>
              <w:tab/>
            </w:r>
            <w:r w:rsidRPr="000E7AE9">
              <w:rPr>
                <w:color w:val="000000"/>
                <w:szCs w:val="22"/>
                <w:lang w:val="sv-SE"/>
              </w:rPr>
              <w:t>Om ANC återgår till &lt; 1,0 x 10</w:t>
            </w:r>
            <w:r w:rsidRPr="000E7AE9">
              <w:rPr>
                <w:color w:val="000000"/>
                <w:szCs w:val="22"/>
                <w:vertAlign w:val="superscript"/>
                <w:lang w:val="sv-SE"/>
              </w:rPr>
              <w:t>9</w:t>
            </w:r>
            <w:r w:rsidRPr="000E7AE9">
              <w:rPr>
                <w:color w:val="000000"/>
                <w:szCs w:val="22"/>
                <w:lang w:val="sv-SE"/>
              </w:rPr>
              <w:t>/l och/eller trombocyter &lt; 50 x 10</w:t>
            </w:r>
            <w:r w:rsidRPr="000E7AE9">
              <w:rPr>
                <w:color w:val="000000"/>
                <w:szCs w:val="22"/>
                <w:vertAlign w:val="superscript"/>
                <w:lang w:val="sv-SE"/>
              </w:rPr>
              <w:t>9</w:t>
            </w:r>
            <w:r w:rsidRPr="000E7AE9">
              <w:rPr>
                <w:color w:val="000000"/>
                <w:szCs w:val="22"/>
                <w:lang w:val="sv-SE"/>
              </w:rPr>
              <w:t>/l, upprepa steg 1 och återuppta Glivec i reducerad dos om 300 mg.</w:t>
            </w:r>
          </w:p>
        </w:tc>
      </w:tr>
      <w:tr w:rsidR="009039A5" w:rsidRPr="00644A2E" w14:paraId="413CF935" w14:textId="77777777" w:rsidTr="0040304A">
        <w:trPr>
          <w:cantSplit/>
        </w:trPr>
        <w:tc>
          <w:tcPr>
            <w:tcW w:w="2376" w:type="dxa"/>
            <w:tcBorders>
              <w:top w:val="single" w:sz="4" w:space="0" w:color="auto"/>
              <w:left w:val="single" w:sz="4" w:space="0" w:color="auto"/>
              <w:bottom w:val="single" w:sz="4" w:space="0" w:color="auto"/>
              <w:right w:val="single" w:sz="4" w:space="0" w:color="auto"/>
            </w:tcBorders>
          </w:tcPr>
          <w:p w14:paraId="4CF81604" w14:textId="77777777" w:rsidR="009039A5" w:rsidRPr="000E7AE9" w:rsidRDefault="009039A5" w:rsidP="00463647">
            <w:pPr>
              <w:pStyle w:val="EndnoteText"/>
              <w:widowControl w:val="0"/>
              <w:tabs>
                <w:tab w:val="clear" w:pos="567"/>
              </w:tabs>
              <w:rPr>
                <w:color w:val="000000"/>
                <w:szCs w:val="22"/>
                <w:lang w:val="sv-SE"/>
              </w:rPr>
            </w:pPr>
            <w:r w:rsidRPr="000E7AE9">
              <w:rPr>
                <w:color w:val="000000"/>
                <w:szCs w:val="22"/>
                <w:lang w:val="sv-SE"/>
              </w:rPr>
              <w:lastRenderedPageBreak/>
              <w:t>KML i kronisk fas hos barn (vid dosen 340 mg/m</w:t>
            </w:r>
            <w:r w:rsidRPr="000E7AE9">
              <w:rPr>
                <w:color w:val="000000"/>
                <w:szCs w:val="22"/>
                <w:vertAlign w:val="superscript"/>
                <w:lang w:val="sv-SE"/>
              </w:rPr>
              <w:t>2</w:t>
            </w:r>
            <w:r w:rsidRPr="000E7AE9">
              <w:rPr>
                <w:color w:val="000000"/>
                <w:szCs w:val="22"/>
                <w:lang w:val="sv-SE"/>
              </w:rPr>
              <w:t>)</w:t>
            </w:r>
          </w:p>
        </w:tc>
        <w:tc>
          <w:tcPr>
            <w:tcW w:w="2400" w:type="dxa"/>
            <w:tcBorders>
              <w:top w:val="single" w:sz="4" w:space="0" w:color="auto"/>
              <w:left w:val="single" w:sz="4" w:space="0" w:color="auto"/>
              <w:bottom w:val="single" w:sz="4" w:space="0" w:color="auto"/>
              <w:right w:val="single" w:sz="4" w:space="0" w:color="auto"/>
            </w:tcBorders>
          </w:tcPr>
          <w:p w14:paraId="64718106" w14:textId="77777777" w:rsidR="009039A5" w:rsidRPr="000E7AE9" w:rsidRDefault="009039A5"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ANC-värde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716FC0C2" w14:textId="77777777" w:rsidR="009039A5" w:rsidRPr="000E7AE9" w:rsidRDefault="009039A5"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w:t>
            </w:r>
          </w:p>
          <w:p w14:paraId="6742BCCC" w14:textId="77777777" w:rsidR="009039A5" w:rsidRPr="000E7AE9" w:rsidRDefault="009039A5" w:rsidP="00463647">
            <w:pPr>
              <w:pStyle w:val="Table"/>
              <w:keepNext w:val="0"/>
              <w:keepLines w:val="0"/>
              <w:widowControl w:val="0"/>
              <w:spacing w:before="0" w:after="0"/>
              <w:rPr>
                <w:rFonts w:ascii="Times New Roman" w:hAnsi="Times New Roman"/>
                <w:color w:val="000000"/>
                <w:sz w:val="22"/>
                <w:szCs w:val="22"/>
                <w:vertAlign w:val="superscript"/>
                <w:lang w:val="sv-SE"/>
              </w:rPr>
            </w:pPr>
            <w:r w:rsidRPr="000E7AE9">
              <w:rPr>
                <w:rFonts w:ascii="Times New Roman" w:hAnsi="Times New Roman"/>
                <w:color w:val="000000"/>
                <w:sz w:val="22"/>
                <w:szCs w:val="22"/>
                <w:lang w:val="sv-SE"/>
              </w:rPr>
              <w:t>trombocyter &lt; 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0651D4BA"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Pr="000E7AE9">
              <w:rPr>
                <w:rFonts w:ascii="Times New Roman" w:hAnsi="Times New Roman"/>
                <w:color w:val="000000"/>
                <w:sz w:val="22"/>
                <w:szCs w:val="22"/>
                <w:lang w:val="sv-SE"/>
              </w:rPr>
              <w:t xml:space="preserve">Sätt ut Glivec till dess ANC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 xml:space="preserve">/l och trombocyter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75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0C5A854B"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Pr="000E7AE9">
              <w:rPr>
                <w:rFonts w:ascii="Times New Roman" w:hAnsi="Times New Roman"/>
                <w:color w:val="000000"/>
                <w:sz w:val="22"/>
                <w:szCs w:val="22"/>
                <w:lang w:val="sv-SE"/>
              </w:rPr>
              <w:t>Återuppta behandling med tidigare Glivec-dos (d.v.s. innan allvarlig biverkan).</w:t>
            </w:r>
          </w:p>
          <w:p w14:paraId="07B837AF"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3.</w:t>
            </w:r>
            <w:r>
              <w:rPr>
                <w:rFonts w:ascii="Times New Roman" w:hAnsi="Times New Roman"/>
                <w:color w:val="000000"/>
                <w:sz w:val="22"/>
                <w:szCs w:val="22"/>
                <w:lang w:val="sv-SE"/>
              </w:rPr>
              <w:tab/>
            </w:r>
            <w:r w:rsidRPr="000E7AE9">
              <w:rPr>
                <w:rFonts w:ascii="Times New Roman" w:hAnsi="Times New Roman"/>
                <w:color w:val="000000"/>
                <w:sz w:val="22"/>
                <w:szCs w:val="22"/>
                <w:lang w:val="sv-SE"/>
              </w:rPr>
              <w:t>Om ANC återgår till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och/eller trombocyter &lt; 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upprepa steg 1 och återuppta Glivec i reducerad dos om 260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w:t>
            </w:r>
          </w:p>
        </w:tc>
      </w:tr>
      <w:tr w:rsidR="009039A5" w:rsidRPr="00644A2E" w14:paraId="2D9043E5" w14:textId="77777777" w:rsidTr="0040304A">
        <w:trPr>
          <w:cantSplit/>
        </w:trPr>
        <w:tc>
          <w:tcPr>
            <w:tcW w:w="2376" w:type="dxa"/>
            <w:tcBorders>
              <w:top w:val="single" w:sz="4" w:space="0" w:color="auto"/>
              <w:left w:val="single" w:sz="4" w:space="0" w:color="auto"/>
              <w:bottom w:val="single" w:sz="4" w:space="0" w:color="auto"/>
              <w:right w:val="single" w:sz="4" w:space="0" w:color="auto"/>
            </w:tcBorders>
          </w:tcPr>
          <w:p w14:paraId="5B314EC7" w14:textId="77777777" w:rsidR="009039A5" w:rsidRPr="000E7AE9" w:rsidRDefault="009039A5" w:rsidP="00463647">
            <w:pPr>
              <w:pStyle w:val="EndnoteText"/>
              <w:widowControl w:val="0"/>
              <w:tabs>
                <w:tab w:val="clear" w:pos="567"/>
              </w:tabs>
              <w:rPr>
                <w:color w:val="000000"/>
                <w:szCs w:val="22"/>
                <w:lang w:val="sv-SE"/>
              </w:rPr>
            </w:pPr>
            <w:r w:rsidRPr="000E7AE9">
              <w:rPr>
                <w:color w:val="000000"/>
                <w:szCs w:val="22"/>
                <w:lang w:val="sv-SE"/>
              </w:rPr>
              <w:t>KML i accelererad fas och blastkris och Ph+ ALL (startdos 600 mg)</w:t>
            </w:r>
          </w:p>
        </w:tc>
        <w:tc>
          <w:tcPr>
            <w:tcW w:w="2400" w:type="dxa"/>
            <w:tcBorders>
              <w:top w:val="single" w:sz="4" w:space="0" w:color="auto"/>
              <w:left w:val="single" w:sz="4" w:space="0" w:color="auto"/>
              <w:bottom w:val="single" w:sz="4" w:space="0" w:color="auto"/>
              <w:right w:val="single" w:sz="4" w:space="0" w:color="auto"/>
            </w:tcBorders>
          </w:tcPr>
          <w:p w14:paraId="0DA8110C" w14:textId="77777777" w:rsidR="009039A5" w:rsidRPr="000E7AE9" w:rsidRDefault="009039A5"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vertAlign w:val="superscript"/>
                <w:lang w:val="sv-SE"/>
              </w:rPr>
              <w:t>a</w:t>
            </w:r>
            <w:r w:rsidRPr="000E7AE9">
              <w:rPr>
                <w:rFonts w:ascii="Times New Roman" w:hAnsi="Times New Roman"/>
                <w:color w:val="000000"/>
                <w:sz w:val="22"/>
                <w:szCs w:val="22"/>
                <w:lang w:val="sv-SE"/>
              </w:rPr>
              <w:t>ANC &lt; 0,5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03A2AA4B" w14:textId="77777777" w:rsidR="009039A5" w:rsidRPr="000E7AE9" w:rsidRDefault="009039A5"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 trombocyter</w:t>
            </w:r>
          </w:p>
          <w:p w14:paraId="126BA3D0" w14:textId="77777777" w:rsidR="009039A5" w:rsidRPr="000E7AE9" w:rsidRDefault="009039A5" w:rsidP="00463647">
            <w:pPr>
              <w:pStyle w:val="EndnoteText"/>
              <w:widowControl w:val="0"/>
              <w:tabs>
                <w:tab w:val="clear" w:pos="567"/>
              </w:tabs>
              <w:rPr>
                <w:color w:val="000000"/>
                <w:szCs w:val="22"/>
                <w:lang w:val="sv-SE"/>
              </w:rPr>
            </w:pPr>
            <w:r w:rsidRPr="000E7AE9">
              <w:rPr>
                <w:color w:val="000000"/>
                <w:szCs w:val="22"/>
                <w:lang w:val="sv-SE"/>
              </w:rPr>
              <w:t>&lt; 10 x 10</w:t>
            </w:r>
            <w:r w:rsidRPr="000E7AE9">
              <w:rPr>
                <w:color w:val="000000"/>
                <w:szCs w:val="22"/>
                <w:vertAlign w:val="superscript"/>
                <w:lang w:val="sv-SE"/>
              </w:rPr>
              <w:t>9</w:t>
            </w:r>
            <w:r w:rsidRPr="000E7AE9">
              <w:rPr>
                <w:color w:val="000000"/>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46782E9D"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Pr="000E7AE9">
              <w:rPr>
                <w:rFonts w:ascii="Times New Roman" w:hAnsi="Times New Roman"/>
                <w:color w:val="000000"/>
                <w:sz w:val="22"/>
                <w:szCs w:val="22"/>
                <w:lang w:val="sv-SE"/>
              </w:rPr>
              <w:t>Kontrollera om cytopenin är relaterad till leukemi (märgaspirat eller biopsi).</w:t>
            </w:r>
          </w:p>
          <w:p w14:paraId="0BA124E4"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Pr="000E7AE9">
              <w:rPr>
                <w:rFonts w:ascii="Times New Roman" w:hAnsi="Times New Roman"/>
                <w:color w:val="000000"/>
                <w:sz w:val="22"/>
                <w:szCs w:val="22"/>
                <w:lang w:val="sv-SE"/>
              </w:rPr>
              <w:t>Om cytopenin inte är leukemirelaterad, sänk Glivec-dosen till 400 mg.</w:t>
            </w:r>
          </w:p>
          <w:p w14:paraId="4010E8DD"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3.</w:t>
            </w:r>
            <w:r>
              <w:rPr>
                <w:rFonts w:ascii="Times New Roman" w:hAnsi="Times New Roman"/>
                <w:color w:val="000000"/>
                <w:sz w:val="22"/>
                <w:szCs w:val="22"/>
                <w:lang w:val="sv-SE"/>
              </w:rPr>
              <w:tab/>
            </w:r>
            <w:r w:rsidRPr="000E7AE9">
              <w:rPr>
                <w:rFonts w:ascii="Times New Roman" w:hAnsi="Times New Roman"/>
                <w:color w:val="000000"/>
                <w:sz w:val="22"/>
                <w:szCs w:val="22"/>
                <w:lang w:val="sv-SE"/>
              </w:rPr>
              <w:t>Om cytopenin kvarstår i 2 veckor, minska ytterligare till 300 mg.</w:t>
            </w:r>
          </w:p>
          <w:p w14:paraId="63C23C4D" w14:textId="77777777" w:rsidR="009039A5" w:rsidRPr="000E7AE9" w:rsidRDefault="009039A5" w:rsidP="00463647">
            <w:pPr>
              <w:pStyle w:val="EndnoteText"/>
              <w:widowControl w:val="0"/>
              <w:tabs>
                <w:tab w:val="clear" w:pos="567"/>
              </w:tabs>
              <w:ind w:left="469" w:hanging="469"/>
              <w:rPr>
                <w:color w:val="000000"/>
                <w:szCs w:val="22"/>
                <w:lang w:val="sv-SE"/>
              </w:rPr>
            </w:pPr>
            <w:r>
              <w:rPr>
                <w:color w:val="000000"/>
                <w:szCs w:val="22"/>
                <w:lang w:val="sv-SE"/>
              </w:rPr>
              <w:t>4.</w:t>
            </w:r>
            <w:r>
              <w:rPr>
                <w:color w:val="000000"/>
                <w:szCs w:val="22"/>
                <w:lang w:val="sv-SE"/>
              </w:rPr>
              <w:tab/>
            </w:r>
            <w:r w:rsidRPr="000E7AE9">
              <w:rPr>
                <w:color w:val="000000"/>
                <w:szCs w:val="22"/>
                <w:lang w:val="sv-SE"/>
              </w:rPr>
              <w:t xml:space="preserve">Om cytopenin kvarstår i 4 veckor och fortfarande inte har samband med leukemin, avbryt Glivec-behandlingen tills dess ANC </w:t>
            </w:r>
            <w:r w:rsidRPr="000E7AE9">
              <w:rPr>
                <w:color w:val="000000"/>
                <w:szCs w:val="22"/>
                <w:lang w:val="sv-SE"/>
              </w:rPr>
              <w:sym w:font="Symbol" w:char="F0B3"/>
            </w:r>
            <w:r w:rsidRPr="000E7AE9">
              <w:rPr>
                <w:color w:val="000000"/>
                <w:szCs w:val="22"/>
                <w:lang w:val="sv-SE"/>
              </w:rPr>
              <w:t> 1 x 10</w:t>
            </w:r>
            <w:r w:rsidRPr="000E7AE9">
              <w:rPr>
                <w:color w:val="000000"/>
                <w:szCs w:val="22"/>
                <w:vertAlign w:val="superscript"/>
                <w:lang w:val="sv-SE"/>
              </w:rPr>
              <w:t>9</w:t>
            </w:r>
            <w:r w:rsidRPr="000E7AE9">
              <w:rPr>
                <w:color w:val="000000"/>
                <w:szCs w:val="22"/>
                <w:lang w:val="sv-SE"/>
              </w:rPr>
              <w:t xml:space="preserve">/l och trombocyter </w:t>
            </w:r>
            <w:r w:rsidRPr="000E7AE9">
              <w:rPr>
                <w:color w:val="000000"/>
                <w:szCs w:val="22"/>
                <w:lang w:val="sv-SE"/>
              </w:rPr>
              <w:sym w:font="Symbol" w:char="F0B3"/>
            </w:r>
            <w:r w:rsidRPr="000E7AE9">
              <w:rPr>
                <w:color w:val="000000"/>
                <w:szCs w:val="22"/>
                <w:lang w:val="sv-SE"/>
              </w:rPr>
              <w:t> 20 x 10</w:t>
            </w:r>
            <w:r w:rsidRPr="000E7AE9">
              <w:rPr>
                <w:color w:val="000000"/>
                <w:szCs w:val="22"/>
                <w:vertAlign w:val="superscript"/>
                <w:lang w:val="sv-SE"/>
              </w:rPr>
              <w:t>9</w:t>
            </w:r>
            <w:r w:rsidRPr="000E7AE9">
              <w:rPr>
                <w:color w:val="000000"/>
                <w:szCs w:val="22"/>
                <w:lang w:val="sv-SE"/>
              </w:rPr>
              <w:t>/l, och återuppta sedan behandlingen med 300 mg.</w:t>
            </w:r>
          </w:p>
        </w:tc>
      </w:tr>
      <w:tr w:rsidR="009039A5" w:rsidRPr="00644A2E" w14:paraId="54941404" w14:textId="77777777" w:rsidTr="0040304A">
        <w:trPr>
          <w:cantSplit/>
        </w:trPr>
        <w:tc>
          <w:tcPr>
            <w:tcW w:w="2376" w:type="dxa"/>
            <w:tcBorders>
              <w:top w:val="single" w:sz="4" w:space="0" w:color="auto"/>
              <w:left w:val="single" w:sz="4" w:space="0" w:color="auto"/>
              <w:bottom w:val="single" w:sz="4" w:space="0" w:color="auto"/>
              <w:right w:val="single" w:sz="4" w:space="0" w:color="auto"/>
            </w:tcBorders>
          </w:tcPr>
          <w:p w14:paraId="12896D94" w14:textId="77777777" w:rsidR="009039A5" w:rsidRPr="000E7AE9" w:rsidRDefault="009039A5" w:rsidP="00463647">
            <w:pPr>
              <w:pStyle w:val="EndnoteText"/>
              <w:widowControl w:val="0"/>
              <w:tabs>
                <w:tab w:val="clear" w:pos="567"/>
              </w:tabs>
              <w:rPr>
                <w:color w:val="000000"/>
                <w:szCs w:val="22"/>
                <w:lang w:val="sv-SE"/>
              </w:rPr>
            </w:pPr>
            <w:r w:rsidRPr="000E7AE9">
              <w:rPr>
                <w:color w:val="000000"/>
                <w:szCs w:val="22"/>
                <w:lang w:val="sv-SE"/>
              </w:rPr>
              <w:t>KML i accelererad fas och blastkris hos barn (startdos 340 mg/m</w:t>
            </w:r>
            <w:r w:rsidRPr="000E7AE9">
              <w:rPr>
                <w:color w:val="000000"/>
                <w:szCs w:val="22"/>
                <w:vertAlign w:val="superscript"/>
                <w:lang w:val="sv-SE"/>
              </w:rPr>
              <w:t>2</w:t>
            </w:r>
            <w:r w:rsidRPr="000E7AE9">
              <w:rPr>
                <w:color w:val="000000"/>
                <w:szCs w:val="22"/>
                <w:lang w:val="sv-SE"/>
              </w:rPr>
              <w:t>)</w:t>
            </w:r>
          </w:p>
        </w:tc>
        <w:tc>
          <w:tcPr>
            <w:tcW w:w="2400" w:type="dxa"/>
            <w:tcBorders>
              <w:top w:val="single" w:sz="4" w:space="0" w:color="auto"/>
              <w:left w:val="single" w:sz="4" w:space="0" w:color="auto"/>
              <w:bottom w:val="single" w:sz="4" w:space="0" w:color="auto"/>
              <w:right w:val="single" w:sz="4" w:space="0" w:color="auto"/>
            </w:tcBorders>
          </w:tcPr>
          <w:p w14:paraId="3D3D81E2" w14:textId="77777777" w:rsidR="009039A5" w:rsidRPr="000E7AE9" w:rsidRDefault="009039A5"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vertAlign w:val="superscript"/>
                <w:lang w:val="sv-SE"/>
              </w:rPr>
              <w:t>a</w:t>
            </w:r>
            <w:r w:rsidRPr="000E7AE9">
              <w:rPr>
                <w:rFonts w:ascii="Times New Roman" w:hAnsi="Times New Roman"/>
                <w:color w:val="000000"/>
                <w:sz w:val="22"/>
                <w:szCs w:val="22"/>
                <w:lang w:val="sv-SE"/>
              </w:rPr>
              <w:t>ANC&lt; 0,5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7BACA100" w14:textId="77777777" w:rsidR="009039A5" w:rsidRPr="000E7AE9" w:rsidRDefault="009039A5"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och/eller trombocyter</w:t>
            </w:r>
          </w:p>
          <w:p w14:paraId="28A97E67" w14:textId="77777777" w:rsidR="009039A5" w:rsidRPr="000E7AE9" w:rsidDel="00F04545" w:rsidRDefault="009039A5" w:rsidP="00463647">
            <w:pPr>
              <w:pStyle w:val="Table"/>
              <w:keepNext w:val="0"/>
              <w:keepLines w:val="0"/>
              <w:widowControl w:val="0"/>
              <w:spacing w:before="0" w:after="0"/>
              <w:rPr>
                <w:rFonts w:ascii="Times New Roman" w:hAnsi="Times New Roman"/>
                <w:color w:val="000000"/>
                <w:sz w:val="22"/>
                <w:szCs w:val="22"/>
                <w:vertAlign w:val="superscript"/>
                <w:lang w:val="sv-SE"/>
              </w:rPr>
            </w:pPr>
            <w:r w:rsidRPr="000E7AE9">
              <w:rPr>
                <w:rFonts w:ascii="Times New Roman" w:hAnsi="Times New Roman"/>
                <w:color w:val="000000"/>
                <w:sz w:val="22"/>
                <w:szCs w:val="22"/>
                <w:lang w:val="sv-SE"/>
              </w:rPr>
              <w:t>&lt;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09630392"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Pr="000E7AE9">
              <w:rPr>
                <w:rFonts w:ascii="Times New Roman" w:hAnsi="Times New Roman"/>
                <w:color w:val="000000"/>
                <w:sz w:val="22"/>
                <w:szCs w:val="22"/>
                <w:lang w:val="sv-SE"/>
              </w:rPr>
              <w:t>Kontrollera om cytopenin är relaterad till leukemi (märgaspirat eller biopsi).</w:t>
            </w:r>
          </w:p>
          <w:p w14:paraId="368CBCD3"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Pr="000E7AE9">
              <w:rPr>
                <w:rFonts w:ascii="Times New Roman" w:hAnsi="Times New Roman"/>
                <w:color w:val="000000"/>
                <w:sz w:val="22"/>
                <w:szCs w:val="22"/>
                <w:lang w:val="sv-SE"/>
              </w:rPr>
              <w:t>Om cytopenin inte är leukemirelaterad, sänk Glivec-dosen till 260 mg.</w:t>
            </w:r>
          </w:p>
          <w:p w14:paraId="5034BAC0"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3.</w:t>
            </w:r>
            <w:r>
              <w:rPr>
                <w:rFonts w:ascii="Times New Roman" w:hAnsi="Times New Roman"/>
                <w:color w:val="000000"/>
                <w:sz w:val="22"/>
                <w:szCs w:val="22"/>
                <w:lang w:val="sv-SE"/>
              </w:rPr>
              <w:tab/>
            </w:r>
            <w:r w:rsidRPr="000E7AE9">
              <w:rPr>
                <w:rFonts w:ascii="Times New Roman" w:hAnsi="Times New Roman"/>
                <w:color w:val="000000"/>
                <w:sz w:val="22"/>
                <w:szCs w:val="22"/>
                <w:lang w:val="sv-SE"/>
              </w:rPr>
              <w:t>Om cytopenin kvarstår i 2 veckor, minska ytterligare till 200 mg.</w:t>
            </w:r>
          </w:p>
          <w:p w14:paraId="11ED3843" w14:textId="77777777" w:rsidR="009039A5" w:rsidRPr="000E7AE9" w:rsidRDefault="009039A5" w:rsidP="00463647">
            <w:pPr>
              <w:pStyle w:val="Table"/>
              <w:keepNext w:val="0"/>
              <w:keepLines w:val="0"/>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4.</w:t>
            </w:r>
            <w:r>
              <w:rPr>
                <w:rFonts w:ascii="Times New Roman" w:hAnsi="Times New Roman"/>
                <w:color w:val="000000"/>
                <w:sz w:val="22"/>
                <w:szCs w:val="22"/>
                <w:lang w:val="sv-SE"/>
              </w:rPr>
              <w:tab/>
            </w:r>
            <w:r w:rsidRPr="000E7AE9">
              <w:rPr>
                <w:rFonts w:ascii="Times New Roman" w:hAnsi="Times New Roman"/>
                <w:color w:val="000000"/>
                <w:sz w:val="22"/>
                <w:szCs w:val="22"/>
                <w:lang w:val="sv-SE"/>
              </w:rPr>
              <w:t xml:space="preserve">Om cytopenin kvarstår i 4 veckor och fortfarande inte har samband med leukemin, avbryt Glivec-behandlingen tills dess ANC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 xml:space="preserve">/l och trombocyter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20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och återuppta sedan behandlingen med 200 mg.</w:t>
            </w:r>
          </w:p>
        </w:tc>
      </w:tr>
      <w:tr w:rsidR="009039A5" w:rsidRPr="00644A2E" w14:paraId="54D94065" w14:textId="77777777" w:rsidTr="0040304A">
        <w:trPr>
          <w:cantSplit/>
        </w:trPr>
        <w:tc>
          <w:tcPr>
            <w:tcW w:w="2376" w:type="dxa"/>
            <w:tcBorders>
              <w:top w:val="single" w:sz="4" w:space="0" w:color="auto"/>
              <w:left w:val="single" w:sz="4" w:space="0" w:color="auto"/>
              <w:bottom w:val="single" w:sz="4" w:space="0" w:color="auto"/>
              <w:right w:val="single" w:sz="4" w:space="0" w:color="auto"/>
            </w:tcBorders>
          </w:tcPr>
          <w:p w14:paraId="4FD0C7B3" w14:textId="77777777" w:rsidR="009039A5" w:rsidRPr="000E7AE9" w:rsidRDefault="009039A5" w:rsidP="00463647">
            <w:pPr>
              <w:pStyle w:val="EndnoteText"/>
              <w:keepNext/>
              <w:keepLines/>
              <w:widowControl w:val="0"/>
              <w:tabs>
                <w:tab w:val="clear" w:pos="567"/>
              </w:tabs>
              <w:rPr>
                <w:color w:val="000000"/>
                <w:szCs w:val="22"/>
                <w:lang w:val="sv-SE"/>
              </w:rPr>
            </w:pPr>
            <w:r w:rsidRPr="000E7AE9">
              <w:rPr>
                <w:color w:val="000000"/>
                <w:szCs w:val="22"/>
                <w:lang w:val="sv-SE"/>
              </w:rPr>
              <w:t>DFSP</w:t>
            </w:r>
          </w:p>
          <w:p w14:paraId="178A0D99" w14:textId="77777777" w:rsidR="009039A5" w:rsidRPr="000E7AE9" w:rsidRDefault="009039A5" w:rsidP="00463647">
            <w:pPr>
              <w:pStyle w:val="EndnoteText"/>
              <w:keepNext/>
              <w:keepLines/>
              <w:widowControl w:val="0"/>
              <w:tabs>
                <w:tab w:val="clear" w:pos="567"/>
              </w:tabs>
              <w:rPr>
                <w:color w:val="000000"/>
                <w:szCs w:val="22"/>
                <w:lang w:val="sv-SE"/>
              </w:rPr>
            </w:pPr>
            <w:r w:rsidRPr="000E7AE9">
              <w:rPr>
                <w:color w:val="000000"/>
                <w:szCs w:val="22"/>
                <w:lang w:val="sv-SE"/>
              </w:rPr>
              <w:t>(vid 800 mg)</w:t>
            </w:r>
          </w:p>
        </w:tc>
        <w:tc>
          <w:tcPr>
            <w:tcW w:w="2400" w:type="dxa"/>
            <w:tcBorders>
              <w:top w:val="single" w:sz="4" w:space="0" w:color="auto"/>
              <w:left w:val="single" w:sz="4" w:space="0" w:color="auto"/>
              <w:bottom w:val="single" w:sz="4" w:space="0" w:color="auto"/>
              <w:right w:val="single" w:sz="4" w:space="0" w:color="auto"/>
            </w:tcBorders>
          </w:tcPr>
          <w:p w14:paraId="26386BD1" w14:textId="77777777" w:rsidR="009039A5" w:rsidRPr="000E7AE9" w:rsidDel="000C345A" w:rsidRDefault="009039A5" w:rsidP="00463647">
            <w:pPr>
              <w:pStyle w:val="Table"/>
              <w:widowControl w:val="0"/>
              <w:spacing w:before="0" w:after="0"/>
              <w:rPr>
                <w:rFonts w:ascii="Times New Roman" w:hAnsi="Times New Roman"/>
                <w:color w:val="000000"/>
                <w:sz w:val="22"/>
                <w:szCs w:val="22"/>
                <w:vertAlign w:val="superscript"/>
                <w:lang w:val="sv-SE"/>
              </w:rPr>
            </w:pPr>
            <w:r w:rsidRPr="000E7AE9">
              <w:rPr>
                <w:rFonts w:ascii="Times New Roman" w:hAnsi="Times New Roman"/>
                <w:color w:val="000000"/>
                <w:sz w:val="22"/>
                <w:szCs w:val="22"/>
                <w:lang w:val="sv-SE"/>
              </w:rPr>
              <w:t>ANC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och/eller trombocyter &lt; 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tc>
        <w:tc>
          <w:tcPr>
            <w:tcW w:w="4404" w:type="dxa"/>
            <w:tcBorders>
              <w:top w:val="single" w:sz="4" w:space="0" w:color="auto"/>
              <w:left w:val="single" w:sz="4" w:space="0" w:color="auto"/>
              <w:bottom w:val="single" w:sz="4" w:space="0" w:color="auto"/>
              <w:right w:val="single" w:sz="4" w:space="0" w:color="auto"/>
            </w:tcBorders>
          </w:tcPr>
          <w:p w14:paraId="5D8D0478" w14:textId="77777777" w:rsidR="009039A5" w:rsidRPr="000E7AE9" w:rsidRDefault="009039A5" w:rsidP="00463647">
            <w:pPr>
              <w:pStyle w:val="Table"/>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1.</w:t>
            </w:r>
            <w:r>
              <w:rPr>
                <w:rFonts w:ascii="Times New Roman" w:hAnsi="Times New Roman"/>
                <w:color w:val="000000"/>
                <w:sz w:val="22"/>
                <w:szCs w:val="22"/>
                <w:lang w:val="sv-SE"/>
              </w:rPr>
              <w:tab/>
            </w:r>
            <w:r w:rsidRPr="000E7AE9">
              <w:rPr>
                <w:rFonts w:ascii="Times New Roman" w:hAnsi="Times New Roman"/>
                <w:color w:val="000000"/>
                <w:sz w:val="22"/>
                <w:szCs w:val="22"/>
                <w:lang w:val="sv-SE"/>
              </w:rPr>
              <w:t xml:space="preserve">Sätt ut Glivec tills dess ANC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 xml:space="preserve">/l och trombocyter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75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w:t>
            </w:r>
          </w:p>
          <w:p w14:paraId="05F15DBE" w14:textId="77777777" w:rsidR="009039A5" w:rsidRPr="000E7AE9" w:rsidRDefault="009039A5" w:rsidP="00463647">
            <w:pPr>
              <w:pStyle w:val="Table"/>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2.</w:t>
            </w:r>
            <w:r>
              <w:rPr>
                <w:rFonts w:ascii="Times New Roman" w:hAnsi="Times New Roman"/>
                <w:color w:val="000000"/>
                <w:sz w:val="22"/>
                <w:szCs w:val="22"/>
                <w:lang w:val="sv-SE"/>
              </w:rPr>
              <w:tab/>
            </w:r>
            <w:r w:rsidRPr="000E7AE9">
              <w:rPr>
                <w:rFonts w:ascii="Times New Roman" w:hAnsi="Times New Roman"/>
                <w:color w:val="000000"/>
                <w:sz w:val="22"/>
                <w:szCs w:val="22"/>
                <w:lang w:val="sv-SE"/>
              </w:rPr>
              <w:t>Återuppta behandling med 600 mg Glivec.</w:t>
            </w:r>
          </w:p>
          <w:p w14:paraId="17A5F5F4" w14:textId="77777777" w:rsidR="009039A5" w:rsidRPr="000E7AE9" w:rsidRDefault="009039A5" w:rsidP="00463647">
            <w:pPr>
              <w:pStyle w:val="Table"/>
              <w:widowControl w:val="0"/>
              <w:tabs>
                <w:tab w:val="clear" w:pos="284"/>
              </w:tabs>
              <w:spacing w:before="0" w:after="0"/>
              <w:ind w:left="469" w:hanging="469"/>
              <w:rPr>
                <w:rFonts w:ascii="Times New Roman" w:hAnsi="Times New Roman"/>
                <w:color w:val="000000"/>
                <w:sz w:val="22"/>
                <w:szCs w:val="22"/>
                <w:lang w:val="sv-SE"/>
              </w:rPr>
            </w:pPr>
            <w:r>
              <w:rPr>
                <w:rFonts w:ascii="Times New Roman" w:hAnsi="Times New Roman"/>
                <w:color w:val="000000"/>
                <w:sz w:val="22"/>
                <w:szCs w:val="22"/>
                <w:lang w:val="sv-SE"/>
              </w:rPr>
              <w:t>3.</w:t>
            </w:r>
            <w:r>
              <w:rPr>
                <w:rFonts w:ascii="Times New Roman" w:hAnsi="Times New Roman"/>
                <w:color w:val="000000"/>
                <w:sz w:val="22"/>
                <w:szCs w:val="22"/>
                <w:lang w:val="sv-SE"/>
              </w:rPr>
              <w:tab/>
            </w:r>
            <w:r w:rsidRPr="000E7AE9">
              <w:rPr>
                <w:rFonts w:ascii="Times New Roman" w:hAnsi="Times New Roman"/>
                <w:color w:val="000000"/>
                <w:sz w:val="22"/>
                <w:szCs w:val="22"/>
                <w:lang w:val="sv-SE"/>
              </w:rPr>
              <w:t>Om ANC återgår till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och/eller trombocyter &lt; 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upprepa steg 1 och återuppta Glivec i reducerad dos om 400 mg.</w:t>
            </w:r>
          </w:p>
        </w:tc>
      </w:tr>
      <w:tr w:rsidR="009039A5" w:rsidRPr="00644A2E" w14:paraId="6080E851" w14:textId="77777777" w:rsidTr="0040304A">
        <w:trPr>
          <w:cantSplit/>
        </w:trPr>
        <w:tc>
          <w:tcPr>
            <w:tcW w:w="9180" w:type="dxa"/>
            <w:gridSpan w:val="3"/>
            <w:tcBorders>
              <w:top w:val="single" w:sz="4" w:space="0" w:color="auto"/>
              <w:left w:val="single" w:sz="4" w:space="0" w:color="auto"/>
              <w:right w:val="single" w:sz="4" w:space="0" w:color="auto"/>
            </w:tcBorders>
          </w:tcPr>
          <w:p w14:paraId="2D8849B8" w14:textId="77777777" w:rsidR="009039A5" w:rsidRPr="000E7AE9" w:rsidRDefault="009039A5" w:rsidP="00463647">
            <w:pPr>
              <w:pStyle w:val="EndnoteText"/>
              <w:keepNext/>
              <w:keepLines/>
              <w:widowControl w:val="0"/>
              <w:tabs>
                <w:tab w:val="clear" w:pos="567"/>
              </w:tabs>
              <w:ind w:left="469" w:hanging="469"/>
              <w:rPr>
                <w:color w:val="000000"/>
                <w:szCs w:val="22"/>
                <w:lang w:val="sv-SE"/>
              </w:rPr>
            </w:pPr>
            <w:r w:rsidRPr="000E7AE9">
              <w:rPr>
                <w:color w:val="000000"/>
                <w:szCs w:val="22"/>
                <w:lang w:val="sv-SE"/>
              </w:rPr>
              <w:t>ANC-värde = absolut antal neutrofiler</w:t>
            </w:r>
          </w:p>
        </w:tc>
      </w:tr>
      <w:tr w:rsidR="009039A5" w:rsidRPr="00F60A89" w14:paraId="31AFCDF2" w14:textId="77777777" w:rsidTr="0040304A">
        <w:trPr>
          <w:cantSplit/>
        </w:trPr>
        <w:tc>
          <w:tcPr>
            <w:tcW w:w="9180" w:type="dxa"/>
            <w:gridSpan w:val="3"/>
            <w:tcBorders>
              <w:left w:val="single" w:sz="4" w:space="0" w:color="auto"/>
              <w:bottom w:val="single" w:sz="4" w:space="0" w:color="auto"/>
              <w:right w:val="single" w:sz="4" w:space="0" w:color="auto"/>
            </w:tcBorders>
          </w:tcPr>
          <w:p w14:paraId="4C5D4869" w14:textId="77777777" w:rsidR="009039A5" w:rsidRPr="000E7AE9" w:rsidRDefault="009039A5" w:rsidP="00463647">
            <w:pPr>
              <w:pStyle w:val="EndnoteText"/>
              <w:keepNext/>
              <w:keepLines/>
              <w:widowControl w:val="0"/>
              <w:tabs>
                <w:tab w:val="clear" w:pos="567"/>
              </w:tabs>
              <w:ind w:left="469" w:hanging="469"/>
              <w:rPr>
                <w:color w:val="000000"/>
                <w:szCs w:val="22"/>
                <w:lang w:val="sv-SE"/>
              </w:rPr>
            </w:pPr>
            <w:r w:rsidRPr="000E7AE9">
              <w:rPr>
                <w:color w:val="000000"/>
                <w:szCs w:val="22"/>
                <w:vertAlign w:val="superscript"/>
                <w:lang w:val="sv-SE"/>
              </w:rPr>
              <w:t>a</w:t>
            </w:r>
            <w:r w:rsidRPr="000E7AE9">
              <w:rPr>
                <w:color w:val="000000"/>
                <w:szCs w:val="22"/>
                <w:lang w:val="sv-SE"/>
              </w:rPr>
              <w:t>uppstår efter minst 1 månads behandling</w:t>
            </w:r>
          </w:p>
        </w:tc>
      </w:tr>
    </w:tbl>
    <w:p w14:paraId="407C82AC" w14:textId="77777777" w:rsidR="0042127E" w:rsidRPr="000E7AE9" w:rsidRDefault="0042127E" w:rsidP="00463647">
      <w:pPr>
        <w:pStyle w:val="EndnoteText"/>
        <w:widowControl w:val="0"/>
        <w:tabs>
          <w:tab w:val="clear" w:pos="567"/>
        </w:tabs>
        <w:rPr>
          <w:color w:val="000000"/>
          <w:szCs w:val="22"/>
          <w:lang w:val="sv-SE"/>
        </w:rPr>
      </w:pPr>
    </w:p>
    <w:p w14:paraId="03ADDE73" w14:textId="77777777" w:rsidR="0042127E" w:rsidRPr="003D4D46" w:rsidRDefault="0042127E" w:rsidP="00463647">
      <w:pPr>
        <w:pStyle w:val="EndnoteText"/>
        <w:keepNext/>
        <w:widowControl w:val="0"/>
        <w:tabs>
          <w:tab w:val="clear" w:pos="567"/>
        </w:tabs>
        <w:rPr>
          <w:color w:val="000000"/>
          <w:szCs w:val="22"/>
          <w:u w:val="single"/>
          <w:lang w:val="sv-SE"/>
        </w:rPr>
      </w:pPr>
      <w:r w:rsidRPr="003D4D46">
        <w:rPr>
          <w:color w:val="000000"/>
          <w:szCs w:val="22"/>
          <w:u w:val="single"/>
          <w:lang w:val="sv-SE"/>
        </w:rPr>
        <w:t>Särskilda grupper</w:t>
      </w:r>
    </w:p>
    <w:p w14:paraId="403B8CB6" w14:textId="77777777" w:rsidR="0042127E" w:rsidRDefault="0042127E" w:rsidP="00463647">
      <w:pPr>
        <w:pStyle w:val="EndnoteText"/>
        <w:widowControl w:val="0"/>
        <w:tabs>
          <w:tab w:val="clear" w:pos="567"/>
        </w:tabs>
        <w:rPr>
          <w:color w:val="000000"/>
          <w:szCs w:val="22"/>
          <w:lang w:val="sv-SE"/>
        </w:rPr>
      </w:pPr>
      <w:r w:rsidRPr="00246A22">
        <w:rPr>
          <w:i/>
          <w:color w:val="000000"/>
          <w:szCs w:val="22"/>
          <w:lang w:val="sv-SE"/>
        </w:rPr>
        <w:t>Barn:</w:t>
      </w:r>
      <w:r w:rsidRPr="000E7AE9">
        <w:rPr>
          <w:color w:val="000000"/>
          <w:szCs w:val="22"/>
          <w:lang w:val="sv-SE"/>
        </w:rPr>
        <w:t xml:space="preserve"> Det finns ingen erfarenhet från barn under 2 år med KML </w:t>
      </w:r>
      <w:r w:rsidR="003706F0">
        <w:rPr>
          <w:color w:val="000000"/>
          <w:szCs w:val="22"/>
          <w:lang w:val="sv-SE"/>
        </w:rPr>
        <w:t xml:space="preserve">och under 1 års ålder med Ph+ ALL </w:t>
      </w:r>
      <w:r w:rsidRPr="000E7AE9">
        <w:rPr>
          <w:color w:val="000000"/>
          <w:szCs w:val="22"/>
          <w:lang w:val="sv-SE"/>
        </w:rPr>
        <w:t>(se avsnitt 5.1). Det finns mycket begränsad erfarenhet från barn med MDS/MPD</w:t>
      </w:r>
      <w:r w:rsidR="00403DCC">
        <w:rPr>
          <w:color w:val="000000"/>
          <w:szCs w:val="22"/>
          <w:lang w:val="sv-SE"/>
        </w:rPr>
        <w:t>,</w:t>
      </w:r>
      <w:r w:rsidRPr="000E7AE9">
        <w:rPr>
          <w:color w:val="000000"/>
          <w:szCs w:val="22"/>
          <w:lang w:val="sv-SE"/>
        </w:rPr>
        <w:t xml:space="preserve"> DFSP</w:t>
      </w:r>
      <w:r w:rsidR="00403DCC">
        <w:rPr>
          <w:color w:val="000000"/>
          <w:szCs w:val="22"/>
          <w:lang w:val="sv-SE"/>
        </w:rPr>
        <w:t>,</w:t>
      </w:r>
      <w:r w:rsidRPr="000E7AE9">
        <w:rPr>
          <w:color w:val="000000"/>
          <w:szCs w:val="22"/>
          <w:lang w:val="sv-SE"/>
        </w:rPr>
        <w:t xml:space="preserve"> GIST och HES/CEL.</w:t>
      </w:r>
    </w:p>
    <w:p w14:paraId="4791FF07" w14:textId="77777777" w:rsidR="00403DCC" w:rsidRPr="000E7AE9" w:rsidRDefault="00403DCC" w:rsidP="00463647">
      <w:pPr>
        <w:pStyle w:val="EndnoteText"/>
        <w:widowControl w:val="0"/>
        <w:tabs>
          <w:tab w:val="clear" w:pos="567"/>
        </w:tabs>
        <w:rPr>
          <w:color w:val="000000"/>
          <w:szCs w:val="22"/>
          <w:lang w:val="sv-SE"/>
        </w:rPr>
      </w:pPr>
    </w:p>
    <w:p w14:paraId="46F19260" w14:textId="77777777" w:rsidR="00403DCC" w:rsidRDefault="00403DCC" w:rsidP="00463647">
      <w:pPr>
        <w:pStyle w:val="EndnoteText"/>
        <w:widowControl w:val="0"/>
        <w:tabs>
          <w:tab w:val="clear" w:pos="567"/>
        </w:tabs>
        <w:rPr>
          <w:color w:val="000000"/>
          <w:szCs w:val="22"/>
          <w:lang w:val="sv-SE"/>
        </w:rPr>
      </w:pPr>
      <w:r>
        <w:rPr>
          <w:color w:val="000000"/>
          <w:szCs w:val="22"/>
          <w:lang w:val="sv-SE"/>
        </w:rPr>
        <w:t xml:space="preserve">Säkerhet och effekt för imatinib för barn med MDS/MPD, DFSP, GIST och HES/CEL yngre än 18 år har inte fastställts i kliniska studier. Tillgänglig publicerad information summeras i </w:t>
      </w:r>
      <w:r w:rsidR="00116EAF">
        <w:rPr>
          <w:color w:val="000000"/>
          <w:szCs w:val="22"/>
          <w:lang w:val="sv-SE"/>
        </w:rPr>
        <w:t>avsnitt</w:t>
      </w:r>
      <w:r>
        <w:rPr>
          <w:color w:val="000000"/>
          <w:szCs w:val="22"/>
          <w:lang w:val="sv-SE"/>
        </w:rPr>
        <w:t xml:space="preserve"> 5.1 men ingen doseringsrekommendation kan fastställas.</w:t>
      </w:r>
    </w:p>
    <w:p w14:paraId="3C8936C1" w14:textId="77777777" w:rsidR="0042127E" w:rsidRPr="000E7AE9" w:rsidRDefault="0042127E" w:rsidP="00463647">
      <w:pPr>
        <w:pStyle w:val="EndnoteText"/>
        <w:widowControl w:val="0"/>
        <w:tabs>
          <w:tab w:val="clear" w:pos="567"/>
        </w:tabs>
        <w:rPr>
          <w:color w:val="000000"/>
          <w:szCs w:val="22"/>
          <w:lang w:val="sv-SE"/>
        </w:rPr>
      </w:pPr>
    </w:p>
    <w:p w14:paraId="770667B2" w14:textId="77777777" w:rsidR="0042127E" w:rsidRPr="000E7AE9" w:rsidRDefault="0042127E" w:rsidP="00463647">
      <w:pPr>
        <w:pStyle w:val="EndnoteText"/>
        <w:widowControl w:val="0"/>
        <w:tabs>
          <w:tab w:val="clear" w:pos="567"/>
        </w:tabs>
        <w:rPr>
          <w:color w:val="000000"/>
          <w:szCs w:val="22"/>
          <w:lang w:val="sv-SE"/>
        </w:rPr>
      </w:pPr>
      <w:r w:rsidRPr="00246A22">
        <w:rPr>
          <w:i/>
          <w:color w:val="000000"/>
          <w:szCs w:val="22"/>
          <w:lang w:val="sv-SE"/>
        </w:rPr>
        <w:t>Leverinsufficiens:</w:t>
      </w:r>
      <w:r w:rsidRPr="000E7AE9">
        <w:rPr>
          <w:color w:val="000000"/>
          <w:szCs w:val="22"/>
          <w:lang w:val="sv-SE"/>
        </w:rPr>
        <w:t xml:space="preserve"> Imatinib metaboliseras huvudsakligen i levern. Patienter med mild, måttlig eller svår leverfunktionsrubbning skall få lägsta rekommenderade dos på 400 mg dagligen. Dosen kan reduceras om den inte tolereras (se avsnitten 4.4, 4.8 och 5.2).</w:t>
      </w:r>
    </w:p>
    <w:p w14:paraId="4BC512D9" w14:textId="77777777" w:rsidR="0042127E" w:rsidRPr="000E7AE9" w:rsidRDefault="0042127E" w:rsidP="00463647">
      <w:pPr>
        <w:pStyle w:val="EndnoteText"/>
        <w:widowControl w:val="0"/>
        <w:tabs>
          <w:tab w:val="clear" w:pos="567"/>
        </w:tabs>
        <w:rPr>
          <w:color w:val="000000"/>
          <w:szCs w:val="22"/>
          <w:lang w:val="sv-SE"/>
        </w:rPr>
      </w:pPr>
    </w:p>
    <w:p w14:paraId="6270D9FC" w14:textId="77777777" w:rsidR="0042127E" w:rsidRPr="000E7AE9" w:rsidRDefault="0042127E" w:rsidP="00463647">
      <w:pPr>
        <w:pStyle w:val="EndnoteText"/>
        <w:keepNext/>
        <w:keepLines/>
        <w:widowControl w:val="0"/>
        <w:tabs>
          <w:tab w:val="clear" w:pos="567"/>
        </w:tabs>
        <w:rPr>
          <w:bCs/>
          <w:color w:val="000000"/>
          <w:szCs w:val="22"/>
          <w:lang w:val="sv-SE"/>
        </w:rPr>
      </w:pPr>
      <w:r w:rsidRPr="000E7AE9">
        <w:rPr>
          <w:bCs/>
          <w:color w:val="000000"/>
          <w:szCs w:val="22"/>
          <w:lang w:val="sv-SE"/>
        </w:rPr>
        <w:t>Klassificering av leverfunktionsrubbning:</w:t>
      </w:r>
    </w:p>
    <w:p w14:paraId="1E677982" w14:textId="77777777" w:rsidR="0042127E" w:rsidRPr="000E7AE9" w:rsidRDefault="0042127E" w:rsidP="00463647">
      <w:pPr>
        <w:pStyle w:val="EndnoteText"/>
        <w:keepNext/>
        <w:keepLines/>
        <w:widowControl w:val="0"/>
        <w:tabs>
          <w:tab w:val="clear" w:pos="567"/>
        </w:tabs>
        <w:rPr>
          <w:color w:val="000000"/>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4"/>
        <w:gridCol w:w="5737"/>
      </w:tblGrid>
      <w:tr w:rsidR="0042127E" w:rsidRPr="00C67B16" w14:paraId="647A92CC" w14:textId="77777777" w:rsidTr="0040304A">
        <w:trPr>
          <w:cantSplit/>
        </w:trPr>
        <w:tc>
          <w:tcPr>
            <w:tcW w:w="3369" w:type="dxa"/>
            <w:tcBorders>
              <w:top w:val="single" w:sz="4" w:space="0" w:color="auto"/>
              <w:left w:val="single" w:sz="4" w:space="0" w:color="auto"/>
              <w:bottom w:val="single" w:sz="4" w:space="0" w:color="auto"/>
              <w:right w:val="single" w:sz="4" w:space="0" w:color="auto"/>
            </w:tcBorders>
          </w:tcPr>
          <w:p w14:paraId="02AD255B" w14:textId="77777777" w:rsidR="0042127E" w:rsidRPr="00C67B16" w:rsidRDefault="0042127E" w:rsidP="00463647">
            <w:pPr>
              <w:pStyle w:val="TextChar"/>
              <w:keepNext/>
              <w:keepLines/>
              <w:widowControl w:val="0"/>
              <w:spacing w:before="0"/>
              <w:jc w:val="left"/>
              <w:rPr>
                <w:color w:val="000000"/>
                <w:sz w:val="22"/>
                <w:szCs w:val="22"/>
                <w:lang w:val="sv-SE"/>
              </w:rPr>
            </w:pPr>
            <w:r w:rsidRPr="00C67B16">
              <w:rPr>
                <w:color w:val="000000"/>
                <w:sz w:val="22"/>
                <w:szCs w:val="22"/>
                <w:lang w:val="sv-SE"/>
              </w:rPr>
              <w:t>Leverfunktionsrubbning</w:t>
            </w:r>
          </w:p>
        </w:tc>
        <w:tc>
          <w:tcPr>
            <w:tcW w:w="5918" w:type="dxa"/>
            <w:tcBorders>
              <w:left w:val="single" w:sz="4" w:space="0" w:color="auto"/>
            </w:tcBorders>
          </w:tcPr>
          <w:p w14:paraId="477EBF38" w14:textId="77777777" w:rsidR="0042127E" w:rsidRPr="00C67B16" w:rsidRDefault="0042127E" w:rsidP="00463647">
            <w:pPr>
              <w:pStyle w:val="TextChar"/>
              <w:keepNext/>
              <w:keepLines/>
              <w:widowControl w:val="0"/>
              <w:spacing w:before="0"/>
              <w:jc w:val="left"/>
              <w:rPr>
                <w:color w:val="000000"/>
                <w:sz w:val="22"/>
                <w:szCs w:val="22"/>
                <w:lang w:val="sv-SE"/>
              </w:rPr>
            </w:pPr>
            <w:r w:rsidRPr="00C67B16">
              <w:rPr>
                <w:color w:val="000000"/>
                <w:sz w:val="22"/>
                <w:szCs w:val="22"/>
                <w:lang w:val="sv-SE"/>
              </w:rPr>
              <w:t>Leverfunktionstest</w:t>
            </w:r>
          </w:p>
        </w:tc>
      </w:tr>
      <w:tr w:rsidR="0042127E" w:rsidRPr="00644A2E" w14:paraId="208E7679" w14:textId="77777777" w:rsidTr="0040304A">
        <w:trPr>
          <w:cantSplit/>
        </w:trPr>
        <w:tc>
          <w:tcPr>
            <w:tcW w:w="3369" w:type="dxa"/>
            <w:tcBorders>
              <w:top w:val="single" w:sz="4" w:space="0" w:color="auto"/>
            </w:tcBorders>
          </w:tcPr>
          <w:p w14:paraId="4D5E8994" w14:textId="77777777" w:rsidR="0042127E" w:rsidRPr="00C67B16" w:rsidRDefault="0042127E" w:rsidP="00463647">
            <w:pPr>
              <w:pStyle w:val="TextChar"/>
              <w:keepNext/>
              <w:keepLines/>
              <w:widowControl w:val="0"/>
              <w:spacing w:before="0"/>
              <w:jc w:val="left"/>
              <w:rPr>
                <w:color w:val="000000"/>
                <w:sz w:val="22"/>
                <w:szCs w:val="22"/>
                <w:lang w:val="sv-SE"/>
              </w:rPr>
            </w:pPr>
            <w:r w:rsidRPr="00C67B16">
              <w:rPr>
                <w:color w:val="000000"/>
                <w:sz w:val="22"/>
                <w:szCs w:val="22"/>
                <w:lang w:val="sv-SE"/>
              </w:rPr>
              <w:t>Mild</w:t>
            </w:r>
          </w:p>
        </w:tc>
        <w:tc>
          <w:tcPr>
            <w:tcW w:w="5918" w:type="dxa"/>
          </w:tcPr>
          <w:p w14:paraId="3ED0DB11" w14:textId="77777777" w:rsidR="0042127E" w:rsidRPr="00C67B16" w:rsidRDefault="0042127E" w:rsidP="00463647">
            <w:pPr>
              <w:keepNext/>
              <w:keepLines/>
              <w:widowControl w:val="0"/>
              <w:spacing w:line="240" w:lineRule="auto"/>
              <w:rPr>
                <w:snapToGrid w:val="0"/>
                <w:color w:val="000000"/>
                <w:szCs w:val="22"/>
                <w:lang w:val="sv-SE"/>
              </w:rPr>
            </w:pPr>
            <w:r w:rsidRPr="00C67B16">
              <w:rPr>
                <w:snapToGrid w:val="0"/>
                <w:color w:val="000000"/>
                <w:szCs w:val="22"/>
                <w:lang w:val="sv-SE"/>
              </w:rPr>
              <w:t>Totalbilirubin: = 1,5 ULN</w:t>
            </w:r>
          </w:p>
          <w:p w14:paraId="6D70EF05" w14:textId="77777777" w:rsidR="0042127E" w:rsidRPr="00C67B16" w:rsidRDefault="0042127E" w:rsidP="00463647">
            <w:pPr>
              <w:pStyle w:val="TextChar"/>
              <w:keepNext/>
              <w:keepLines/>
              <w:widowControl w:val="0"/>
              <w:spacing w:before="0"/>
              <w:jc w:val="left"/>
              <w:rPr>
                <w:snapToGrid w:val="0"/>
                <w:color w:val="000000"/>
                <w:sz w:val="22"/>
                <w:szCs w:val="22"/>
                <w:lang w:val="sv-SE"/>
              </w:rPr>
            </w:pPr>
            <w:r w:rsidRPr="00C67B16">
              <w:rPr>
                <w:snapToGrid w:val="0"/>
                <w:color w:val="000000"/>
                <w:sz w:val="22"/>
                <w:szCs w:val="22"/>
                <w:lang w:val="sv-SE"/>
              </w:rPr>
              <w:t>ASAT: &gt; ULN (kan vara normal eller &lt; ULN om totalbilirubin är &gt; ULN)</w:t>
            </w:r>
          </w:p>
        </w:tc>
      </w:tr>
      <w:tr w:rsidR="0042127E" w:rsidRPr="00644A2E" w14:paraId="1639719A" w14:textId="77777777" w:rsidTr="0040304A">
        <w:trPr>
          <w:cantSplit/>
        </w:trPr>
        <w:tc>
          <w:tcPr>
            <w:tcW w:w="3369" w:type="dxa"/>
          </w:tcPr>
          <w:p w14:paraId="1463C9EA" w14:textId="77777777" w:rsidR="0042127E" w:rsidRPr="00C67B16" w:rsidRDefault="0042127E" w:rsidP="00463647">
            <w:pPr>
              <w:pStyle w:val="TextChar"/>
              <w:keepNext/>
              <w:keepLines/>
              <w:widowControl w:val="0"/>
              <w:spacing w:before="0"/>
              <w:jc w:val="left"/>
              <w:rPr>
                <w:color w:val="000000"/>
                <w:sz w:val="22"/>
                <w:szCs w:val="22"/>
                <w:lang w:val="sv-SE"/>
              </w:rPr>
            </w:pPr>
            <w:r w:rsidRPr="00C67B16">
              <w:rPr>
                <w:color w:val="000000"/>
                <w:sz w:val="22"/>
                <w:szCs w:val="22"/>
                <w:lang w:val="sv-SE"/>
              </w:rPr>
              <w:t>Måttlig</w:t>
            </w:r>
          </w:p>
        </w:tc>
        <w:tc>
          <w:tcPr>
            <w:tcW w:w="5918" w:type="dxa"/>
          </w:tcPr>
          <w:p w14:paraId="5345D433" w14:textId="77777777" w:rsidR="0042127E" w:rsidRPr="00C67B16" w:rsidRDefault="0042127E" w:rsidP="00463647">
            <w:pPr>
              <w:keepNext/>
              <w:keepLines/>
              <w:widowControl w:val="0"/>
              <w:spacing w:line="240" w:lineRule="auto"/>
              <w:rPr>
                <w:snapToGrid w:val="0"/>
                <w:color w:val="000000"/>
                <w:szCs w:val="22"/>
                <w:lang w:val="sv-SE"/>
              </w:rPr>
            </w:pPr>
            <w:r w:rsidRPr="00C67B16">
              <w:rPr>
                <w:snapToGrid w:val="0"/>
                <w:color w:val="000000"/>
                <w:szCs w:val="22"/>
                <w:lang w:val="sv-SE"/>
              </w:rPr>
              <w:t>Totalbilirubin: &gt; 1,5</w:t>
            </w:r>
            <w:r w:rsidRPr="00C67B16">
              <w:rPr>
                <w:color w:val="000000"/>
                <w:szCs w:val="22"/>
                <w:lang w:val="sv-SE"/>
              </w:rPr>
              <w:t>–</w:t>
            </w:r>
            <w:r w:rsidRPr="00C67B16">
              <w:rPr>
                <w:snapToGrid w:val="0"/>
                <w:color w:val="000000"/>
                <w:szCs w:val="22"/>
                <w:lang w:val="sv-SE"/>
              </w:rPr>
              <w:t>3,0 ULN</w:t>
            </w:r>
          </w:p>
          <w:p w14:paraId="38EA793A" w14:textId="77777777" w:rsidR="0042127E" w:rsidRPr="00C67B16" w:rsidRDefault="0042127E" w:rsidP="00463647">
            <w:pPr>
              <w:pStyle w:val="TextChar"/>
              <w:keepNext/>
              <w:keepLines/>
              <w:widowControl w:val="0"/>
              <w:spacing w:before="0"/>
              <w:jc w:val="left"/>
              <w:rPr>
                <w:color w:val="000000"/>
                <w:sz w:val="22"/>
                <w:szCs w:val="22"/>
                <w:lang w:val="sv-SE"/>
              </w:rPr>
            </w:pPr>
            <w:r w:rsidRPr="00C67B16">
              <w:rPr>
                <w:snapToGrid w:val="0"/>
                <w:color w:val="000000"/>
                <w:sz w:val="22"/>
                <w:szCs w:val="22"/>
                <w:lang w:val="sv-SE"/>
              </w:rPr>
              <w:t>ASAT: oavsett värde</w:t>
            </w:r>
          </w:p>
        </w:tc>
      </w:tr>
      <w:tr w:rsidR="0042127E" w:rsidRPr="00644A2E" w14:paraId="3F5BCB85" w14:textId="77777777" w:rsidTr="0040304A">
        <w:trPr>
          <w:cantSplit/>
        </w:trPr>
        <w:tc>
          <w:tcPr>
            <w:tcW w:w="3369" w:type="dxa"/>
          </w:tcPr>
          <w:p w14:paraId="34C7D805" w14:textId="77777777" w:rsidR="0042127E" w:rsidRPr="00C67B16" w:rsidRDefault="0042127E" w:rsidP="00463647">
            <w:pPr>
              <w:pStyle w:val="TextChar"/>
              <w:keepNext/>
              <w:keepLines/>
              <w:widowControl w:val="0"/>
              <w:spacing w:before="0"/>
              <w:jc w:val="left"/>
              <w:rPr>
                <w:color w:val="000000"/>
                <w:sz w:val="22"/>
                <w:szCs w:val="22"/>
                <w:lang w:val="sv-SE"/>
              </w:rPr>
            </w:pPr>
            <w:r w:rsidRPr="00C67B16">
              <w:rPr>
                <w:color w:val="000000"/>
                <w:sz w:val="22"/>
                <w:szCs w:val="22"/>
                <w:lang w:val="sv-SE"/>
              </w:rPr>
              <w:t>Svår</w:t>
            </w:r>
          </w:p>
        </w:tc>
        <w:tc>
          <w:tcPr>
            <w:tcW w:w="5918" w:type="dxa"/>
          </w:tcPr>
          <w:p w14:paraId="71B6FEB2" w14:textId="77777777" w:rsidR="0042127E" w:rsidRPr="00C67B16" w:rsidRDefault="0042127E" w:rsidP="00463647">
            <w:pPr>
              <w:keepNext/>
              <w:keepLines/>
              <w:widowControl w:val="0"/>
              <w:spacing w:line="240" w:lineRule="auto"/>
              <w:rPr>
                <w:snapToGrid w:val="0"/>
                <w:color w:val="000000"/>
                <w:szCs w:val="22"/>
                <w:lang w:val="sv-SE"/>
              </w:rPr>
            </w:pPr>
            <w:r w:rsidRPr="00C67B16">
              <w:rPr>
                <w:snapToGrid w:val="0"/>
                <w:color w:val="000000"/>
                <w:szCs w:val="22"/>
                <w:lang w:val="sv-SE"/>
              </w:rPr>
              <w:t>Totalbilirubin: &gt; 3</w:t>
            </w:r>
            <w:r w:rsidRPr="00C67B16">
              <w:rPr>
                <w:color w:val="000000"/>
                <w:szCs w:val="22"/>
                <w:lang w:val="sv-SE"/>
              </w:rPr>
              <w:t>–</w:t>
            </w:r>
            <w:r w:rsidRPr="00C67B16">
              <w:rPr>
                <w:snapToGrid w:val="0"/>
                <w:color w:val="000000"/>
                <w:szCs w:val="22"/>
                <w:lang w:val="sv-SE"/>
              </w:rPr>
              <w:t>10 ULN</w:t>
            </w:r>
          </w:p>
          <w:p w14:paraId="1455EC6D" w14:textId="77777777" w:rsidR="0042127E" w:rsidRPr="00C67B16" w:rsidRDefault="0042127E" w:rsidP="00463647">
            <w:pPr>
              <w:pStyle w:val="TextChar"/>
              <w:keepNext/>
              <w:keepLines/>
              <w:widowControl w:val="0"/>
              <w:spacing w:before="0"/>
              <w:jc w:val="left"/>
              <w:rPr>
                <w:color w:val="000000"/>
                <w:sz w:val="22"/>
                <w:szCs w:val="22"/>
                <w:lang w:val="sv-SE"/>
              </w:rPr>
            </w:pPr>
            <w:r w:rsidRPr="00C67B16">
              <w:rPr>
                <w:snapToGrid w:val="0"/>
                <w:color w:val="000000"/>
                <w:sz w:val="22"/>
                <w:szCs w:val="22"/>
                <w:lang w:val="sv-SE"/>
              </w:rPr>
              <w:t>ASAT: oavsett värde</w:t>
            </w:r>
          </w:p>
        </w:tc>
      </w:tr>
    </w:tbl>
    <w:p w14:paraId="3F9B7074" w14:textId="77777777" w:rsidR="0042127E" w:rsidRPr="000E7AE9" w:rsidRDefault="0042127E" w:rsidP="00463647">
      <w:pPr>
        <w:pStyle w:val="TextChar"/>
        <w:keepNext/>
        <w:keepLines/>
        <w:widowControl w:val="0"/>
        <w:spacing w:before="0"/>
        <w:jc w:val="left"/>
        <w:rPr>
          <w:color w:val="000000"/>
          <w:sz w:val="22"/>
          <w:szCs w:val="22"/>
          <w:lang w:val="sv-SE"/>
        </w:rPr>
      </w:pPr>
      <w:r w:rsidRPr="000E7AE9">
        <w:rPr>
          <w:color w:val="000000"/>
          <w:sz w:val="22"/>
          <w:szCs w:val="22"/>
          <w:lang w:val="sv-SE"/>
        </w:rPr>
        <w:t>ULN = det institutionella övre normala gränsvärdet</w:t>
      </w:r>
    </w:p>
    <w:p w14:paraId="4935E263" w14:textId="77777777" w:rsidR="0042127E" w:rsidRPr="000E7AE9" w:rsidRDefault="0042127E" w:rsidP="00463647">
      <w:pPr>
        <w:pStyle w:val="EndnoteText"/>
        <w:keepNext/>
        <w:keepLines/>
        <w:widowControl w:val="0"/>
        <w:tabs>
          <w:tab w:val="clear" w:pos="567"/>
        </w:tabs>
        <w:rPr>
          <w:color w:val="000000"/>
          <w:szCs w:val="22"/>
          <w:lang w:val="sv-SE"/>
        </w:rPr>
      </w:pPr>
      <w:r w:rsidRPr="000E7AE9">
        <w:rPr>
          <w:rFonts w:eastAsia="MS Mincho"/>
          <w:bCs/>
          <w:color w:val="000000"/>
          <w:szCs w:val="22"/>
          <w:lang w:val="sv-SE" w:eastAsia="ja-JP"/>
        </w:rPr>
        <w:t xml:space="preserve">ASAT = </w:t>
      </w:r>
      <w:r w:rsidRPr="000E7AE9">
        <w:rPr>
          <w:color w:val="000000"/>
          <w:szCs w:val="22"/>
          <w:lang w:val="sv-SE"/>
        </w:rPr>
        <w:t>aspartataminotransferas</w:t>
      </w:r>
    </w:p>
    <w:p w14:paraId="333ADE69" w14:textId="77777777" w:rsidR="0042127E" w:rsidRPr="000E7AE9" w:rsidRDefault="0042127E" w:rsidP="00463647">
      <w:pPr>
        <w:pStyle w:val="EndnoteText"/>
        <w:widowControl w:val="0"/>
        <w:tabs>
          <w:tab w:val="clear" w:pos="567"/>
        </w:tabs>
        <w:rPr>
          <w:color w:val="000000"/>
          <w:szCs w:val="22"/>
          <w:lang w:val="sv-SE"/>
        </w:rPr>
      </w:pPr>
    </w:p>
    <w:p w14:paraId="747331F1" w14:textId="77777777" w:rsidR="0042127E" w:rsidRPr="000E7AE9" w:rsidRDefault="0042127E" w:rsidP="00463647">
      <w:pPr>
        <w:pStyle w:val="EndnoteText"/>
        <w:widowControl w:val="0"/>
        <w:tabs>
          <w:tab w:val="clear" w:pos="567"/>
        </w:tabs>
        <w:rPr>
          <w:color w:val="000000"/>
          <w:szCs w:val="22"/>
          <w:lang w:val="sv-SE"/>
        </w:rPr>
      </w:pPr>
      <w:r w:rsidRPr="00246A22">
        <w:rPr>
          <w:i/>
          <w:color w:val="000000"/>
          <w:szCs w:val="22"/>
          <w:lang w:val="sv-SE"/>
        </w:rPr>
        <w:t>Njurinsufficiens:</w:t>
      </w:r>
      <w:r w:rsidRPr="000E7AE9">
        <w:rPr>
          <w:color w:val="000000"/>
          <w:szCs w:val="22"/>
          <w:lang w:val="sv-SE"/>
        </w:rPr>
        <w:t xml:space="preserve"> Patienter med lätt nedsatt njurfunktion </w:t>
      </w:r>
      <w:r>
        <w:rPr>
          <w:color w:val="000000"/>
          <w:szCs w:val="22"/>
          <w:lang w:val="sv-SE"/>
        </w:rPr>
        <w:t>eller som går på dialys</w:t>
      </w:r>
      <w:r w:rsidRPr="000E7AE9" w:rsidDel="00813718">
        <w:rPr>
          <w:color w:val="000000"/>
          <w:szCs w:val="22"/>
          <w:lang w:val="sv-SE"/>
        </w:rPr>
        <w:t xml:space="preserve"> </w:t>
      </w:r>
      <w:r w:rsidRPr="000E7AE9">
        <w:rPr>
          <w:color w:val="000000"/>
          <w:szCs w:val="22"/>
          <w:lang w:val="sv-SE"/>
        </w:rPr>
        <w:t>skall ges lägsta rekommenderade dos om 400 mg/dag som startdos. Emellertid rekommenderas försiktighet med dessa patienter. Dosen kan minskas om den inte tolereras</w:t>
      </w:r>
      <w:r>
        <w:rPr>
          <w:color w:val="000000"/>
          <w:szCs w:val="22"/>
          <w:lang w:val="sv-SE"/>
        </w:rPr>
        <w:t>. Om dosen tolereras kan den</w:t>
      </w:r>
      <w:r w:rsidRPr="000E7AE9">
        <w:rPr>
          <w:color w:val="000000"/>
          <w:szCs w:val="22"/>
          <w:lang w:val="sv-SE"/>
        </w:rPr>
        <w:t xml:space="preserve"> ökas om effekten uteblir (se avsnitten 4.4 och 5.2).</w:t>
      </w:r>
    </w:p>
    <w:p w14:paraId="024FD58D" w14:textId="77777777" w:rsidR="0042127E" w:rsidRPr="000E7AE9" w:rsidRDefault="0042127E" w:rsidP="00463647">
      <w:pPr>
        <w:pStyle w:val="EndnoteText"/>
        <w:widowControl w:val="0"/>
        <w:tabs>
          <w:tab w:val="clear" w:pos="567"/>
        </w:tabs>
        <w:rPr>
          <w:color w:val="000000"/>
          <w:szCs w:val="22"/>
          <w:lang w:val="sv-SE"/>
        </w:rPr>
      </w:pPr>
    </w:p>
    <w:p w14:paraId="4BC04462" w14:textId="77777777" w:rsidR="0042127E" w:rsidRPr="000E7AE9" w:rsidRDefault="00BA0A58" w:rsidP="00463647">
      <w:pPr>
        <w:pStyle w:val="EndnoteText"/>
        <w:widowControl w:val="0"/>
        <w:tabs>
          <w:tab w:val="clear" w:pos="567"/>
        </w:tabs>
        <w:rPr>
          <w:color w:val="000000"/>
          <w:szCs w:val="22"/>
          <w:lang w:val="sv-SE"/>
        </w:rPr>
      </w:pPr>
      <w:r>
        <w:rPr>
          <w:i/>
          <w:color w:val="000000"/>
          <w:szCs w:val="22"/>
          <w:lang w:val="sv-SE"/>
        </w:rPr>
        <w:t>Äldre personer</w:t>
      </w:r>
      <w:r w:rsidR="0042127E" w:rsidRPr="00246A22">
        <w:rPr>
          <w:i/>
          <w:color w:val="000000"/>
          <w:szCs w:val="22"/>
          <w:lang w:val="sv-SE"/>
        </w:rPr>
        <w:t>:</w:t>
      </w:r>
      <w:r w:rsidR="0042127E" w:rsidRPr="000E7AE9">
        <w:rPr>
          <w:color w:val="000000"/>
          <w:szCs w:val="22"/>
          <w:lang w:val="sv-SE"/>
        </w:rPr>
        <w:t xml:space="preserve"> Imatinibs farmakokinetik har inte specifikt studerats hos äldre</w:t>
      </w:r>
      <w:r>
        <w:rPr>
          <w:color w:val="000000"/>
          <w:szCs w:val="22"/>
          <w:lang w:val="sv-SE"/>
        </w:rPr>
        <w:t xml:space="preserve"> personer</w:t>
      </w:r>
      <w:r w:rsidR="0042127E" w:rsidRPr="000E7AE9">
        <w:rPr>
          <w:color w:val="000000"/>
          <w:szCs w:val="22"/>
          <w:lang w:val="sv-SE"/>
        </w:rPr>
        <w:t>. Inga betydande åldersrelaterade skillnader i farmakokinetik har noterats på vuxna patienter i kliniska studier, som inkluderade mer än 20</w:t>
      </w:r>
      <w:r w:rsidR="00BC1731">
        <w:rPr>
          <w:color w:val="000000"/>
          <w:szCs w:val="22"/>
          <w:lang w:val="sv-SE"/>
        </w:rPr>
        <w:t> </w:t>
      </w:r>
      <w:r w:rsidR="0042127E" w:rsidRPr="000E7AE9">
        <w:rPr>
          <w:color w:val="000000"/>
          <w:szCs w:val="22"/>
          <w:lang w:val="sv-SE"/>
        </w:rPr>
        <w:t xml:space="preserve">% patienter i åldern 65 år och äldre. Inga särskilda dosrekommendationer är nödvändiga för äldre </w:t>
      </w:r>
      <w:r w:rsidR="002F7AB3">
        <w:rPr>
          <w:color w:val="000000"/>
          <w:szCs w:val="22"/>
          <w:lang w:val="sv-SE"/>
        </w:rPr>
        <w:t>personer</w:t>
      </w:r>
      <w:r w:rsidR="0042127E" w:rsidRPr="000E7AE9">
        <w:rPr>
          <w:color w:val="000000"/>
          <w:szCs w:val="22"/>
          <w:lang w:val="sv-SE"/>
        </w:rPr>
        <w:t>.</w:t>
      </w:r>
    </w:p>
    <w:p w14:paraId="2A0C4C5B" w14:textId="77777777" w:rsidR="003C6C2D" w:rsidRPr="000E7AE9" w:rsidRDefault="003C6C2D" w:rsidP="00463647">
      <w:pPr>
        <w:pStyle w:val="EndnoteText"/>
        <w:widowControl w:val="0"/>
        <w:tabs>
          <w:tab w:val="clear" w:pos="567"/>
        </w:tabs>
        <w:rPr>
          <w:color w:val="000000"/>
          <w:szCs w:val="22"/>
          <w:lang w:val="sv-SE"/>
        </w:rPr>
      </w:pPr>
    </w:p>
    <w:p w14:paraId="34DA06FE" w14:textId="77777777" w:rsidR="00547CA2" w:rsidRPr="000E7AE9" w:rsidRDefault="00547CA2" w:rsidP="00463647">
      <w:pPr>
        <w:pStyle w:val="Heading4"/>
        <w:widowControl w:val="0"/>
        <w:spacing w:line="240" w:lineRule="auto"/>
        <w:rPr>
          <w:noProof w:val="0"/>
          <w:color w:val="000000"/>
          <w:szCs w:val="22"/>
          <w:lang w:val="sv-SE"/>
        </w:rPr>
      </w:pPr>
      <w:r w:rsidRPr="000E7AE9">
        <w:rPr>
          <w:noProof w:val="0"/>
          <w:color w:val="000000"/>
          <w:szCs w:val="22"/>
          <w:lang w:val="sv-SE"/>
        </w:rPr>
        <w:t>4.3</w:t>
      </w:r>
      <w:r w:rsidRPr="000E7AE9">
        <w:rPr>
          <w:noProof w:val="0"/>
          <w:color w:val="000000"/>
          <w:szCs w:val="22"/>
          <w:lang w:val="sv-SE"/>
        </w:rPr>
        <w:tab/>
        <w:t>Kontraindikationer</w:t>
      </w:r>
    </w:p>
    <w:p w14:paraId="2B4B0023" w14:textId="77777777" w:rsidR="00547CA2" w:rsidRPr="000E7AE9" w:rsidRDefault="00547CA2" w:rsidP="00463647">
      <w:pPr>
        <w:pStyle w:val="EndnoteText"/>
        <w:keepNext/>
        <w:widowControl w:val="0"/>
        <w:tabs>
          <w:tab w:val="clear" w:pos="567"/>
        </w:tabs>
        <w:rPr>
          <w:color w:val="000000"/>
          <w:szCs w:val="22"/>
          <w:lang w:val="sv-SE"/>
        </w:rPr>
      </w:pPr>
    </w:p>
    <w:p w14:paraId="77510B97"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 xml:space="preserve">Överkänslighet mot den aktiva substansen eller </w:t>
      </w:r>
      <w:r>
        <w:rPr>
          <w:color w:val="000000"/>
          <w:szCs w:val="22"/>
          <w:lang w:val="sv-SE"/>
        </w:rPr>
        <w:t xml:space="preserve">mot </w:t>
      </w:r>
      <w:r w:rsidRPr="000E7AE9">
        <w:rPr>
          <w:color w:val="000000"/>
          <w:szCs w:val="22"/>
          <w:lang w:val="sv-SE"/>
        </w:rPr>
        <w:t>något hjälpämne</w:t>
      </w:r>
      <w:r>
        <w:rPr>
          <w:color w:val="000000"/>
          <w:szCs w:val="22"/>
          <w:lang w:val="sv-SE"/>
        </w:rPr>
        <w:t xml:space="preserve"> som anges i avsnitt 6.1</w:t>
      </w:r>
      <w:r w:rsidRPr="000E7AE9">
        <w:rPr>
          <w:color w:val="000000"/>
          <w:szCs w:val="22"/>
          <w:lang w:val="sv-SE"/>
        </w:rPr>
        <w:t>.</w:t>
      </w:r>
    </w:p>
    <w:p w14:paraId="7B3687A1" w14:textId="77777777" w:rsidR="00547CA2" w:rsidRPr="000E7AE9" w:rsidRDefault="00547CA2" w:rsidP="00463647">
      <w:pPr>
        <w:pStyle w:val="EndnoteText"/>
        <w:widowControl w:val="0"/>
        <w:tabs>
          <w:tab w:val="clear" w:pos="567"/>
        </w:tabs>
        <w:rPr>
          <w:color w:val="000000"/>
          <w:szCs w:val="22"/>
          <w:lang w:val="sv-SE"/>
        </w:rPr>
      </w:pPr>
    </w:p>
    <w:p w14:paraId="75FE1B5A" w14:textId="77777777" w:rsidR="00547CA2" w:rsidRPr="000E7AE9" w:rsidRDefault="00547CA2" w:rsidP="00463647">
      <w:pPr>
        <w:pStyle w:val="Heading4"/>
        <w:widowControl w:val="0"/>
        <w:spacing w:line="240" w:lineRule="auto"/>
        <w:rPr>
          <w:noProof w:val="0"/>
          <w:color w:val="000000"/>
          <w:szCs w:val="22"/>
          <w:lang w:val="sv-SE"/>
        </w:rPr>
      </w:pPr>
      <w:r w:rsidRPr="000E7AE9">
        <w:rPr>
          <w:noProof w:val="0"/>
          <w:color w:val="000000"/>
          <w:szCs w:val="22"/>
          <w:lang w:val="sv-SE"/>
        </w:rPr>
        <w:t>4.4</w:t>
      </w:r>
      <w:r w:rsidRPr="000E7AE9">
        <w:rPr>
          <w:noProof w:val="0"/>
          <w:color w:val="000000"/>
          <w:szCs w:val="22"/>
          <w:lang w:val="sv-SE"/>
        </w:rPr>
        <w:tab/>
        <w:t>Varningar och försiktighet</w:t>
      </w:r>
    </w:p>
    <w:p w14:paraId="306C533E" w14:textId="77777777" w:rsidR="00547CA2" w:rsidRPr="000E7AE9" w:rsidRDefault="00547CA2" w:rsidP="00463647">
      <w:pPr>
        <w:pStyle w:val="EndnoteText"/>
        <w:keepNext/>
        <w:widowControl w:val="0"/>
        <w:tabs>
          <w:tab w:val="clear" w:pos="567"/>
        </w:tabs>
        <w:rPr>
          <w:color w:val="000000"/>
          <w:szCs w:val="22"/>
          <w:lang w:val="sv-SE"/>
        </w:rPr>
      </w:pPr>
    </w:p>
    <w:p w14:paraId="46C23BA1" w14:textId="77777777" w:rsidR="00547CA2" w:rsidRPr="000E7AE9" w:rsidRDefault="00547CA2" w:rsidP="00463647">
      <w:pPr>
        <w:pStyle w:val="EndnoteText"/>
        <w:widowControl w:val="0"/>
        <w:tabs>
          <w:tab w:val="clear" w:pos="567"/>
          <w:tab w:val="left" w:pos="7655"/>
        </w:tabs>
        <w:rPr>
          <w:color w:val="000000"/>
          <w:szCs w:val="22"/>
          <w:lang w:val="sv-SE"/>
        </w:rPr>
      </w:pPr>
      <w:r w:rsidRPr="000E7AE9">
        <w:rPr>
          <w:color w:val="000000"/>
          <w:szCs w:val="22"/>
          <w:lang w:val="sv-SE"/>
        </w:rPr>
        <w:t>När Glivec ges tillsammans med andra läkemedel kan det finnas en risk för interaktioner</w:t>
      </w:r>
      <w:r>
        <w:rPr>
          <w:color w:val="000000"/>
          <w:szCs w:val="22"/>
          <w:lang w:val="sv-SE"/>
        </w:rPr>
        <w:t>. Försiktighet bör iakttas vid intag av Glivec med proteashämmare, antimykotikum, vissa makrolider (se avsnitt 4.5), CYP3A4-substrat med smalt terapeutiskt fönster (t ex ciklosporin, pimozid, takrolimus, sirolimus, ergotamin, diergotamin, fentanyl, alfentanil, terfenadin, bortesomib, doketaxel, cinkonidin) eller warfarin och andra kumarinderivat</w:t>
      </w:r>
      <w:r w:rsidRPr="000E7AE9">
        <w:rPr>
          <w:color w:val="000000"/>
          <w:szCs w:val="22"/>
          <w:lang w:val="sv-SE"/>
        </w:rPr>
        <w:t xml:space="preserve"> (se avsnitt 4.5)</w:t>
      </w:r>
      <w:r>
        <w:rPr>
          <w:color w:val="000000"/>
          <w:szCs w:val="22"/>
          <w:lang w:val="sv-SE"/>
        </w:rPr>
        <w:t>.</w:t>
      </w:r>
    </w:p>
    <w:p w14:paraId="24765B9E" w14:textId="77777777" w:rsidR="00547CA2" w:rsidRPr="000E7AE9" w:rsidRDefault="00547CA2" w:rsidP="00463647">
      <w:pPr>
        <w:pStyle w:val="EndnoteText"/>
        <w:widowControl w:val="0"/>
        <w:tabs>
          <w:tab w:val="clear" w:pos="567"/>
          <w:tab w:val="left" w:pos="7655"/>
        </w:tabs>
        <w:rPr>
          <w:color w:val="000000"/>
          <w:szCs w:val="22"/>
          <w:lang w:val="sv-SE"/>
        </w:rPr>
      </w:pPr>
    </w:p>
    <w:p w14:paraId="6BA584DA" w14:textId="77777777" w:rsidR="00547CA2" w:rsidRPr="000E7AE9" w:rsidRDefault="00547CA2" w:rsidP="00463647">
      <w:pPr>
        <w:pStyle w:val="EndnoteText"/>
        <w:widowControl w:val="0"/>
        <w:tabs>
          <w:tab w:val="clear" w:pos="567"/>
          <w:tab w:val="left" w:pos="7655"/>
        </w:tabs>
        <w:rPr>
          <w:color w:val="000000"/>
          <w:szCs w:val="22"/>
          <w:lang w:val="sv-SE"/>
        </w:rPr>
      </w:pPr>
      <w:r w:rsidRPr="000E7AE9">
        <w:rPr>
          <w:color w:val="000000"/>
          <w:szCs w:val="22"/>
          <w:lang w:val="sv-SE"/>
        </w:rPr>
        <w:t xml:space="preserve">Samtidig användning av imatinib och läkemedel som inducerar CYP3A4 (t.ex. dexametason, fenytoin, karbamazepin, rifampicin, fenobarbital eller </w:t>
      </w:r>
      <w:r w:rsidRPr="000E7AE9">
        <w:rPr>
          <w:i/>
          <w:color w:val="000000"/>
          <w:szCs w:val="22"/>
          <w:lang w:val="sv-SE"/>
        </w:rPr>
        <w:t>Hypericum perforatum</w:t>
      </w:r>
      <w:r w:rsidRPr="000E7AE9">
        <w:rPr>
          <w:color w:val="000000"/>
          <w:szCs w:val="22"/>
          <w:lang w:val="sv-SE"/>
        </w:rPr>
        <w:t>, även känd som johannesört) kan signifikant minska exponeringen för Glivec och därigenom öka risken för terapisvikt. Därför skall samtidig användning av starka inducerare av CYP3A4 och imatinib undvikas (se avsnitt 4.5).</w:t>
      </w:r>
    </w:p>
    <w:p w14:paraId="47E691D6" w14:textId="77777777" w:rsidR="00547CA2" w:rsidRDefault="00547CA2" w:rsidP="00463647">
      <w:pPr>
        <w:pStyle w:val="EndnoteText"/>
        <w:widowControl w:val="0"/>
        <w:tabs>
          <w:tab w:val="clear" w:pos="567"/>
          <w:tab w:val="left" w:pos="7655"/>
        </w:tabs>
        <w:rPr>
          <w:color w:val="000000"/>
          <w:szCs w:val="22"/>
          <w:lang w:val="sv-SE"/>
        </w:rPr>
      </w:pPr>
    </w:p>
    <w:p w14:paraId="73759548" w14:textId="77777777" w:rsidR="00547CA2" w:rsidRPr="00FB6631" w:rsidRDefault="00547CA2" w:rsidP="00463647">
      <w:pPr>
        <w:pStyle w:val="EndnoteText"/>
        <w:keepNext/>
        <w:widowControl w:val="0"/>
        <w:tabs>
          <w:tab w:val="clear" w:pos="567"/>
          <w:tab w:val="left" w:pos="7655"/>
        </w:tabs>
        <w:rPr>
          <w:color w:val="000000"/>
          <w:szCs w:val="22"/>
          <w:u w:val="single"/>
          <w:lang w:val="sv-SE"/>
        </w:rPr>
      </w:pPr>
      <w:r w:rsidRPr="00FB6631">
        <w:rPr>
          <w:color w:val="000000"/>
          <w:szCs w:val="22"/>
          <w:u w:val="single"/>
          <w:lang w:val="sv-SE"/>
        </w:rPr>
        <w:t>Hypotyr</w:t>
      </w:r>
      <w:r>
        <w:rPr>
          <w:color w:val="000000"/>
          <w:szCs w:val="22"/>
          <w:u w:val="single"/>
          <w:lang w:val="sv-SE"/>
        </w:rPr>
        <w:t>eos</w:t>
      </w:r>
    </w:p>
    <w:p w14:paraId="00ECE37F" w14:textId="77777777" w:rsidR="00547CA2" w:rsidRPr="000E7AE9" w:rsidRDefault="00547CA2" w:rsidP="00463647">
      <w:pPr>
        <w:widowControl w:val="0"/>
        <w:autoSpaceDE w:val="0"/>
        <w:autoSpaceDN w:val="0"/>
        <w:adjustRightInd w:val="0"/>
        <w:spacing w:line="240" w:lineRule="auto"/>
        <w:rPr>
          <w:color w:val="000000"/>
          <w:szCs w:val="22"/>
          <w:lang w:val="sv-SE"/>
        </w:rPr>
      </w:pPr>
      <w:r w:rsidRPr="000E7AE9">
        <w:rPr>
          <w:color w:val="000000"/>
          <w:szCs w:val="22"/>
          <w:lang w:val="sv-SE"/>
        </w:rPr>
        <w:t xml:space="preserve">Kliniska fall av hypotyreos har rapporterats hos patienter som har genomgått tyreoidektomi och som får substitutionsterapi med levotyroxin under behandlingen med Glivec (se avsnitt 4.5). </w:t>
      </w:r>
      <w:r>
        <w:rPr>
          <w:color w:val="000000"/>
          <w:szCs w:val="22"/>
          <w:lang w:val="sv-SE"/>
        </w:rPr>
        <w:t>Thyroid-stimulerande hormon (</w:t>
      </w:r>
      <w:r w:rsidRPr="000E7AE9">
        <w:rPr>
          <w:color w:val="000000"/>
          <w:szCs w:val="22"/>
          <w:lang w:val="sv-SE"/>
        </w:rPr>
        <w:t>TSH</w:t>
      </w:r>
      <w:r>
        <w:rPr>
          <w:color w:val="000000"/>
          <w:szCs w:val="22"/>
          <w:lang w:val="sv-SE"/>
        </w:rPr>
        <w:t>)</w:t>
      </w:r>
      <w:r w:rsidRPr="000E7AE9">
        <w:rPr>
          <w:color w:val="000000"/>
          <w:szCs w:val="22"/>
          <w:lang w:val="sv-SE"/>
        </w:rPr>
        <w:t>-nivåerna skall följas upp noggrant hos dessa patienter.</w:t>
      </w:r>
    </w:p>
    <w:p w14:paraId="1AE027D3" w14:textId="77777777" w:rsidR="00547CA2" w:rsidRPr="000E7AE9" w:rsidRDefault="00547CA2" w:rsidP="00463647">
      <w:pPr>
        <w:widowControl w:val="0"/>
        <w:autoSpaceDE w:val="0"/>
        <w:autoSpaceDN w:val="0"/>
        <w:adjustRightInd w:val="0"/>
        <w:spacing w:line="240" w:lineRule="auto"/>
        <w:rPr>
          <w:color w:val="000000"/>
          <w:szCs w:val="22"/>
          <w:lang w:val="sv-SE"/>
        </w:rPr>
      </w:pPr>
    </w:p>
    <w:p w14:paraId="24649555" w14:textId="77777777" w:rsidR="00547CA2" w:rsidRDefault="00547CA2" w:rsidP="00463647">
      <w:pPr>
        <w:pStyle w:val="EndnoteText"/>
        <w:keepNext/>
        <w:widowControl w:val="0"/>
        <w:tabs>
          <w:tab w:val="clear" w:pos="567"/>
        </w:tabs>
        <w:rPr>
          <w:color w:val="000000"/>
          <w:szCs w:val="22"/>
          <w:u w:val="single"/>
          <w:lang w:val="sv-SE"/>
        </w:rPr>
      </w:pPr>
      <w:r>
        <w:rPr>
          <w:color w:val="000000"/>
          <w:szCs w:val="22"/>
          <w:u w:val="single"/>
          <w:lang w:val="sv-SE"/>
        </w:rPr>
        <w:t>Levertoxicitet</w:t>
      </w:r>
    </w:p>
    <w:p w14:paraId="41C1AE64"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Glivec metaboliseras huvudsakligen via levern och endast 13</w:t>
      </w:r>
      <w:r>
        <w:rPr>
          <w:color w:val="000000"/>
          <w:szCs w:val="22"/>
          <w:lang w:val="sv-SE"/>
        </w:rPr>
        <w:t> </w:t>
      </w:r>
      <w:r w:rsidRPr="000E7AE9">
        <w:rPr>
          <w:color w:val="000000"/>
          <w:szCs w:val="22"/>
          <w:lang w:val="sv-SE"/>
        </w:rPr>
        <w:t>% av utsöndringen sker genom njurarna. Hos patienter med leverfunktionsrubbning (mild, måttlig eller svår) skall perifer blodstatus och leverenzymer övervakas noggrant (se avsnitten 4.2, 4.8 och 5.2). Det skall noteras att GIST-patienter kan ha levermetastaser, som kan leda till nedsatt leverfunktion.</w:t>
      </w:r>
    </w:p>
    <w:p w14:paraId="3E4BFF9E" w14:textId="77777777" w:rsidR="00547CA2" w:rsidRPr="000E7AE9" w:rsidRDefault="00547CA2" w:rsidP="00463647">
      <w:pPr>
        <w:pStyle w:val="EndnoteText"/>
        <w:widowControl w:val="0"/>
        <w:tabs>
          <w:tab w:val="clear" w:pos="567"/>
        </w:tabs>
        <w:rPr>
          <w:color w:val="000000"/>
          <w:szCs w:val="22"/>
          <w:lang w:val="sv-SE"/>
        </w:rPr>
      </w:pPr>
    </w:p>
    <w:p w14:paraId="049A24EC"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Fall med leverskada, inklusive leversvikt och levernekros, har observerats vid behandling med imatinib. När imatinib kombineras med kemoterapibehandlingar i högdos har en ökning av allvarliga leverreaktioner upptäckts. Leverfunktion skall monitoreras noggrant i de fall då imatinib kombineras med kemoterapibehandlingar som enligt vad man känner till också har samband med leverdysfunktion (se avsnitt 4.5 och 4.8).</w:t>
      </w:r>
    </w:p>
    <w:p w14:paraId="28872104" w14:textId="77777777" w:rsidR="00547CA2" w:rsidRPr="000E7AE9" w:rsidRDefault="00547CA2" w:rsidP="00463647">
      <w:pPr>
        <w:pStyle w:val="EndnoteText"/>
        <w:widowControl w:val="0"/>
        <w:tabs>
          <w:tab w:val="clear" w:pos="567"/>
        </w:tabs>
        <w:rPr>
          <w:color w:val="000000"/>
          <w:szCs w:val="22"/>
          <w:lang w:val="sv-SE"/>
        </w:rPr>
      </w:pPr>
    </w:p>
    <w:p w14:paraId="630A6188" w14:textId="77777777" w:rsidR="00547CA2" w:rsidRPr="00FB6631" w:rsidRDefault="00547CA2" w:rsidP="00463647">
      <w:pPr>
        <w:pStyle w:val="EndnoteText"/>
        <w:keepNext/>
        <w:widowControl w:val="0"/>
        <w:tabs>
          <w:tab w:val="clear" w:pos="567"/>
        </w:tabs>
        <w:rPr>
          <w:color w:val="000000"/>
          <w:szCs w:val="22"/>
          <w:u w:val="single"/>
          <w:lang w:val="sv-SE"/>
        </w:rPr>
      </w:pPr>
      <w:r w:rsidRPr="00FB6631">
        <w:rPr>
          <w:color w:val="000000"/>
          <w:szCs w:val="22"/>
          <w:u w:val="single"/>
          <w:lang w:val="sv-SE"/>
        </w:rPr>
        <w:t>Vätskeretention</w:t>
      </w:r>
    </w:p>
    <w:p w14:paraId="204C7866" w14:textId="77777777" w:rsidR="00547CA2" w:rsidRPr="000E7AE9" w:rsidRDefault="00547CA2" w:rsidP="00463647">
      <w:pPr>
        <w:pStyle w:val="EndnoteText"/>
        <w:widowControl w:val="0"/>
        <w:tabs>
          <w:tab w:val="clear" w:pos="567"/>
        </w:tabs>
        <w:rPr>
          <w:color w:val="000000"/>
          <w:szCs w:val="22"/>
          <w:lang w:val="sv-SE"/>
        </w:rPr>
      </w:pPr>
      <w:r w:rsidRPr="00100FA1">
        <w:rPr>
          <w:color w:val="000000"/>
          <w:szCs w:val="22"/>
          <w:lang w:val="sv-SE"/>
        </w:rPr>
        <w:t>Svår</w:t>
      </w:r>
      <w:r w:rsidRPr="000E7AE9">
        <w:rPr>
          <w:color w:val="000000"/>
          <w:szCs w:val="22"/>
          <w:lang w:val="sv-SE"/>
        </w:rPr>
        <w:t xml:space="preserve"> vätskeretention (pleurautgjutning, ödem, lungödem, ascites, ytliga ödem) har rapporterats hos ungefär 2,5</w:t>
      </w:r>
      <w:r>
        <w:rPr>
          <w:color w:val="000000"/>
          <w:szCs w:val="22"/>
          <w:lang w:val="sv-SE"/>
        </w:rPr>
        <w:t> </w:t>
      </w:r>
      <w:r w:rsidRPr="000E7AE9">
        <w:rPr>
          <w:color w:val="000000"/>
          <w:szCs w:val="22"/>
          <w:lang w:val="sv-SE"/>
        </w:rPr>
        <w:t>% av nydiagnostiserade KML-patienter som får behandling med Glivec. Patienterna skall därför vägas regelbundet. Oväntat snabb viktuppgång skall utredas noggrant och adekvat understödjande vård och terapeutiska åtgärder vidtas vid behov. Det var en ökad incidens av dessa händelser i kliniska studier på äldre</w:t>
      </w:r>
      <w:r>
        <w:rPr>
          <w:color w:val="000000"/>
          <w:szCs w:val="22"/>
          <w:lang w:val="sv-SE"/>
        </w:rPr>
        <w:t xml:space="preserve"> personer</w:t>
      </w:r>
      <w:r w:rsidRPr="000E7AE9">
        <w:rPr>
          <w:color w:val="000000"/>
          <w:szCs w:val="22"/>
          <w:lang w:val="sv-SE"/>
        </w:rPr>
        <w:t xml:space="preserve"> och hos de som tidigare haft hjärtsjukdom. Därför skall man iaktta försiktighet hos patienter med nedsatt hjärtfunktion.</w:t>
      </w:r>
    </w:p>
    <w:p w14:paraId="30B39A4D" w14:textId="77777777" w:rsidR="00547CA2" w:rsidRPr="000E7AE9" w:rsidRDefault="00547CA2" w:rsidP="00463647">
      <w:pPr>
        <w:pStyle w:val="EndnoteText"/>
        <w:widowControl w:val="0"/>
        <w:tabs>
          <w:tab w:val="clear" w:pos="567"/>
        </w:tabs>
        <w:rPr>
          <w:color w:val="000000"/>
          <w:szCs w:val="22"/>
          <w:lang w:val="sv-SE"/>
        </w:rPr>
      </w:pPr>
    </w:p>
    <w:p w14:paraId="75334D1E" w14:textId="77777777" w:rsidR="00547CA2" w:rsidRDefault="00547CA2" w:rsidP="00463647">
      <w:pPr>
        <w:pStyle w:val="EndnoteText"/>
        <w:keepNext/>
        <w:widowControl w:val="0"/>
        <w:tabs>
          <w:tab w:val="clear" w:pos="567"/>
        </w:tabs>
        <w:rPr>
          <w:color w:val="000000"/>
          <w:szCs w:val="22"/>
          <w:lang w:val="sv-SE"/>
        </w:rPr>
      </w:pPr>
      <w:r>
        <w:rPr>
          <w:color w:val="000000"/>
          <w:szCs w:val="22"/>
          <w:u w:val="single"/>
          <w:lang w:val="sv-SE"/>
        </w:rPr>
        <w:t xml:space="preserve">Patienter med </w:t>
      </w:r>
      <w:r w:rsidRPr="00282B51">
        <w:rPr>
          <w:color w:val="000000"/>
          <w:szCs w:val="22"/>
          <w:u w:val="single"/>
          <w:lang w:val="sv-SE"/>
        </w:rPr>
        <w:t>hjärtsjukdomar</w:t>
      </w:r>
    </w:p>
    <w:p w14:paraId="4C226D3C" w14:textId="77777777" w:rsidR="00547CA2" w:rsidRPr="000E7AE9" w:rsidRDefault="00547CA2" w:rsidP="00463647">
      <w:pPr>
        <w:pStyle w:val="EndnoteText"/>
        <w:widowControl w:val="0"/>
        <w:tabs>
          <w:tab w:val="clear" w:pos="567"/>
        </w:tabs>
        <w:rPr>
          <w:color w:val="000000"/>
          <w:szCs w:val="22"/>
          <w:lang w:val="sv-SE"/>
        </w:rPr>
      </w:pPr>
      <w:r w:rsidRPr="00100FA1">
        <w:rPr>
          <w:color w:val="000000"/>
          <w:szCs w:val="22"/>
          <w:lang w:val="sv-SE"/>
        </w:rPr>
        <w:t>Patienter</w:t>
      </w:r>
      <w:r w:rsidRPr="000E7AE9">
        <w:rPr>
          <w:color w:val="000000"/>
          <w:szCs w:val="22"/>
          <w:lang w:val="sv-SE"/>
        </w:rPr>
        <w:t xml:space="preserve"> med hjärtsjukdomar</w:t>
      </w:r>
      <w:r>
        <w:rPr>
          <w:color w:val="000000"/>
          <w:szCs w:val="22"/>
          <w:lang w:val="sv-SE"/>
        </w:rPr>
        <w:t>,</w:t>
      </w:r>
      <w:r w:rsidRPr="000E7AE9">
        <w:rPr>
          <w:color w:val="000000"/>
          <w:szCs w:val="22"/>
          <w:lang w:val="sv-SE"/>
        </w:rPr>
        <w:t xml:space="preserve"> riskfaktorer för hjärtsvikt </w:t>
      </w:r>
      <w:r>
        <w:rPr>
          <w:color w:val="000000"/>
          <w:szCs w:val="22"/>
          <w:lang w:val="sv-SE"/>
        </w:rPr>
        <w:t xml:space="preserve">eller njursvikt i anamnesen </w:t>
      </w:r>
      <w:r w:rsidRPr="000E7AE9">
        <w:rPr>
          <w:color w:val="000000"/>
          <w:szCs w:val="22"/>
          <w:lang w:val="sv-SE"/>
        </w:rPr>
        <w:t xml:space="preserve">skall monitoreras noggrant och alla patienter med tecken eller symtom, som överensstämmer med hjärtsvikt </w:t>
      </w:r>
      <w:r>
        <w:rPr>
          <w:color w:val="000000"/>
          <w:szCs w:val="22"/>
          <w:lang w:val="sv-SE"/>
        </w:rPr>
        <w:t xml:space="preserve">eller njursvikt </w:t>
      </w:r>
      <w:r w:rsidRPr="000E7AE9">
        <w:rPr>
          <w:color w:val="000000"/>
          <w:szCs w:val="22"/>
          <w:lang w:val="sv-SE"/>
        </w:rPr>
        <w:t>skall utvärderas och behandlas.</w:t>
      </w:r>
    </w:p>
    <w:p w14:paraId="5FC58205" w14:textId="77777777" w:rsidR="00547CA2" w:rsidRPr="000E7AE9" w:rsidRDefault="00547CA2" w:rsidP="00463647">
      <w:pPr>
        <w:pStyle w:val="EndnoteText"/>
        <w:widowControl w:val="0"/>
        <w:tabs>
          <w:tab w:val="clear" w:pos="567"/>
        </w:tabs>
        <w:rPr>
          <w:color w:val="000000"/>
          <w:szCs w:val="22"/>
          <w:lang w:val="sv-SE"/>
        </w:rPr>
      </w:pPr>
    </w:p>
    <w:p w14:paraId="3719D0E2" w14:textId="77777777" w:rsidR="00547CA2" w:rsidRDefault="00547CA2" w:rsidP="00463647">
      <w:pPr>
        <w:pStyle w:val="EndnoteText"/>
        <w:widowControl w:val="0"/>
        <w:tabs>
          <w:tab w:val="clear" w:pos="567"/>
        </w:tabs>
        <w:rPr>
          <w:color w:val="000000"/>
          <w:szCs w:val="22"/>
          <w:lang w:val="sv-SE"/>
        </w:rPr>
      </w:pPr>
      <w:r w:rsidRPr="000E7AE9">
        <w:rPr>
          <w:color w:val="000000"/>
          <w:szCs w:val="22"/>
          <w:lang w:val="sv-SE"/>
        </w:rPr>
        <w:t xml:space="preserve">Hos patienter med hypereosinofilt syndrom (HES) </w:t>
      </w:r>
      <w:r>
        <w:rPr>
          <w:color w:val="000000"/>
          <w:szCs w:val="22"/>
          <w:lang w:val="sv-SE"/>
        </w:rPr>
        <w:t>med ockult infiltration av HES-celler i hjärtmuskeln</w:t>
      </w:r>
      <w:r w:rsidRPr="000E7AE9">
        <w:rPr>
          <w:color w:val="000000"/>
          <w:szCs w:val="22"/>
          <w:lang w:val="sv-SE"/>
        </w:rPr>
        <w:t xml:space="preserve">, har enstaka fall av kardiogen chock/vänster kammardysfunktion förknippats med </w:t>
      </w:r>
      <w:r>
        <w:rPr>
          <w:color w:val="000000"/>
          <w:szCs w:val="22"/>
          <w:lang w:val="sv-SE"/>
        </w:rPr>
        <w:t xml:space="preserve">degranulering av HES-celler i samband med </w:t>
      </w:r>
      <w:r w:rsidRPr="000E7AE9">
        <w:rPr>
          <w:color w:val="000000"/>
          <w:szCs w:val="22"/>
          <w:lang w:val="sv-SE"/>
        </w:rPr>
        <w:t>inledande av imatinibbehandling. Tillståndet rapporterades vara reversibelt vid administration av systemiska steroider, åtgärder för cirkulatorisk support och temporärt uppehåll med imatinib. Eftersom hjärtbiverkningar rapporterats som ovanliga med imatinib, skall en noggrann bedömning av nytta/riskförhållandet för imatinibbehandling övervägas hos HES/CEL-populationen före behandlingens början.</w:t>
      </w:r>
    </w:p>
    <w:p w14:paraId="746F4A7C" w14:textId="77777777" w:rsidR="00547CA2" w:rsidRDefault="00547CA2" w:rsidP="00463647">
      <w:pPr>
        <w:pStyle w:val="EndnoteText"/>
        <w:widowControl w:val="0"/>
        <w:tabs>
          <w:tab w:val="clear" w:pos="567"/>
        </w:tabs>
        <w:rPr>
          <w:color w:val="000000"/>
          <w:szCs w:val="22"/>
          <w:lang w:val="sv-SE"/>
        </w:rPr>
      </w:pPr>
    </w:p>
    <w:p w14:paraId="6C8975D3"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Myelodysplastisk/myeloproliferativa sjukdomar förenat med rearrangemang av PDGFR-genen skulle kunna förknippas med höga eosinofil-nivåer. Utvärdering av en kardiologspecialist, utförande av ekokardiogram och bestämmande av troponin i serum skall därför övervägas hos patienter med HES/CEL och hos patienter med MDS/MPD i samband med höga eosinofil-nivåer innan imatinib ges. Om någotdera är onormalt, skall uppföljning av en kardiologspecialist och profylaktisk användning av systemiska steroider (1</w:t>
      </w:r>
      <w:r w:rsidRPr="000E7AE9">
        <w:rPr>
          <w:color w:val="000000"/>
          <w:szCs w:val="22"/>
          <w:lang w:val="sv-SE"/>
        </w:rPr>
        <w:noBreakHyphen/>
        <w:t>2 mg/kg) i en eller två veckor tillsammans med imatinib övervägas vid behandlingens början.</w:t>
      </w:r>
    </w:p>
    <w:p w14:paraId="707A0660" w14:textId="77777777" w:rsidR="00547CA2" w:rsidRPr="000E7AE9" w:rsidRDefault="00547CA2" w:rsidP="00463647">
      <w:pPr>
        <w:pStyle w:val="EndnoteText"/>
        <w:widowControl w:val="0"/>
        <w:tabs>
          <w:tab w:val="clear" w:pos="567"/>
        </w:tabs>
        <w:rPr>
          <w:color w:val="000000"/>
          <w:szCs w:val="22"/>
          <w:lang w:val="sv-SE"/>
        </w:rPr>
      </w:pPr>
    </w:p>
    <w:p w14:paraId="14539247" w14:textId="77777777" w:rsidR="00547CA2" w:rsidRDefault="00547CA2" w:rsidP="00463647">
      <w:pPr>
        <w:pStyle w:val="EndnoteText"/>
        <w:keepNext/>
        <w:widowControl w:val="0"/>
        <w:tabs>
          <w:tab w:val="clear" w:pos="567"/>
        </w:tabs>
        <w:rPr>
          <w:color w:val="000000"/>
          <w:szCs w:val="22"/>
          <w:lang w:val="sv-SE"/>
        </w:rPr>
      </w:pPr>
      <w:r>
        <w:rPr>
          <w:color w:val="000000"/>
          <w:szCs w:val="22"/>
          <w:u w:val="single"/>
          <w:lang w:val="sv-SE"/>
        </w:rPr>
        <w:t>Gastrointestinala</w:t>
      </w:r>
      <w:r w:rsidRPr="00FB6631">
        <w:rPr>
          <w:color w:val="000000"/>
          <w:szCs w:val="22"/>
          <w:u w:val="single"/>
          <w:lang w:val="sv-SE"/>
        </w:rPr>
        <w:t xml:space="preserve"> blödningar</w:t>
      </w:r>
    </w:p>
    <w:p w14:paraId="651F7BF1" w14:textId="77777777" w:rsidR="00547CA2" w:rsidRDefault="00547CA2" w:rsidP="00463647">
      <w:pPr>
        <w:pStyle w:val="EndnoteText"/>
        <w:widowControl w:val="0"/>
        <w:tabs>
          <w:tab w:val="clear" w:pos="567"/>
        </w:tabs>
        <w:rPr>
          <w:color w:val="000000"/>
          <w:szCs w:val="22"/>
          <w:lang w:val="sv-SE"/>
        </w:rPr>
      </w:pPr>
      <w:r w:rsidRPr="00100FA1">
        <w:rPr>
          <w:color w:val="000000"/>
          <w:szCs w:val="22"/>
          <w:lang w:val="sv-SE"/>
        </w:rPr>
        <w:t>I</w:t>
      </w:r>
      <w:r w:rsidRPr="000E7AE9">
        <w:rPr>
          <w:color w:val="000000"/>
          <w:szCs w:val="22"/>
          <w:lang w:val="sv-SE"/>
        </w:rPr>
        <w:t xml:space="preserve"> </w:t>
      </w:r>
      <w:r>
        <w:rPr>
          <w:color w:val="000000"/>
          <w:szCs w:val="22"/>
          <w:lang w:val="sv-SE"/>
        </w:rPr>
        <w:t>studien på patienter med icke-resercerbar och/eller metastaserande</w:t>
      </w:r>
      <w:r w:rsidRPr="000E7AE9">
        <w:rPr>
          <w:color w:val="000000"/>
          <w:szCs w:val="22"/>
          <w:lang w:val="sv-SE"/>
        </w:rPr>
        <w:t xml:space="preserve"> GIST rapporterades både gastrointestinala och intratumorala blödningar (se avsnitt 4.8). Baserat på tillgängliga data har inga faktorer (t.ex. tumörstorlek, tumörplacering, koagulationsrubbningar) identifierats, som identifierar patienter för en högre risk för någondera typen av blödningar. Eftersom ökad kärlteckning och risk för blödning är en del av naturalförloppet vid GIST, skall standardmetoder och procedurer tillämpas för monitorering och handhavande av blödningar hos alla patienter.</w:t>
      </w:r>
    </w:p>
    <w:p w14:paraId="03E2B7B4" w14:textId="77777777" w:rsidR="00413182" w:rsidRDefault="00413182" w:rsidP="00463647">
      <w:pPr>
        <w:pStyle w:val="EndnoteText"/>
        <w:widowControl w:val="0"/>
        <w:tabs>
          <w:tab w:val="clear" w:pos="567"/>
        </w:tabs>
        <w:rPr>
          <w:color w:val="000000"/>
          <w:szCs w:val="22"/>
          <w:lang w:val="sv-SE"/>
        </w:rPr>
      </w:pPr>
    </w:p>
    <w:p w14:paraId="2BAE1E21" w14:textId="77777777" w:rsidR="00413182" w:rsidRDefault="00413182" w:rsidP="00463647">
      <w:pPr>
        <w:pStyle w:val="EndnoteText"/>
        <w:widowControl w:val="0"/>
        <w:tabs>
          <w:tab w:val="clear" w:pos="567"/>
        </w:tabs>
        <w:rPr>
          <w:color w:val="000000"/>
          <w:szCs w:val="22"/>
          <w:lang w:val="sv-SE"/>
        </w:rPr>
      </w:pPr>
      <w:r>
        <w:rPr>
          <w:color w:val="000000"/>
          <w:szCs w:val="22"/>
          <w:lang w:val="sv-SE"/>
        </w:rPr>
        <w:t>Dessutom har antrala kärlektasier (GAVE)</w:t>
      </w:r>
      <w:r w:rsidR="00CA3C8F">
        <w:rPr>
          <w:color w:val="000000"/>
          <w:szCs w:val="22"/>
          <w:lang w:val="sv-SE"/>
        </w:rPr>
        <w:t>,</w:t>
      </w:r>
      <w:r>
        <w:rPr>
          <w:color w:val="000000"/>
          <w:szCs w:val="22"/>
          <w:lang w:val="sv-SE"/>
        </w:rPr>
        <w:t xml:space="preserve"> en ovanlig orsak till gastrointestinal blödning, rapporterats efter marknadsintroduktion hos patienter med KML, ALL och andra sjukdomar (se avsnitt</w:t>
      </w:r>
      <w:r w:rsidR="00CA3C8F">
        <w:rPr>
          <w:color w:val="000000"/>
          <w:szCs w:val="22"/>
          <w:lang w:val="sv-SE"/>
        </w:rPr>
        <w:t> </w:t>
      </w:r>
      <w:r>
        <w:rPr>
          <w:color w:val="000000"/>
          <w:szCs w:val="22"/>
          <w:lang w:val="sv-SE"/>
        </w:rPr>
        <w:t>4.8). Vid behov kan övervägas att avbryta behandlingen med Glivec.</w:t>
      </w:r>
    </w:p>
    <w:p w14:paraId="51C69222" w14:textId="77777777" w:rsidR="00547CA2" w:rsidRDefault="00547CA2" w:rsidP="00463647">
      <w:pPr>
        <w:pStyle w:val="EndnoteText"/>
        <w:widowControl w:val="0"/>
        <w:tabs>
          <w:tab w:val="clear" w:pos="567"/>
        </w:tabs>
        <w:rPr>
          <w:color w:val="000000"/>
          <w:szCs w:val="22"/>
          <w:lang w:val="sv-SE"/>
        </w:rPr>
      </w:pPr>
    </w:p>
    <w:p w14:paraId="49E0FA64" w14:textId="77777777" w:rsidR="00547CA2" w:rsidRPr="00FB6631" w:rsidRDefault="00547CA2" w:rsidP="00463647">
      <w:pPr>
        <w:pStyle w:val="EndnoteText"/>
        <w:keepNext/>
        <w:widowControl w:val="0"/>
        <w:tabs>
          <w:tab w:val="clear" w:pos="567"/>
        </w:tabs>
        <w:rPr>
          <w:color w:val="000000"/>
          <w:szCs w:val="22"/>
          <w:u w:val="single"/>
          <w:lang w:val="sv-SE"/>
        </w:rPr>
      </w:pPr>
      <w:r w:rsidRPr="00FB6631">
        <w:rPr>
          <w:color w:val="000000"/>
          <w:szCs w:val="22"/>
          <w:u w:val="single"/>
          <w:lang w:val="sv-SE"/>
        </w:rPr>
        <w:t>Tumörlyssyndrom</w:t>
      </w:r>
    </w:p>
    <w:p w14:paraId="56F2B893" w14:textId="77777777" w:rsidR="00547CA2" w:rsidRDefault="00547CA2" w:rsidP="00463647">
      <w:pPr>
        <w:pStyle w:val="EndnoteText"/>
        <w:widowControl w:val="0"/>
        <w:tabs>
          <w:tab w:val="clear" w:pos="567"/>
        </w:tabs>
        <w:rPr>
          <w:color w:val="000000"/>
          <w:szCs w:val="22"/>
          <w:lang w:val="sv-SE"/>
        </w:rPr>
      </w:pPr>
      <w:r w:rsidRPr="009B5411">
        <w:rPr>
          <w:color w:val="000000"/>
          <w:szCs w:val="22"/>
          <w:lang w:val="sv-SE"/>
        </w:rPr>
        <w:t>På</w:t>
      </w:r>
      <w:r>
        <w:rPr>
          <w:color w:val="000000"/>
          <w:szCs w:val="22"/>
          <w:lang w:val="sv-SE"/>
        </w:rPr>
        <w:t xml:space="preserve"> grund av en eventuell förekomst av tumörlyssyndrom (TLS) rekommenderas korrigering av dehydrering, om klinisk signifikant, samt behandling av höga urinsyranivåer före insättning av Glivec (se avsnitt 4.8).</w:t>
      </w:r>
    </w:p>
    <w:p w14:paraId="389FCEF9" w14:textId="77777777" w:rsidR="00BA52AB" w:rsidRDefault="00BA52AB" w:rsidP="00463647">
      <w:pPr>
        <w:pStyle w:val="EndnoteText"/>
        <w:widowControl w:val="0"/>
        <w:tabs>
          <w:tab w:val="clear" w:pos="567"/>
        </w:tabs>
        <w:rPr>
          <w:color w:val="000000"/>
          <w:szCs w:val="22"/>
          <w:lang w:val="sv-SE"/>
        </w:rPr>
      </w:pPr>
    </w:p>
    <w:p w14:paraId="65D3EBB0" w14:textId="77777777" w:rsidR="00BA52AB" w:rsidRPr="002E3DA1" w:rsidRDefault="00BA52AB" w:rsidP="00463647">
      <w:pPr>
        <w:pStyle w:val="EndnoteText"/>
        <w:keepNext/>
        <w:widowControl w:val="0"/>
        <w:rPr>
          <w:color w:val="000000"/>
          <w:szCs w:val="22"/>
          <w:lang w:val="sv-SE"/>
        </w:rPr>
      </w:pPr>
      <w:r w:rsidRPr="002E3DA1">
        <w:rPr>
          <w:color w:val="000000"/>
          <w:szCs w:val="22"/>
          <w:u w:val="single"/>
          <w:lang w:val="sv-SE"/>
        </w:rPr>
        <w:t>Hepatit B-reaktivering</w:t>
      </w:r>
    </w:p>
    <w:p w14:paraId="0E05B8D9" w14:textId="77777777" w:rsidR="00BA52AB" w:rsidRDefault="00BA52AB" w:rsidP="00463647">
      <w:pPr>
        <w:pStyle w:val="EndnoteText"/>
        <w:widowControl w:val="0"/>
        <w:rPr>
          <w:color w:val="000000"/>
          <w:szCs w:val="22"/>
          <w:lang w:val="sv-SE"/>
        </w:rPr>
      </w:pPr>
      <w:r w:rsidRPr="002E3DA1">
        <w:rPr>
          <w:color w:val="000000"/>
          <w:szCs w:val="22"/>
          <w:lang w:val="sv-SE"/>
        </w:rPr>
        <w:t>Hos kroniska bärare av hepatit B virus har reaktivering av hepatit B förekommit efter att dessa patienter fått BCR-ABL tyrosinkinashämmare. Vissa fall ledde till akut leversvikt eller fulminant hepatit med levertransplantation eller dödlig utgång som följd.</w:t>
      </w:r>
    </w:p>
    <w:p w14:paraId="0C91249E" w14:textId="77777777" w:rsidR="00BA52AB" w:rsidRPr="002E3DA1" w:rsidRDefault="00BA52AB" w:rsidP="00463647">
      <w:pPr>
        <w:pStyle w:val="EndnoteText"/>
        <w:widowControl w:val="0"/>
        <w:rPr>
          <w:color w:val="000000"/>
          <w:szCs w:val="22"/>
          <w:lang w:val="sv-SE"/>
        </w:rPr>
      </w:pPr>
    </w:p>
    <w:p w14:paraId="37367553" w14:textId="77777777" w:rsidR="00BA52AB" w:rsidRPr="000E7AE9" w:rsidRDefault="00BA52AB" w:rsidP="00463647">
      <w:pPr>
        <w:pStyle w:val="EndnoteText"/>
        <w:widowControl w:val="0"/>
        <w:tabs>
          <w:tab w:val="clear" w:pos="567"/>
        </w:tabs>
        <w:rPr>
          <w:color w:val="000000"/>
          <w:szCs w:val="22"/>
          <w:lang w:val="sv-SE"/>
        </w:rPr>
      </w:pPr>
      <w:r w:rsidRPr="002E3DA1">
        <w:rPr>
          <w:color w:val="000000"/>
          <w:szCs w:val="22"/>
          <w:lang w:val="sv-SE"/>
        </w:rPr>
        <w:t xml:space="preserve">Patienter ska testas för HBV-infektion innan behandling med </w:t>
      </w:r>
      <w:r>
        <w:rPr>
          <w:color w:val="000000"/>
          <w:szCs w:val="22"/>
          <w:lang w:val="sv-SE"/>
        </w:rPr>
        <w:t>Glivec</w:t>
      </w:r>
      <w:r w:rsidRPr="002E3DA1">
        <w:rPr>
          <w:color w:val="000000"/>
          <w:szCs w:val="22"/>
          <w:lang w:val="sv-SE"/>
        </w:rPr>
        <w:t xml:space="preserve"> påbörjas. Specialister på leversjukdomar och på behandling av hepatit B bör konsulteras innan behandling påbörjas hos patienter som testats positivt för hepatit B-serologi (inräknat dem med aktiv sjukdom) och vid patienter som testas positivt för HBV-infektion under behandlingen. Bärare av HBV som behöver behandling med </w:t>
      </w:r>
      <w:r>
        <w:rPr>
          <w:color w:val="000000"/>
          <w:szCs w:val="22"/>
          <w:lang w:val="sv-SE"/>
        </w:rPr>
        <w:t>Glivec</w:t>
      </w:r>
      <w:r w:rsidRPr="002E3DA1">
        <w:rPr>
          <w:color w:val="000000"/>
          <w:szCs w:val="22"/>
          <w:lang w:val="sv-SE"/>
        </w:rPr>
        <w:t xml:space="preserve"> ska följas noga avseende tecken och symtom på aktiv HBV-infektion under </w:t>
      </w:r>
      <w:r w:rsidRPr="002E3DA1">
        <w:rPr>
          <w:color w:val="000000"/>
          <w:szCs w:val="22"/>
          <w:lang w:val="sv-SE"/>
        </w:rPr>
        <w:lastRenderedPageBreak/>
        <w:t>hela behandlingen och i flera månader efter avslutad behandling (se avsnitt 4.8).</w:t>
      </w:r>
    </w:p>
    <w:p w14:paraId="3F3FC645" w14:textId="77777777" w:rsidR="00547CA2" w:rsidRDefault="00547CA2" w:rsidP="00463647">
      <w:pPr>
        <w:pStyle w:val="EndnoteText"/>
        <w:widowControl w:val="0"/>
        <w:tabs>
          <w:tab w:val="clear" w:pos="567"/>
        </w:tabs>
        <w:rPr>
          <w:color w:val="000000"/>
          <w:szCs w:val="22"/>
          <w:lang w:val="sv-SE"/>
        </w:rPr>
      </w:pPr>
    </w:p>
    <w:p w14:paraId="0CA62C19" w14:textId="77777777" w:rsidR="005B7932" w:rsidRDefault="00965E7B" w:rsidP="00463647">
      <w:pPr>
        <w:pStyle w:val="EndnoteText"/>
        <w:keepNext/>
        <w:widowControl w:val="0"/>
        <w:tabs>
          <w:tab w:val="clear" w:pos="567"/>
        </w:tabs>
        <w:rPr>
          <w:color w:val="000000"/>
          <w:szCs w:val="22"/>
          <w:lang w:val="sv-SE"/>
        </w:rPr>
      </w:pPr>
      <w:r w:rsidRPr="004B0546">
        <w:rPr>
          <w:color w:val="000000"/>
          <w:szCs w:val="22"/>
          <w:u w:val="single"/>
          <w:lang w:val="sv-SE"/>
        </w:rPr>
        <w:t>Fototoxicitet</w:t>
      </w:r>
    </w:p>
    <w:p w14:paraId="5DF66531" w14:textId="77777777" w:rsidR="00965E7B" w:rsidRDefault="00965E7B" w:rsidP="00463647">
      <w:pPr>
        <w:pStyle w:val="EndnoteText"/>
        <w:widowControl w:val="0"/>
        <w:tabs>
          <w:tab w:val="clear" w:pos="567"/>
        </w:tabs>
        <w:rPr>
          <w:color w:val="000000"/>
          <w:szCs w:val="22"/>
          <w:lang w:val="sv-SE"/>
        </w:rPr>
      </w:pPr>
      <w:r w:rsidRPr="00374A8E">
        <w:rPr>
          <w:color w:val="000000"/>
          <w:szCs w:val="22"/>
          <w:lang w:val="sv-SE"/>
        </w:rPr>
        <w:t xml:space="preserve">Exponering för direkt solljus </w:t>
      </w:r>
      <w:r>
        <w:rPr>
          <w:color w:val="000000"/>
          <w:szCs w:val="22"/>
          <w:lang w:val="sv-SE"/>
        </w:rPr>
        <w:t>ska</w:t>
      </w:r>
      <w:r w:rsidRPr="00374A8E">
        <w:rPr>
          <w:color w:val="000000"/>
          <w:szCs w:val="22"/>
          <w:lang w:val="sv-SE"/>
        </w:rPr>
        <w:t xml:space="preserve"> undvikas eller minimeras på grund av risken för fototoxicitet i samband med imatinibbehandling. Patienterna </w:t>
      </w:r>
      <w:r>
        <w:rPr>
          <w:color w:val="000000"/>
          <w:szCs w:val="22"/>
          <w:lang w:val="sv-SE"/>
        </w:rPr>
        <w:t xml:space="preserve">ska </w:t>
      </w:r>
      <w:r w:rsidRPr="00374A8E">
        <w:rPr>
          <w:color w:val="000000"/>
          <w:szCs w:val="22"/>
          <w:lang w:val="sv-SE"/>
        </w:rPr>
        <w:t>instrueras att använda skydd</w:t>
      </w:r>
      <w:r>
        <w:rPr>
          <w:color w:val="000000"/>
          <w:szCs w:val="22"/>
          <w:lang w:val="sv-SE"/>
        </w:rPr>
        <w:t xml:space="preserve">ande </w:t>
      </w:r>
      <w:r w:rsidRPr="00374A8E">
        <w:rPr>
          <w:color w:val="000000"/>
          <w:szCs w:val="22"/>
          <w:lang w:val="sv-SE"/>
        </w:rPr>
        <w:t>kläder och solskyddsmedel med hög solskyddsfaktor (SPF).</w:t>
      </w:r>
    </w:p>
    <w:p w14:paraId="5094E5C9" w14:textId="77777777" w:rsidR="00965E7B" w:rsidRPr="000E7AE9" w:rsidRDefault="00965E7B" w:rsidP="00463647">
      <w:pPr>
        <w:pStyle w:val="EndnoteText"/>
        <w:widowControl w:val="0"/>
        <w:tabs>
          <w:tab w:val="clear" w:pos="567"/>
        </w:tabs>
        <w:rPr>
          <w:color w:val="000000"/>
          <w:szCs w:val="22"/>
          <w:lang w:val="sv-SE"/>
        </w:rPr>
      </w:pPr>
    </w:p>
    <w:p w14:paraId="7B4039D1" w14:textId="77777777" w:rsidR="001005E7" w:rsidRPr="00BE2ED6" w:rsidRDefault="001005E7" w:rsidP="00463647">
      <w:pPr>
        <w:pStyle w:val="EndnoteText"/>
        <w:keepNext/>
        <w:widowControl w:val="0"/>
        <w:tabs>
          <w:tab w:val="clear" w:pos="567"/>
        </w:tabs>
        <w:rPr>
          <w:snapToGrid w:val="0"/>
          <w:color w:val="000000"/>
          <w:szCs w:val="22"/>
          <w:u w:val="single"/>
          <w:lang w:val="sv-SE"/>
        </w:rPr>
      </w:pPr>
      <w:r w:rsidRPr="000622FA">
        <w:rPr>
          <w:snapToGrid w:val="0"/>
          <w:color w:val="000000"/>
          <w:szCs w:val="22"/>
          <w:u w:val="single"/>
          <w:lang w:val="sv-SE"/>
        </w:rPr>
        <w:t>T</w:t>
      </w:r>
      <w:r>
        <w:rPr>
          <w:snapToGrid w:val="0"/>
          <w:color w:val="000000"/>
          <w:szCs w:val="22"/>
          <w:u w:val="single"/>
          <w:lang w:val="sv-SE"/>
        </w:rPr>
        <w:t>rombotisk</w:t>
      </w:r>
      <w:r w:rsidRPr="00BE2ED6">
        <w:rPr>
          <w:snapToGrid w:val="0"/>
          <w:color w:val="000000"/>
          <w:szCs w:val="22"/>
          <w:u w:val="single"/>
          <w:lang w:val="sv-SE"/>
        </w:rPr>
        <w:t xml:space="preserve"> mi</w:t>
      </w:r>
      <w:r>
        <w:rPr>
          <w:snapToGrid w:val="0"/>
          <w:color w:val="000000"/>
          <w:szCs w:val="22"/>
          <w:u w:val="single"/>
          <w:lang w:val="sv-SE"/>
        </w:rPr>
        <w:t>k</w:t>
      </w:r>
      <w:r w:rsidRPr="00BE2ED6">
        <w:rPr>
          <w:snapToGrid w:val="0"/>
          <w:color w:val="000000"/>
          <w:szCs w:val="22"/>
          <w:u w:val="single"/>
          <w:lang w:val="sv-SE"/>
        </w:rPr>
        <w:t>roangiopat</w:t>
      </w:r>
      <w:r>
        <w:rPr>
          <w:snapToGrid w:val="0"/>
          <w:color w:val="000000"/>
          <w:szCs w:val="22"/>
          <w:u w:val="single"/>
          <w:lang w:val="sv-SE"/>
        </w:rPr>
        <w:t>i</w:t>
      </w:r>
    </w:p>
    <w:p w14:paraId="69F6F30C" w14:textId="77777777" w:rsidR="006B6245" w:rsidRPr="008512B5" w:rsidRDefault="001005E7" w:rsidP="00463647">
      <w:pPr>
        <w:pStyle w:val="EndnoteText"/>
        <w:widowControl w:val="0"/>
        <w:tabs>
          <w:tab w:val="clear" w:pos="567"/>
        </w:tabs>
        <w:rPr>
          <w:color w:val="000000"/>
          <w:szCs w:val="22"/>
          <w:lang w:val="sv-SE"/>
        </w:rPr>
      </w:pPr>
      <w:r w:rsidRPr="00274174">
        <w:rPr>
          <w:color w:val="000000"/>
          <w:szCs w:val="22"/>
          <w:lang w:val="sv-SE"/>
        </w:rPr>
        <w:t xml:space="preserve">BCR-ABL </w:t>
      </w:r>
      <w:r w:rsidRPr="00035EFE">
        <w:rPr>
          <w:color w:val="000000"/>
          <w:szCs w:val="22"/>
          <w:lang w:val="sv-SE"/>
        </w:rPr>
        <w:t xml:space="preserve">tyrosinkinashämmare </w:t>
      </w:r>
      <w:r w:rsidR="00F91944" w:rsidRPr="00035EFE">
        <w:rPr>
          <w:color w:val="000000"/>
          <w:szCs w:val="22"/>
          <w:lang w:val="sv-SE"/>
        </w:rPr>
        <w:t xml:space="preserve">(TKI) </w:t>
      </w:r>
      <w:r w:rsidRPr="00035EFE">
        <w:rPr>
          <w:color w:val="000000"/>
          <w:szCs w:val="22"/>
          <w:lang w:val="sv-SE"/>
        </w:rPr>
        <w:t>har associerats</w:t>
      </w:r>
      <w:r w:rsidRPr="00274174">
        <w:rPr>
          <w:color w:val="000000"/>
          <w:szCs w:val="22"/>
          <w:lang w:val="sv-SE"/>
        </w:rPr>
        <w:t xml:space="preserve"> med trombotisk mikroangiopati (TMA), inkluderande individuella fallrapporter för Glivec (se avsnitt 4.8). Vid förekomst av laboratorie- eller kliniska fynd associerade med TMA hos en patient som får Glivec ska behandlingen avbrytas och grundlig utvärdering för TMA ska genomf</w:t>
      </w:r>
      <w:r w:rsidRPr="00E169CD">
        <w:rPr>
          <w:color w:val="000000"/>
          <w:szCs w:val="22"/>
          <w:lang w:val="sv-SE"/>
        </w:rPr>
        <w:t>öras, inkluderande bestämning av ADAMTS13-aktivitet och anti-ADAMTS13-antikroppar. Om anti-ADAMTS13-antikropp är förhöjd i samband med att ADAMTS13-aktiviteten är låg ska behandling med Glivec inte återupptas.</w:t>
      </w:r>
    </w:p>
    <w:p w14:paraId="41D6F165" w14:textId="77777777" w:rsidR="001005E7" w:rsidRPr="00274174" w:rsidRDefault="001005E7" w:rsidP="00463647">
      <w:pPr>
        <w:pStyle w:val="EndnoteText"/>
        <w:widowControl w:val="0"/>
        <w:tabs>
          <w:tab w:val="clear" w:pos="567"/>
        </w:tabs>
        <w:rPr>
          <w:color w:val="000000"/>
          <w:szCs w:val="22"/>
          <w:lang w:val="sv-SE"/>
        </w:rPr>
      </w:pPr>
    </w:p>
    <w:p w14:paraId="6DF787F4" w14:textId="77777777" w:rsidR="00547CA2" w:rsidRPr="000E7AE9" w:rsidRDefault="00547CA2" w:rsidP="00463647">
      <w:pPr>
        <w:pStyle w:val="EndnoteText"/>
        <w:keepNext/>
        <w:widowControl w:val="0"/>
        <w:tabs>
          <w:tab w:val="clear" w:pos="567"/>
        </w:tabs>
        <w:rPr>
          <w:color w:val="000000"/>
          <w:szCs w:val="22"/>
          <w:lang w:val="sv-SE"/>
        </w:rPr>
      </w:pPr>
      <w:r w:rsidRPr="000E7AE9">
        <w:rPr>
          <w:color w:val="000000"/>
          <w:szCs w:val="22"/>
          <w:u w:val="single"/>
          <w:lang w:val="sv-SE"/>
        </w:rPr>
        <w:t>Laboratorieundersökningar</w:t>
      </w:r>
    </w:p>
    <w:p w14:paraId="4C279ACB"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Fullständig blodstatus skall kontrolleras regelbundet under behandling med Glivec. Glivec har förknippats med neutropeni eller trombocytopeni vid behandling av patienter med KML. Dessa cytopenier är dock troligen förknippade med den behandlade sjukdomens olika stadier och är därför vanligare hos patienter med KML i accelererad fas eller blastkris än hos patienter med KML i kronisk fas. Behandling med Glivec kan avbrytas eller dosen reduceras enligt rekommendationer i avsnitt 4.2.</w:t>
      </w:r>
    </w:p>
    <w:p w14:paraId="266A4107" w14:textId="77777777" w:rsidR="00547CA2" w:rsidRPr="000E7AE9" w:rsidRDefault="00547CA2" w:rsidP="00463647">
      <w:pPr>
        <w:pStyle w:val="EndnoteText"/>
        <w:widowControl w:val="0"/>
        <w:tabs>
          <w:tab w:val="clear" w:pos="567"/>
        </w:tabs>
        <w:rPr>
          <w:color w:val="000000"/>
          <w:szCs w:val="22"/>
          <w:lang w:val="sv-SE"/>
        </w:rPr>
      </w:pPr>
    </w:p>
    <w:p w14:paraId="554D76DE"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Leverfunktionen (transaminaser, bilirubin, alkaliskt fosfatas) skall övervakas regelbundet hos patienter som får behandling med Glivec.</w:t>
      </w:r>
    </w:p>
    <w:p w14:paraId="17D60DE0" w14:textId="77777777" w:rsidR="00547CA2" w:rsidRPr="000E7AE9" w:rsidRDefault="00547CA2" w:rsidP="00463647">
      <w:pPr>
        <w:pStyle w:val="EndnoteText"/>
        <w:widowControl w:val="0"/>
        <w:tabs>
          <w:tab w:val="clear" w:pos="567"/>
        </w:tabs>
        <w:rPr>
          <w:color w:val="000000"/>
          <w:szCs w:val="22"/>
          <w:lang w:val="sv-SE"/>
        </w:rPr>
      </w:pPr>
    </w:p>
    <w:p w14:paraId="09DEFB15" w14:textId="77777777" w:rsidR="00547CA2" w:rsidRDefault="00547CA2" w:rsidP="00463647">
      <w:pPr>
        <w:pStyle w:val="EndnoteText"/>
        <w:widowControl w:val="0"/>
        <w:tabs>
          <w:tab w:val="clear" w:pos="567"/>
        </w:tabs>
        <w:rPr>
          <w:color w:val="000000"/>
          <w:szCs w:val="22"/>
          <w:lang w:val="sv-SE"/>
        </w:rPr>
      </w:pPr>
      <w:r w:rsidRPr="000E7AE9">
        <w:rPr>
          <w:color w:val="000000"/>
          <w:szCs w:val="22"/>
          <w:lang w:val="sv-SE"/>
        </w:rPr>
        <w:t>Hos patienter med nedsatt njurfunktion tycks plasmaexponeringen av imatinib vara högre än hos patienter med normal njurfunktion, förmodligen beroende på förhöjd plasmanivå av surt alfa-1 glykoprotein (AGP), ett protein som binder imatinib, hos dessa patienter. Patienter med nedsatt njurfunktion skall ges den lägsta startdosen. Patienter med kraftigt nedsatt njurfunktion skall behandlas med försiktighet. Dosen kan minskas om den inte tolereras (se avsnitt 4.2 och 5.2).</w:t>
      </w:r>
    </w:p>
    <w:p w14:paraId="4A530AA7" w14:textId="77777777" w:rsidR="00C73A3B" w:rsidRDefault="00C73A3B" w:rsidP="00463647">
      <w:pPr>
        <w:pStyle w:val="EndnoteText"/>
        <w:widowControl w:val="0"/>
        <w:tabs>
          <w:tab w:val="clear" w:pos="567"/>
        </w:tabs>
        <w:rPr>
          <w:color w:val="000000"/>
          <w:szCs w:val="22"/>
          <w:lang w:val="sv-SE"/>
        </w:rPr>
      </w:pPr>
    </w:p>
    <w:p w14:paraId="6ECC8115" w14:textId="77777777" w:rsidR="00C73A3B" w:rsidRDefault="00C73A3B" w:rsidP="00463647">
      <w:pPr>
        <w:pStyle w:val="EndnoteText"/>
        <w:widowControl w:val="0"/>
        <w:tabs>
          <w:tab w:val="clear" w:pos="567"/>
        </w:tabs>
        <w:rPr>
          <w:color w:val="000000"/>
          <w:szCs w:val="22"/>
          <w:lang w:val="sv-SE"/>
        </w:rPr>
      </w:pPr>
      <w:r>
        <w:rPr>
          <w:color w:val="000000"/>
          <w:szCs w:val="22"/>
          <w:lang w:val="sv-SE"/>
        </w:rPr>
        <w:t xml:space="preserve">Långtidsbehandling med imatinib kan vara </w:t>
      </w:r>
      <w:r w:rsidRPr="0021118B">
        <w:rPr>
          <w:color w:val="000000"/>
          <w:szCs w:val="22"/>
          <w:lang w:val="sv-SE"/>
        </w:rPr>
        <w:t xml:space="preserve">förknippad </w:t>
      </w:r>
      <w:r>
        <w:rPr>
          <w:color w:val="000000"/>
          <w:szCs w:val="22"/>
          <w:lang w:val="sv-SE"/>
        </w:rPr>
        <w:t xml:space="preserve">med en kliniskt signifikant försämring av njurfunktionen. </w:t>
      </w:r>
      <w:r w:rsidRPr="00F00853">
        <w:rPr>
          <w:color w:val="000000"/>
          <w:szCs w:val="22"/>
          <w:lang w:val="sv-SE"/>
        </w:rPr>
        <w:t xml:space="preserve">Njurfunktionen bör därför utvärderas </w:t>
      </w:r>
      <w:r>
        <w:rPr>
          <w:color w:val="000000"/>
          <w:szCs w:val="22"/>
          <w:lang w:val="sv-SE"/>
        </w:rPr>
        <w:t>före starten</w:t>
      </w:r>
      <w:r w:rsidRPr="00F00853">
        <w:rPr>
          <w:color w:val="000000"/>
          <w:szCs w:val="22"/>
          <w:lang w:val="sv-SE"/>
        </w:rPr>
        <w:t xml:space="preserve"> av imatinib-behandling och följas noga under behandling, med särskild uppmärksamhet på patienter </w:t>
      </w:r>
      <w:r>
        <w:rPr>
          <w:color w:val="000000"/>
          <w:szCs w:val="22"/>
          <w:lang w:val="sv-SE"/>
        </w:rPr>
        <w:t>med</w:t>
      </w:r>
      <w:r w:rsidRPr="00F00853">
        <w:rPr>
          <w:color w:val="000000"/>
          <w:szCs w:val="22"/>
          <w:lang w:val="sv-SE"/>
        </w:rPr>
        <w:t xml:space="preserve"> riskfaktorer för nedsatt njurfunktion. Om </w:t>
      </w:r>
      <w:r w:rsidRPr="0021118B">
        <w:rPr>
          <w:color w:val="000000"/>
          <w:szCs w:val="22"/>
          <w:lang w:val="sv-SE"/>
        </w:rPr>
        <w:t xml:space="preserve">nedsatt njurfunktion </w:t>
      </w:r>
      <w:r w:rsidRPr="00F00853">
        <w:rPr>
          <w:color w:val="000000"/>
          <w:szCs w:val="22"/>
          <w:lang w:val="sv-SE"/>
        </w:rPr>
        <w:t xml:space="preserve">observeras, bör lämplig hantering och behandling </w:t>
      </w:r>
      <w:r>
        <w:rPr>
          <w:color w:val="000000"/>
          <w:szCs w:val="22"/>
          <w:lang w:val="sv-SE"/>
        </w:rPr>
        <w:t>för</w:t>
      </w:r>
      <w:r w:rsidRPr="00F00853">
        <w:rPr>
          <w:color w:val="000000"/>
          <w:szCs w:val="22"/>
          <w:lang w:val="sv-SE"/>
        </w:rPr>
        <w:t>skrivas i enlighet med standard</w:t>
      </w:r>
      <w:r>
        <w:rPr>
          <w:color w:val="000000"/>
          <w:szCs w:val="22"/>
          <w:lang w:val="sv-SE"/>
        </w:rPr>
        <w:t xml:space="preserve">iserade </w:t>
      </w:r>
      <w:r w:rsidRPr="00F00853">
        <w:rPr>
          <w:color w:val="000000"/>
          <w:szCs w:val="22"/>
          <w:lang w:val="sv-SE"/>
        </w:rPr>
        <w:t>behandlingsriktlinjer.</w:t>
      </w:r>
    </w:p>
    <w:p w14:paraId="3680E95B" w14:textId="77777777" w:rsidR="00C73A3B" w:rsidRPr="00A11489" w:rsidRDefault="00C73A3B" w:rsidP="00463647">
      <w:pPr>
        <w:pStyle w:val="EndnoteText"/>
        <w:widowControl w:val="0"/>
        <w:tabs>
          <w:tab w:val="clear" w:pos="567"/>
        </w:tabs>
        <w:rPr>
          <w:color w:val="000000"/>
          <w:szCs w:val="22"/>
          <w:lang w:val="sv-SE"/>
        </w:rPr>
      </w:pPr>
    </w:p>
    <w:p w14:paraId="0A85231A" w14:textId="77777777" w:rsidR="00547CA2" w:rsidRPr="00FB6631" w:rsidRDefault="00547CA2" w:rsidP="00463647">
      <w:pPr>
        <w:pStyle w:val="TOC6"/>
      </w:pPr>
      <w:r w:rsidRPr="00FB6631">
        <w:t>Pediatrisk population</w:t>
      </w:r>
    </w:p>
    <w:p w14:paraId="30A04429" w14:textId="77777777" w:rsidR="00547CA2" w:rsidRPr="00E442F4" w:rsidRDefault="00547CA2" w:rsidP="00463647">
      <w:pPr>
        <w:pStyle w:val="EndnoteText"/>
        <w:widowControl w:val="0"/>
        <w:tabs>
          <w:tab w:val="clear" w:pos="567"/>
        </w:tabs>
        <w:rPr>
          <w:szCs w:val="22"/>
          <w:lang w:val="nb-NO" w:bidi="kn-IN"/>
        </w:rPr>
      </w:pPr>
      <w:r w:rsidRPr="007F2818">
        <w:rPr>
          <w:szCs w:val="22"/>
          <w:lang w:val="sv-SE" w:bidi="kn-IN"/>
        </w:rPr>
        <w:t xml:space="preserve">Det har förekommit fallbeskrivningsrapporter om </w:t>
      </w:r>
      <w:r>
        <w:rPr>
          <w:szCs w:val="22"/>
          <w:lang w:val="sv-SE" w:bidi="kn-IN"/>
        </w:rPr>
        <w:t>tillväxthämning</w:t>
      </w:r>
      <w:r w:rsidRPr="007F2818">
        <w:rPr>
          <w:szCs w:val="22"/>
          <w:lang w:val="sv-SE" w:bidi="kn-IN"/>
        </w:rPr>
        <w:t xml:space="preserve"> hos barn och ungdomar </w:t>
      </w:r>
      <w:r>
        <w:rPr>
          <w:szCs w:val="22"/>
          <w:lang w:val="sv-SE" w:bidi="kn-IN"/>
        </w:rPr>
        <w:t>i förpuberteten</w:t>
      </w:r>
      <w:r w:rsidRPr="007F2818">
        <w:rPr>
          <w:szCs w:val="22"/>
          <w:lang w:val="sv-SE" w:bidi="kn-IN"/>
        </w:rPr>
        <w:t xml:space="preserve"> som</w:t>
      </w:r>
      <w:r>
        <w:rPr>
          <w:szCs w:val="22"/>
          <w:lang w:val="sv-SE" w:bidi="kn-IN"/>
        </w:rPr>
        <w:t xml:space="preserve"> har fått </w:t>
      </w:r>
      <w:r w:rsidRPr="007F2818">
        <w:rPr>
          <w:szCs w:val="22"/>
          <w:lang w:val="sv-SE" w:bidi="kn-IN"/>
        </w:rPr>
        <w:t xml:space="preserve">imatinib. </w:t>
      </w:r>
      <w:r w:rsidR="006F5ED8" w:rsidRPr="006F5ED8">
        <w:rPr>
          <w:szCs w:val="22"/>
          <w:lang w:val="sv-SE" w:bidi="kn-IN"/>
        </w:rPr>
        <w:t xml:space="preserve">I en observationsstudie på den pediatriska KML populationen rapporterades en </w:t>
      </w:r>
      <w:r w:rsidR="00C414BE">
        <w:rPr>
          <w:szCs w:val="22"/>
          <w:lang w:val="sv-SE" w:bidi="kn-IN"/>
        </w:rPr>
        <w:t xml:space="preserve">statistiskt signifikant </w:t>
      </w:r>
      <w:r w:rsidR="006F5ED8" w:rsidRPr="006F5ED8">
        <w:rPr>
          <w:szCs w:val="22"/>
          <w:lang w:val="sv-SE" w:bidi="kn-IN"/>
        </w:rPr>
        <w:t xml:space="preserve">minskning </w:t>
      </w:r>
      <w:r w:rsidR="0048531A">
        <w:rPr>
          <w:szCs w:val="22"/>
          <w:lang w:val="sv-SE" w:bidi="kn-IN"/>
        </w:rPr>
        <w:t xml:space="preserve">(men av osäker klinisk betydelse) </w:t>
      </w:r>
      <w:r w:rsidR="006F5ED8" w:rsidRPr="006F5ED8">
        <w:rPr>
          <w:bCs/>
          <w:szCs w:val="22"/>
          <w:lang w:val="sv-SE" w:bidi="kn-IN"/>
        </w:rPr>
        <w:t xml:space="preserve">i </w:t>
      </w:r>
      <w:r w:rsidR="002F1324">
        <w:rPr>
          <w:bCs/>
          <w:szCs w:val="22"/>
          <w:lang w:val="sv-SE" w:bidi="kn-IN"/>
        </w:rPr>
        <w:t xml:space="preserve">median längd </w:t>
      </w:r>
      <w:r w:rsidR="0048531A">
        <w:rPr>
          <w:bCs/>
          <w:szCs w:val="22"/>
          <w:lang w:val="sv-SE" w:bidi="kn-IN"/>
        </w:rPr>
        <w:t>standardavvikelse</w:t>
      </w:r>
      <w:r w:rsidR="00E82690">
        <w:rPr>
          <w:bCs/>
          <w:szCs w:val="22"/>
          <w:lang w:val="sv-SE" w:bidi="kn-IN"/>
        </w:rPr>
        <w:t>poäng</w:t>
      </w:r>
      <w:r w:rsidR="006F5ED8" w:rsidRPr="006F5ED8">
        <w:rPr>
          <w:bCs/>
          <w:szCs w:val="22"/>
          <w:lang w:val="sv-SE" w:bidi="kn-IN"/>
        </w:rPr>
        <w:t xml:space="preserve"> efter 12 och 24 månaders behandling i två små undergrupper oberoende av pubertal status och kön.</w:t>
      </w:r>
      <w:r w:rsidR="006F5ED8">
        <w:rPr>
          <w:szCs w:val="22"/>
          <w:lang w:val="nb-NO" w:bidi="kn-IN"/>
        </w:rPr>
        <w:t xml:space="preserve"> Noggrann övervakning</w:t>
      </w:r>
      <w:r w:rsidRPr="00E442F4">
        <w:rPr>
          <w:szCs w:val="22"/>
          <w:lang w:val="nb-NO" w:bidi="kn-IN"/>
        </w:rPr>
        <w:t xml:space="preserve"> av tillväxten hos barn som behandlats med imatinib </w:t>
      </w:r>
      <w:r w:rsidR="006F5ED8">
        <w:rPr>
          <w:szCs w:val="22"/>
          <w:lang w:val="nb-NO" w:bidi="kn-IN"/>
        </w:rPr>
        <w:t xml:space="preserve">rekommenderas </w:t>
      </w:r>
      <w:r w:rsidRPr="00E442F4">
        <w:rPr>
          <w:szCs w:val="22"/>
          <w:lang w:val="nb-NO" w:bidi="kn-IN"/>
        </w:rPr>
        <w:t>(se avsnitt 4.8).</w:t>
      </w:r>
    </w:p>
    <w:p w14:paraId="0F6396B7" w14:textId="77777777" w:rsidR="0048531A" w:rsidRPr="000E7AE9" w:rsidRDefault="0048531A" w:rsidP="00463647">
      <w:pPr>
        <w:pStyle w:val="EndnoteText"/>
        <w:widowControl w:val="0"/>
        <w:tabs>
          <w:tab w:val="clear" w:pos="567"/>
        </w:tabs>
        <w:rPr>
          <w:color w:val="000000"/>
          <w:szCs w:val="22"/>
          <w:lang w:val="sv-SE"/>
        </w:rPr>
      </w:pPr>
    </w:p>
    <w:p w14:paraId="7A999855" w14:textId="77777777" w:rsidR="00547CA2" w:rsidRPr="000E7AE9" w:rsidRDefault="00547CA2" w:rsidP="00463647">
      <w:pPr>
        <w:pStyle w:val="Heading4"/>
        <w:widowControl w:val="0"/>
        <w:spacing w:line="240" w:lineRule="auto"/>
        <w:rPr>
          <w:noProof w:val="0"/>
          <w:color w:val="000000"/>
          <w:szCs w:val="22"/>
          <w:lang w:val="sv-SE"/>
        </w:rPr>
      </w:pPr>
      <w:r w:rsidRPr="000E7AE9">
        <w:rPr>
          <w:noProof w:val="0"/>
          <w:color w:val="000000"/>
          <w:szCs w:val="22"/>
          <w:lang w:val="sv-SE"/>
        </w:rPr>
        <w:t>4.5</w:t>
      </w:r>
      <w:r w:rsidRPr="000E7AE9">
        <w:rPr>
          <w:noProof w:val="0"/>
          <w:color w:val="000000"/>
          <w:szCs w:val="22"/>
          <w:lang w:val="sv-SE"/>
        </w:rPr>
        <w:tab/>
        <w:t>Interaktioner med andra läkemedel och övriga interaktioner</w:t>
      </w:r>
    </w:p>
    <w:p w14:paraId="7175FB5F" w14:textId="77777777" w:rsidR="00547CA2" w:rsidRPr="000E7AE9" w:rsidRDefault="00547CA2" w:rsidP="00463647">
      <w:pPr>
        <w:pStyle w:val="EndnoteText"/>
        <w:keepNext/>
        <w:widowControl w:val="0"/>
        <w:tabs>
          <w:tab w:val="clear" w:pos="567"/>
        </w:tabs>
        <w:rPr>
          <w:color w:val="000000"/>
          <w:szCs w:val="22"/>
          <w:lang w:val="sv-SE"/>
        </w:rPr>
      </w:pPr>
    </w:p>
    <w:p w14:paraId="56396D83" w14:textId="77777777" w:rsidR="00547CA2" w:rsidRPr="000E7AE9" w:rsidRDefault="00547CA2" w:rsidP="00463647">
      <w:pPr>
        <w:pStyle w:val="TextChar"/>
        <w:keepNext/>
        <w:widowControl w:val="0"/>
        <w:spacing w:before="0"/>
        <w:jc w:val="left"/>
        <w:rPr>
          <w:color w:val="000000"/>
          <w:sz w:val="22"/>
          <w:szCs w:val="22"/>
          <w:u w:val="single"/>
          <w:lang w:val="sv-SE"/>
        </w:rPr>
      </w:pPr>
      <w:r w:rsidRPr="000E7AE9">
        <w:rPr>
          <w:color w:val="000000"/>
          <w:sz w:val="22"/>
          <w:szCs w:val="22"/>
          <w:u w:val="single"/>
          <w:lang w:val="sv-SE"/>
        </w:rPr>
        <w:t xml:space="preserve">Aktiva substanser som kan </w:t>
      </w:r>
      <w:r w:rsidRPr="000E7AE9">
        <w:rPr>
          <w:b/>
          <w:color w:val="000000"/>
          <w:sz w:val="22"/>
          <w:szCs w:val="22"/>
          <w:u w:val="single"/>
          <w:lang w:val="sv-SE"/>
        </w:rPr>
        <w:t>öka</w:t>
      </w:r>
      <w:r w:rsidRPr="000E7AE9">
        <w:rPr>
          <w:color w:val="000000"/>
          <w:sz w:val="22"/>
          <w:szCs w:val="22"/>
          <w:u w:val="single"/>
          <w:lang w:val="sv-SE"/>
        </w:rPr>
        <w:t xml:space="preserve"> plasmakoncentrationen av imatinib:</w:t>
      </w:r>
    </w:p>
    <w:p w14:paraId="742B1A1F"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 xml:space="preserve">Substanser som hämmar aktiviteten av cytokrom P450-isoenzymet CYP3A4 (t ex </w:t>
      </w:r>
      <w:r>
        <w:rPr>
          <w:color w:val="000000"/>
          <w:sz w:val="22"/>
          <w:szCs w:val="22"/>
          <w:lang w:val="sv-SE"/>
        </w:rPr>
        <w:t xml:space="preserve">proteashämmare såsom indinavir, lopinavir/ritonavir, ritonavir, saquinavir, telaprevir, nelfinavir, boceprevir; antimykotikum inkluderande </w:t>
      </w:r>
      <w:r w:rsidRPr="000E7AE9">
        <w:rPr>
          <w:color w:val="000000"/>
          <w:sz w:val="22"/>
          <w:szCs w:val="22"/>
          <w:lang w:val="sv-SE"/>
        </w:rPr>
        <w:t xml:space="preserve">ketokonazol, itrakonazol, </w:t>
      </w:r>
      <w:r>
        <w:rPr>
          <w:color w:val="000000"/>
          <w:sz w:val="22"/>
          <w:szCs w:val="22"/>
          <w:lang w:val="sv-SE"/>
        </w:rPr>
        <w:t xml:space="preserve">posakonazol, vorikonazol; vissa makrolider såsom </w:t>
      </w:r>
      <w:r w:rsidRPr="000E7AE9">
        <w:rPr>
          <w:color w:val="000000"/>
          <w:sz w:val="22"/>
          <w:szCs w:val="22"/>
          <w:lang w:val="sv-SE"/>
        </w:rPr>
        <w:t>erytromycin, klaritromycin</w:t>
      </w:r>
      <w:r>
        <w:rPr>
          <w:color w:val="000000"/>
          <w:sz w:val="22"/>
          <w:szCs w:val="22"/>
          <w:lang w:val="sv-SE"/>
        </w:rPr>
        <w:t xml:space="preserve"> och telitromycin</w:t>
      </w:r>
      <w:r w:rsidRPr="000E7AE9">
        <w:rPr>
          <w:color w:val="000000"/>
          <w:sz w:val="22"/>
          <w:szCs w:val="22"/>
          <w:lang w:val="sv-SE"/>
        </w:rPr>
        <w:t>) kan minska metabolismen och öka koncentrationen av imatinib. En signifikant ökning av exponeringen för imatinib noterades (genomsnittligt C</w:t>
      </w:r>
      <w:r w:rsidRPr="000E7AE9">
        <w:rPr>
          <w:color w:val="000000"/>
          <w:sz w:val="22"/>
          <w:szCs w:val="22"/>
          <w:vertAlign w:val="subscript"/>
          <w:lang w:val="sv-SE"/>
        </w:rPr>
        <w:t>max</w:t>
      </w:r>
      <w:r w:rsidRPr="000E7AE9">
        <w:rPr>
          <w:color w:val="000000"/>
          <w:sz w:val="22"/>
          <w:szCs w:val="22"/>
          <w:lang w:val="sv-SE"/>
        </w:rPr>
        <w:t xml:space="preserve"> och AUC av imatinib ökade med 26</w:t>
      </w:r>
      <w:r>
        <w:rPr>
          <w:color w:val="000000"/>
          <w:sz w:val="22"/>
          <w:szCs w:val="22"/>
          <w:lang w:val="sv-SE"/>
        </w:rPr>
        <w:t> </w:t>
      </w:r>
      <w:r w:rsidRPr="000E7AE9">
        <w:rPr>
          <w:color w:val="000000"/>
          <w:sz w:val="22"/>
          <w:szCs w:val="22"/>
          <w:lang w:val="sv-SE"/>
        </w:rPr>
        <w:t>% respektive 40</w:t>
      </w:r>
      <w:r>
        <w:rPr>
          <w:color w:val="000000"/>
          <w:sz w:val="22"/>
          <w:szCs w:val="22"/>
          <w:lang w:val="sv-SE"/>
        </w:rPr>
        <w:t> </w:t>
      </w:r>
      <w:r w:rsidRPr="000E7AE9">
        <w:rPr>
          <w:color w:val="000000"/>
          <w:sz w:val="22"/>
          <w:szCs w:val="22"/>
          <w:lang w:val="sv-SE"/>
        </w:rPr>
        <w:t>%) hos friska individer när det gavs samtidigt med en enstaka dos ketokonazol (en CYP3A4-hämmare). Försiktighet skall iakttas när Glivec ges samtidigt som CYP3A4-hämmare.</w:t>
      </w:r>
    </w:p>
    <w:p w14:paraId="349607CE" w14:textId="77777777" w:rsidR="00547CA2" w:rsidRPr="000E7AE9" w:rsidRDefault="00547CA2" w:rsidP="00463647">
      <w:pPr>
        <w:pStyle w:val="TextChar"/>
        <w:widowControl w:val="0"/>
        <w:spacing w:before="0"/>
        <w:jc w:val="left"/>
        <w:rPr>
          <w:color w:val="000000"/>
          <w:sz w:val="22"/>
          <w:szCs w:val="22"/>
          <w:lang w:val="sv-SE"/>
        </w:rPr>
      </w:pPr>
    </w:p>
    <w:p w14:paraId="7AB63D14" w14:textId="77777777" w:rsidR="00547CA2" w:rsidRPr="000E7AE9" w:rsidRDefault="00547CA2" w:rsidP="00463647">
      <w:pPr>
        <w:pStyle w:val="TextChar"/>
        <w:keepNext/>
        <w:widowControl w:val="0"/>
        <w:spacing w:before="0"/>
        <w:jc w:val="left"/>
        <w:rPr>
          <w:color w:val="000000"/>
          <w:sz w:val="22"/>
          <w:szCs w:val="22"/>
          <w:u w:val="single"/>
          <w:lang w:val="sv-SE"/>
        </w:rPr>
      </w:pPr>
      <w:r w:rsidRPr="000E7AE9">
        <w:rPr>
          <w:color w:val="000000"/>
          <w:sz w:val="22"/>
          <w:szCs w:val="22"/>
          <w:u w:val="single"/>
          <w:lang w:val="sv-SE"/>
        </w:rPr>
        <w:lastRenderedPageBreak/>
        <w:t xml:space="preserve">Aktiva substanser som kan </w:t>
      </w:r>
      <w:r w:rsidRPr="000E7AE9">
        <w:rPr>
          <w:b/>
          <w:color w:val="000000"/>
          <w:sz w:val="22"/>
          <w:szCs w:val="22"/>
          <w:u w:val="single"/>
          <w:lang w:val="sv-SE"/>
        </w:rPr>
        <w:t>minska</w:t>
      </w:r>
      <w:r w:rsidRPr="000E7AE9">
        <w:rPr>
          <w:color w:val="000000"/>
          <w:sz w:val="22"/>
          <w:szCs w:val="22"/>
          <w:u w:val="single"/>
          <w:lang w:val="sv-SE"/>
        </w:rPr>
        <w:t xml:space="preserve"> plasmakoncentrationen av imatinib:</w:t>
      </w:r>
    </w:p>
    <w:p w14:paraId="3C5220E7"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 xml:space="preserve">Substanser som inducerar CYP3A4-aktivitet (t ex dexametason, fenytoin, karbamazepin, rifampicin, fenobarbital, fosfenytoin, primidon eller </w:t>
      </w:r>
      <w:r w:rsidRPr="000E7AE9">
        <w:rPr>
          <w:i/>
          <w:color w:val="000000"/>
          <w:sz w:val="22"/>
          <w:szCs w:val="22"/>
          <w:lang w:val="sv-SE"/>
        </w:rPr>
        <w:t>Hypericum perforatum</w:t>
      </w:r>
      <w:r w:rsidRPr="000E7AE9">
        <w:rPr>
          <w:color w:val="000000"/>
          <w:sz w:val="22"/>
          <w:szCs w:val="22"/>
          <w:lang w:val="sv-SE"/>
        </w:rPr>
        <w:t>, även känd som johannesört) kan signifikant minska exponeringen för Glivec och därigenom öka risken för terapisvikt. Förbehandling med flera doser rifampicin, 600 mg dagligen, följt av en engångsdos Glivec om 400 mg, ledde till en minskning av C</w:t>
      </w:r>
      <w:r w:rsidRPr="000E7AE9">
        <w:rPr>
          <w:color w:val="000000"/>
          <w:sz w:val="22"/>
          <w:szCs w:val="22"/>
          <w:vertAlign w:val="subscript"/>
          <w:lang w:val="sv-SE"/>
        </w:rPr>
        <w:t>max</w:t>
      </w:r>
      <w:r w:rsidRPr="000E7AE9">
        <w:rPr>
          <w:color w:val="000000"/>
          <w:sz w:val="22"/>
          <w:szCs w:val="22"/>
          <w:lang w:val="sv-SE"/>
        </w:rPr>
        <w:t xml:space="preserve"> och AUC</w:t>
      </w:r>
      <w:r w:rsidRPr="000E7AE9">
        <w:rPr>
          <w:color w:val="000000"/>
          <w:sz w:val="22"/>
          <w:szCs w:val="22"/>
          <w:vertAlign w:val="subscript"/>
          <w:lang w:val="sv-SE"/>
        </w:rPr>
        <w:t>(0-∞)</w:t>
      </w:r>
      <w:r w:rsidRPr="000E7AE9">
        <w:rPr>
          <w:color w:val="000000"/>
          <w:sz w:val="22"/>
          <w:szCs w:val="22"/>
          <w:lang w:val="sv-SE"/>
        </w:rPr>
        <w:t xml:space="preserve"> med åtminstone 54</w:t>
      </w:r>
      <w:r>
        <w:rPr>
          <w:color w:val="000000"/>
          <w:sz w:val="22"/>
          <w:szCs w:val="22"/>
          <w:lang w:val="sv-SE"/>
        </w:rPr>
        <w:t> </w:t>
      </w:r>
      <w:r w:rsidRPr="000E7AE9">
        <w:rPr>
          <w:color w:val="000000"/>
          <w:sz w:val="22"/>
          <w:szCs w:val="22"/>
          <w:lang w:val="sv-SE"/>
        </w:rPr>
        <w:t>% och 74</w:t>
      </w:r>
      <w:r>
        <w:rPr>
          <w:color w:val="000000"/>
          <w:sz w:val="22"/>
          <w:szCs w:val="22"/>
          <w:lang w:val="sv-SE"/>
        </w:rPr>
        <w:t> </w:t>
      </w:r>
      <w:r w:rsidRPr="000E7AE9">
        <w:rPr>
          <w:color w:val="000000"/>
          <w:sz w:val="22"/>
          <w:szCs w:val="22"/>
          <w:lang w:val="sv-SE"/>
        </w:rPr>
        <w:t>% av respektive värde utan behandling med ri</w:t>
      </w:r>
      <w:r w:rsidRPr="000E7AE9">
        <w:rPr>
          <w:snapToGrid w:val="0"/>
          <w:color w:val="000000"/>
          <w:sz w:val="22"/>
          <w:szCs w:val="22"/>
          <w:lang w:val="sv-SE"/>
        </w:rPr>
        <w:t>fampicin.</w:t>
      </w:r>
      <w:r w:rsidRPr="000E7AE9">
        <w:rPr>
          <w:color w:val="000000"/>
          <w:sz w:val="22"/>
          <w:szCs w:val="22"/>
          <w:lang w:val="sv-SE"/>
        </w:rPr>
        <w:t xml:space="preserve"> Liknande resultat har observerats hos patienter med maligna gliom som behandlades med Glivec samtidigt som de använde enzyminducerande antiepileptiska läkemedel (EIAED) såsom karbamazepin, oxkarbazepin och fenytoin. Plasma-AUC för imatinib minskade med 73</w:t>
      </w:r>
      <w:r>
        <w:rPr>
          <w:color w:val="000000"/>
          <w:sz w:val="22"/>
          <w:szCs w:val="22"/>
          <w:lang w:val="sv-SE"/>
        </w:rPr>
        <w:t> </w:t>
      </w:r>
      <w:r w:rsidRPr="000E7AE9">
        <w:rPr>
          <w:color w:val="000000"/>
          <w:sz w:val="22"/>
          <w:szCs w:val="22"/>
          <w:lang w:val="sv-SE"/>
        </w:rPr>
        <w:t>% i jämförelse med patienter som inte stod på EIAED. Samtidig användning av rifampicin eller andra starka inducerare av CYP3A4 och imatinib skall undvikas.</w:t>
      </w:r>
    </w:p>
    <w:p w14:paraId="35C5027A" w14:textId="77777777" w:rsidR="00547CA2" w:rsidRPr="000E7AE9" w:rsidRDefault="00547CA2" w:rsidP="00463647">
      <w:pPr>
        <w:pStyle w:val="TextChar"/>
        <w:widowControl w:val="0"/>
        <w:spacing w:before="0"/>
        <w:jc w:val="left"/>
        <w:rPr>
          <w:color w:val="000000"/>
          <w:sz w:val="22"/>
          <w:szCs w:val="22"/>
          <w:lang w:val="sv-SE"/>
        </w:rPr>
      </w:pPr>
    </w:p>
    <w:p w14:paraId="61FCE3E0" w14:textId="77777777" w:rsidR="00547CA2" w:rsidRPr="000E7AE9" w:rsidRDefault="00547CA2" w:rsidP="00463647">
      <w:pPr>
        <w:pStyle w:val="TextChar"/>
        <w:keepNext/>
        <w:widowControl w:val="0"/>
        <w:spacing w:before="0"/>
        <w:jc w:val="left"/>
        <w:rPr>
          <w:b/>
          <w:color w:val="000000"/>
          <w:sz w:val="22"/>
          <w:szCs w:val="22"/>
          <w:lang w:val="sv-SE"/>
        </w:rPr>
      </w:pPr>
      <w:r w:rsidRPr="000E7AE9">
        <w:rPr>
          <w:b/>
          <w:color w:val="000000"/>
          <w:sz w:val="22"/>
          <w:szCs w:val="22"/>
          <w:lang w:val="sv-SE"/>
        </w:rPr>
        <w:t>Aktiva substanser vars plasmakoncentration kan förändras av Glivec</w:t>
      </w:r>
    </w:p>
    <w:p w14:paraId="3DBEF53F"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Imatinib ökar genomsnittligt C</w:t>
      </w:r>
      <w:r w:rsidRPr="000E7AE9">
        <w:rPr>
          <w:color w:val="000000"/>
          <w:sz w:val="22"/>
          <w:szCs w:val="22"/>
          <w:vertAlign w:val="subscript"/>
          <w:lang w:val="sv-SE"/>
        </w:rPr>
        <w:t xml:space="preserve">max </w:t>
      </w:r>
      <w:r w:rsidRPr="000E7AE9">
        <w:rPr>
          <w:color w:val="000000"/>
          <w:sz w:val="22"/>
          <w:szCs w:val="22"/>
          <w:lang w:val="sv-SE"/>
        </w:rPr>
        <w:t>och AUC för simvastatin (CYP3A4-substrat) 2 respektive 3,5 gånger, vilket visar att CYP3A4 hämmas av imatinib. Av denna anledning rekommenderas försiktighet när Glivec ges tillsammans med CYP3A4-substrat med snävt terapeutiskt intervall (t ex ciklosporin</w:t>
      </w:r>
      <w:r>
        <w:rPr>
          <w:color w:val="000000"/>
          <w:sz w:val="22"/>
          <w:szCs w:val="22"/>
          <w:lang w:val="sv-SE"/>
        </w:rPr>
        <w:t>,</w:t>
      </w:r>
      <w:r w:rsidRPr="000E7AE9">
        <w:rPr>
          <w:color w:val="000000"/>
          <w:sz w:val="22"/>
          <w:szCs w:val="22"/>
          <w:lang w:val="sv-SE"/>
        </w:rPr>
        <w:t xml:space="preserve"> pimozid</w:t>
      </w:r>
      <w:r>
        <w:rPr>
          <w:color w:val="000000"/>
          <w:sz w:val="22"/>
          <w:szCs w:val="22"/>
          <w:lang w:val="sv-SE"/>
        </w:rPr>
        <w:t>, takrolimus, sirolimus, ergotamin, diergotamin, fentanyl, alfentanil, terfenadin, bortezomib, docetaxel och cinkonidin</w:t>
      </w:r>
      <w:r w:rsidRPr="000E7AE9">
        <w:rPr>
          <w:color w:val="000000"/>
          <w:sz w:val="22"/>
          <w:szCs w:val="22"/>
          <w:lang w:val="sv-SE"/>
        </w:rPr>
        <w:t>). Glivec kan öka plasmakoncentrationen av andra läkemedel som metaboliseras via 3A4 (t ex triazolobenzodiazepiner, kalciumantagonister av dihydropyridintyp, vissa HMG-CoA-reduktashämmare, dvs. statiner).</w:t>
      </w:r>
    </w:p>
    <w:p w14:paraId="61D348CD" w14:textId="77777777" w:rsidR="00547CA2" w:rsidRPr="000E7AE9" w:rsidRDefault="00547CA2" w:rsidP="00463647">
      <w:pPr>
        <w:pStyle w:val="TextChar"/>
        <w:widowControl w:val="0"/>
        <w:spacing w:before="0"/>
        <w:jc w:val="left"/>
        <w:rPr>
          <w:color w:val="000000"/>
          <w:sz w:val="22"/>
          <w:szCs w:val="22"/>
          <w:lang w:val="sv-SE"/>
        </w:rPr>
      </w:pPr>
    </w:p>
    <w:p w14:paraId="019CD54A" w14:textId="77777777" w:rsidR="00547CA2" w:rsidRPr="000E7AE9" w:rsidRDefault="00547CA2" w:rsidP="00463647">
      <w:pPr>
        <w:pStyle w:val="TextChar"/>
        <w:widowControl w:val="0"/>
        <w:spacing w:before="0"/>
        <w:jc w:val="left"/>
        <w:rPr>
          <w:color w:val="000000"/>
          <w:sz w:val="22"/>
          <w:szCs w:val="22"/>
          <w:lang w:val="sv-SE"/>
        </w:rPr>
      </w:pPr>
      <w:r>
        <w:rPr>
          <w:color w:val="000000"/>
          <w:sz w:val="22"/>
          <w:szCs w:val="22"/>
          <w:lang w:val="sv-SE"/>
        </w:rPr>
        <w:t>På grund av en känd ökad risk för blödningar i samband med användning av imatinib (t ex vid förlust av blod)</w:t>
      </w:r>
      <w:r w:rsidRPr="000E7AE9">
        <w:rPr>
          <w:color w:val="000000"/>
          <w:sz w:val="22"/>
          <w:szCs w:val="22"/>
          <w:lang w:val="sv-SE"/>
        </w:rPr>
        <w:t>, skall patienter som behöver antikoagulation erhålla lågmolekylärt eller standardheparin</w:t>
      </w:r>
      <w:r>
        <w:rPr>
          <w:color w:val="000000"/>
          <w:sz w:val="22"/>
          <w:szCs w:val="22"/>
          <w:lang w:val="sv-SE"/>
        </w:rPr>
        <w:t>, istället för kumarinderivat såsom warfarin</w:t>
      </w:r>
      <w:r w:rsidRPr="000E7AE9">
        <w:rPr>
          <w:color w:val="000000"/>
          <w:sz w:val="22"/>
          <w:szCs w:val="22"/>
          <w:lang w:val="sv-SE"/>
        </w:rPr>
        <w:t>.</w:t>
      </w:r>
    </w:p>
    <w:p w14:paraId="78AF322D" w14:textId="77777777" w:rsidR="00547CA2" w:rsidRPr="000E7AE9" w:rsidRDefault="00547CA2" w:rsidP="00463647">
      <w:pPr>
        <w:pStyle w:val="TextChar"/>
        <w:widowControl w:val="0"/>
        <w:spacing w:before="0"/>
        <w:jc w:val="left"/>
        <w:rPr>
          <w:color w:val="000000"/>
          <w:sz w:val="22"/>
          <w:szCs w:val="22"/>
          <w:lang w:val="sv-SE"/>
        </w:rPr>
      </w:pPr>
    </w:p>
    <w:p w14:paraId="7424CE53"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 xml:space="preserve">Glivec hämmar aktiviteten av cytokrom P450-isoenzymet CYP2D6 </w:t>
      </w:r>
      <w:r w:rsidRPr="000E7AE9">
        <w:rPr>
          <w:i/>
          <w:color w:val="000000"/>
          <w:sz w:val="22"/>
          <w:szCs w:val="22"/>
          <w:lang w:val="sv-SE"/>
        </w:rPr>
        <w:t xml:space="preserve">in vitro </w:t>
      </w:r>
      <w:r w:rsidRPr="000E7AE9">
        <w:rPr>
          <w:color w:val="000000"/>
          <w:sz w:val="22"/>
          <w:szCs w:val="22"/>
          <w:lang w:val="sv-SE"/>
        </w:rPr>
        <w:t>vid koncentrationer jämförbara med dem som påverkar CYP3A4-aktivitet. 400 mg imatinib givet två gånger dagligen hade en hämmande effekt på CYP2D6-medierad metabolism av metoprolol, där C</w:t>
      </w:r>
      <w:r w:rsidRPr="000E7AE9">
        <w:rPr>
          <w:color w:val="000000"/>
          <w:sz w:val="22"/>
          <w:szCs w:val="22"/>
          <w:vertAlign w:val="subscript"/>
          <w:lang w:val="sv-SE"/>
        </w:rPr>
        <w:t>max</w:t>
      </w:r>
      <w:r w:rsidRPr="000E7AE9">
        <w:rPr>
          <w:color w:val="000000"/>
          <w:sz w:val="22"/>
          <w:szCs w:val="22"/>
          <w:lang w:val="sv-SE"/>
        </w:rPr>
        <w:t xml:space="preserve"> och AUC för metoprolol ökade med ungefär 23</w:t>
      </w:r>
      <w:r>
        <w:rPr>
          <w:color w:val="000000"/>
          <w:sz w:val="22"/>
          <w:szCs w:val="22"/>
          <w:lang w:val="sv-SE"/>
        </w:rPr>
        <w:t> </w:t>
      </w:r>
      <w:r w:rsidRPr="000E7AE9">
        <w:rPr>
          <w:color w:val="000000"/>
          <w:sz w:val="22"/>
          <w:szCs w:val="22"/>
          <w:lang w:val="sv-SE"/>
        </w:rPr>
        <w:t>% (90</w:t>
      </w:r>
      <w:r>
        <w:rPr>
          <w:color w:val="000000"/>
          <w:sz w:val="22"/>
          <w:szCs w:val="22"/>
          <w:lang w:val="sv-SE"/>
        </w:rPr>
        <w:t> </w:t>
      </w:r>
      <w:r w:rsidRPr="000E7AE9">
        <w:rPr>
          <w:color w:val="000000"/>
          <w:sz w:val="22"/>
          <w:szCs w:val="22"/>
          <w:lang w:val="sv-SE"/>
        </w:rPr>
        <w:t>% KI [1,16</w:t>
      </w:r>
      <w:r w:rsidRPr="000E7AE9">
        <w:rPr>
          <w:color w:val="000000"/>
          <w:sz w:val="22"/>
          <w:szCs w:val="22"/>
          <w:lang w:val="sv-SE"/>
        </w:rPr>
        <w:noBreakHyphen/>
        <w:t>1,30]). Dosjusteringar verkar inte vara nödvändiga när imatinib ges tillsammans med substrat för CYP2D6, försiktighet rekommenderas emellertid för substrat för CYP2D6 med ett snävt terapeutiskt fönster såsom metoprolol. Klinisk övervakning bör övervägas för patienter som behandlas med metoprolol.</w:t>
      </w:r>
    </w:p>
    <w:p w14:paraId="430C33C6" w14:textId="77777777" w:rsidR="00547CA2" w:rsidRPr="000E7AE9" w:rsidRDefault="00547CA2" w:rsidP="00463647">
      <w:pPr>
        <w:pStyle w:val="TextChar"/>
        <w:widowControl w:val="0"/>
        <w:spacing w:before="0"/>
        <w:jc w:val="left"/>
        <w:rPr>
          <w:color w:val="000000"/>
          <w:sz w:val="22"/>
          <w:szCs w:val="22"/>
          <w:lang w:val="sv-SE"/>
        </w:rPr>
      </w:pPr>
    </w:p>
    <w:p w14:paraId="462B02E1" w14:textId="77777777" w:rsidR="00547CA2" w:rsidRPr="00D75953" w:rsidRDefault="00547CA2" w:rsidP="00463647">
      <w:pPr>
        <w:pStyle w:val="TextChar"/>
        <w:widowControl w:val="0"/>
        <w:spacing w:before="0"/>
        <w:jc w:val="left"/>
        <w:rPr>
          <w:color w:val="000000"/>
          <w:sz w:val="22"/>
          <w:szCs w:val="22"/>
          <w:lang w:val="sv-SE"/>
        </w:rPr>
      </w:pPr>
      <w:r w:rsidRPr="000E7AE9">
        <w:rPr>
          <w:color w:val="000000"/>
          <w:sz w:val="22"/>
          <w:szCs w:val="22"/>
          <w:lang w:val="sv-SE"/>
        </w:rPr>
        <w:t xml:space="preserve">Glivec inhiberar paracetamols O-glukuronidering </w:t>
      </w:r>
      <w:r w:rsidRPr="000E7AE9">
        <w:rPr>
          <w:i/>
          <w:color w:val="000000"/>
          <w:sz w:val="22"/>
          <w:szCs w:val="22"/>
          <w:lang w:val="sv-SE"/>
        </w:rPr>
        <w:t>in vitro</w:t>
      </w:r>
      <w:r>
        <w:rPr>
          <w:color w:val="000000"/>
          <w:sz w:val="22"/>
          <w:szCs w:val="22"/>
          <w:lang w:val="sv-SE"/>
        </w:rPr>
        <w:t xml:space="preserve"> med </w:t>
      </w:r>
      <w:r w:rsidRPr="000E7AE9">
        <w:rPr>
          <w:color w:val="000000"/>
          <w:sz w:val="22"/>
          <w:szCs w:val="22"/>
          <w:lang w:val="sv-SE"/>
        </w:rPr>
        <w:t>K</w:t>
      </w:r>
      <w:r w:rsidRPr="000E7AE9">
        <w:rPr>
          <w:color w:val="000000"/>
          <w:sz w:val="22"/>
          <w:szCs w:val="22"/>
          <w:vertAlign w:val="subscript"/>
          <w:lang w:val="sv-SE"/>
        </w:rPr>
        <w:t>i</w:t>
      </w:r>
      <w:r w:rsidRPr="000E7AE9">
        <w:rPr>
          <w:color w:val="000000"/>
          <w:sz w:val="22"/>
          <w:szCs w:val="22"/>
          <w:lang w:val="sv-SE"/>
        </w:rPr>
        <w:t>-värde på 58,5 mikromol/l.</w:t>
      </w:r>
      <w:r>
        <w:rPr>
          <w:color w:val="000000"/>
          <w:sz w:val="22"/>
          <w:szCs w:val="22"/>
          <w:lang w:val="sv-SE"/>
        </w:rPr>
        <w:t xml:space="preserve"> Denna inhibering har inte observerats </w:t>
      </w:r>
      <w:r>
        <w:rPr>
          <w:i/>
          <w:color w:val="000000"/>
          <w:sz w:val="22"/>
          <w:szCs w:val="22"/>
          <w:lang w:val="sv-SE"/>
        </w:rPr>
        <w:t xml:space="preserve">in vivo </w:t>
      </w:r>
      <w:r>
        <w:rPr>
          <w:color w:val="000000"/>
          <w:sz w:val="22"/>
          <w:szCs w:val="22"/>
          <w:lang w:val="sv-SE"/>
        </w:rPr>
        <w:t>vid administrering av Glivec 400 mg och paracetamol 1000 mg. Högre doser av Glivec och paracetamol har inte studerats.</w:t>
      </w:r>
    </w:p>
    <w:p w14:paraId="7B1A444E" w14:textId="77777777" w:rsidR="00547CA2" w:rsidRPr="000E7AE9" w:rsidRDefault="00547CA2" w:rsidP="00463647">
      <w:pPr>
        <w:pStyle w:val="TextChar"/>
        <w:widowControl w:val="0"/>
        <w:spacing w:before="0"/>
        <w:jc w:val="left"/>
        <w:rPr>
          <w:color w:val="000000"/>
          <w:sz w:val="22"/>
          <w:szCs w:val="22"/>
          <w:lang w:val="sv-SE"/>
        </w:rPr>
      </w:pPr>
    </w:p>
    <w:p w14:paraId="39BB6AFC"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 xml:space="preserve">Försiktighet skall därför iakttas när </w:t>
      </w:r>
      <w:r>
        <w:rPr>
          <w:color w:val="000000"/>
          <w:sz w:val="22"/>
          <w:szCs w:val="22"/>
          <w:lang w:val="sv-SE"/>
        </w:rPr>
        <w:t xml:space="preserve">höga doser av </w:t>
      </w:r>
      <w:r w:rsidRPr="000E7AE9">
        <w:rPr>
          <w:color w:val="000000"/>
          <w:sz w:val="22"/>
          <w:szCs w:val="22"/>
          <w:lang w:val="sv-SE"/>
        </w:rPr>
        <w:t>Glivec och paracetamol används samtidigt.</w:t>
      </w:r>
    </w:p>
    <w:p w14:paraId="660408C1" w14:textId="77777777" w:rsidR="00547CA2" w:rsidRPr="00F16450" w:rsidRDefault="00547CA2" w:rsidP="00463647">
      <w:pPr>
        <w:pStyle w:val="EndnoteText"/>
        <w:widowControl w:val="0"/>
        <w:tabs>
          <w:tab w:val="clear" w:pos="567"/>
        </w:tabs>
        <w:rPr>
          <w:lang w:val="sv-SE"/>
        </w:rPr>
      </w:pPr>
    </w:p>
    <w:p w14:paraId="43D0D1B1"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Hos patienter som genomgått tyreoidektomi och som behandlas med levotyroxin, kan exponeringen av levotyroxin i plasma minskas vid samtidig behandling med Glivec (se avsnitt 4.4). Försiktighet rekommenderas därför. Emellertid, mekanismen för den observerade interaktionen är för närvarande okänd.</w:t>
      </w:r>
    </w:p>
    <w:p w14:paraId="3D095DA0" w14:textId="77777777" w:rsidR="00547CA2" w:rsidRPr="000E7AE9" w:rsidRDefault="00547CA2" w:rsidP="00463647">
      <w:pPr>
        <w:pStyle w:val="EndnoteText"/>
        <w:widowControl w:val="0"/>
        <w:tabs>
          <w:tab w:val="clear" w:pos="567"/>
        </w:tabs>
        <w:rPr>
          <w:color w:val="000000"/>
          <w:szCs w:val="22"/>
          <w:lang w:val="sv-SE"/>
        </w:rPr>
      </w:pPr>
    </w:p>
    <w:p w14:paraId="2B59934D"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Det finns klinisk erfarenhet av samtidig administrering av Glivec och kemoterapi (se avsnitt 5.1) hos Ph+ ALL-patienter, men läkemedelsinteraktioner mellan imatinib- och kemoterapibehandlingar är inte väl karakteriserade. Biverkningar hos imatinib, t ex levertoxicitet, benmärgssuppression eller andra, kan öka och det har rapporterats att samtidigt användning av L-asparaginas skulle kunna vara förknippad med ökad levertoxicitet (se avsnitt 4.8). Därför krävs särskild försiktighet vid användning av Glivec i kombination.</w:t>
      </w:r>
    </w:p>
    <w:p w14:paraId="2674B216" w14:textId="77777777" w:rsidR="00547CA2" w:rsidRPr="000E7AE9" w:rsidRDefault="00547CA2" w:rsidP="00463647">
      <w:pPr>
        <w:pStyle w:val="EndnoteText"/>
        <w:widowControl w:val="0"/>
        <w:tabs>
          <w:tab w:val="clear" w:pos="567"/>
        </w:tabs>
        <w:rPr>
          <w:color w:val="000000"/>
          <w:szCs w:val="22"/>
          <w:lang w:val="sv-SE"/>
        </w:rPr>
      </w:pPr>
    </w:p>
    <w:p w14:paraId="65E0C9E9" w14:textId="77777777" w:rsidR="00547CA2" w:rsidRPr="000E7AE9" w:rsidRDefault="00547CA2" w:rsidP="00463647">
      <w:pPr>
        <w:pStyle w:val="Heading4"/>
        <w:widowControl w:val="0"/>
        <w:spacing w:line="240" w:lineRule="auto"/>
        <w:rPr>
          <w:noProof w:val="0"/>
          <w:color w:val="000000"/>
          <w:szCs w:val="22"/>
          <w:lang w:val="sv-SE"/>
        </w:rPr>
      </w:pPr>
      <w:r w:rsidRPr="000E7AE9">
        <w:rPr>
          <w:noProof w:val="0"/>
          <w:color w:val="000000"/>
          <w:szCs w:val="22"/>
          <w:lang w:val="sv-SE"/>
        </w:rPr>
        <w:t>4.6</w:t>
      </w:r>
      <w:r w:rsidRPr="000E7AE9">
        <w:rPr>
          <w:noProof w:val="0"/>
          <w:color w:val="000000"/>
          <w:szCs w:val="22"/>
          <w:lang w:val="sv-SE"/>
        </w:rPr>
        <w:tab/>
      </w:r>
      <w:r>
        <w:rPr>
          <w:noProof w:val="0"/>
          <w:color w:val="000000"/>
          <w:szCs w:val="22"/>
          <w:lang w:val="sv-SE"/>
        </w:rPr>
        <w:t>Fertilitet, g</w:t>
      </w:r>
      <w:r w:rsidRPr="000E7AE9">
        <w:rPr>
          <w:noProof w:val="0"/>
          <w:color w:val="000000"/>
          <w:szCs w:val="22"/>
          <w:lang w:val="sv-SE"/>
        </w:rPr>
        <w:t>raviditet och amning</w:t>
      </w:r>
    </w:p>
    <w:p w14:paraId="7BAEDA44" w14:textId="77777777" w:rsidR="00547CA2" w:rsidRPr="000E7AE9" w:rsidRDefault="00547CA2" w:rsidP="00463647">
      <w:pPr>
        <w:pStyle w:val="EndnoteText"/>
        <w:keepNext/>
        <w:widowControl w:val="0"/>
        <w:rPr>
          <w:color w:val="000000"/>
          <w:szCs w:val="22"/>
          <w:lang w:val="sv-SE"/>
        </w:rPr>
      </w:pPr>
    </w:p>
    <w:p w14:paraId="7DF84EBF" w14:textId="77777777" w:rsidR="00547CA2" w:rsidRPr="008504F2" w:rsidRDefault="00547CA2" w:rsidP="00463647">
      <w:pPr>
        <w:pStyle w:val="EndnoteText"/>
        <w:keepNext/>
        <w:widowControl w:val="0"/>
        <w:rPr>
          <w:color w:val="000000"/>
          <w:szCs w:val="22"/>
          <w:u w:val="single"/>
          <w:lang w:val="sv-SE"/>
        </w:rPr>
      </w:pPr>
      <w:r w:rsidRPr="008504F2">
        <w:rPr>
          <w:color w:val="000000"/>
          <w:szCs w:val="22"/>
          <w:u w:val="single"/>
          <w:lang w:val="sv-SE"/>
        </w:rPr>
        <w:t>Fertila kvinnor</w:t>
      </w:r>
    </w:p>
    <w:p w14:paraId="39F1F2E4" w14:textId="77777777" w:rsidR="00547CA2" w:rsidRPr="000E7AE9" w:rsidRDefault="00547CA2" w:rsidP="00463647">
      <w:pPr>
        <w:pStyle w:val="EndnoteText"/>
        <w:widowControl w:val="0"/>
        <w:rPr>
          <w:color w:val="000000"/>
          <w:szCs w:val="22"/>
          <w:lang w:val="sv-SE"/>
        </w:rPr>
      </w:pPr>
      <w:r>
        <w:rPr>
          <w:color w:val="000000"/>
          <w:szCs w:val="22"/>
          <w:lang w:val="sv-SE"/>
        </w:rPr>
        <w:t xml:space="preserve">Fertila kvinnor </w:t>
      </w:r>
      <w:r w:rsidRPr="000E7AE9">
        <w:rPr>
          <w:color w:val="000000"/>
          <w:szCs w:val="22"/>
          <w:lang w:val="sv-SE"/>
        </w:rPr>
        <w:t>skall uppmanas å det bestämdaste att använda effektiv preventivmetod under behandlingen</w:t>
      </w:r>
      <w:r w:rsidR="00B10EAC">
        <w:rPr>
          <w:color w:val="000000"/>
          <w:szCs w:val="22"/>
          <w:lang w:val="sv-SE"/>
        </w:rPr>
        <w:t xml:space="preserve"> och under minst 15 dagar efter avslutad behandling med Glivec</w:t>
      </w:r>
      <w:r w:rsidRPr="000E7AE9">
        <w:rPr>
          <w:color w:val="000000"/>
          <w:szCs w:val="22"/>
          <w:lang w:val="sv-SE"/>
        </w:rPr>
        <w:t>.</w:t>
      </w:r>
    </w:p>
    <w:p w14:paraId="11FFF843" w14:textId="77777777" w:rsidR="00547CA2" w:rsidRDefault="00547CA2" w:rsidP="00463647">
      <w:pPr>
        <w:pStyle w:val="EndnoteText"/>
        <w:widowControl w:val="0"/>
        <w:rPr>
          <w:color w:val="000000"/>
          <w:szCs w:val="22"/>
          <w:u w:val="single"/>
          <w:lang w:val="sv-SE"/>
        </w:rPr>
      </w:pPr>
    </w:p>
    <w:p w14:paraId="23E3D73E" w14:textId="77777777" w:rsidR="00547CA2" w:rsidRPr="000E7AE9" w:rsidRDefault="00547CA2" w:rsidP="00463647">
      <w:pPr>
        <w:pStyle w:val="EndnoteText"/>
        <w:keepNext/>
        <w:widowControl w:val="0"/>
        <w:rPr>
          <w:color w:val="000000"/>
          <w:szCs w:val="22"/>
          <w:u w:val="single"/>
          <w:lang w:val="sv-SE"/>
        </w:rPr>
      </w:pPr>
      <w:r w:rsidRPr="000E7AE9">
        <w:rPr>
          <w:color w:val="000000"/>
          <w:szCs w:val="22"/>
          <w:u w:val="single"/>
          <w:lang w:val="sv-SE"/>
        </w:rPr>
        <w:lastRenderedPageBreak/>
        <w:t>Graviditet</w:t>
      </w:r>
    </w:p>
    <w:p w14:paraId="76C52223" w14:textId="77777777" w:rsidR="00547CA2" w:rsidRDefault="00547CA2" w:rsidP="00463647">
      <w:pPr>
        <w:pStyle w:val="EndnoteText"/>
        <w:widowControl w:val="0"/>
        <w:rPr>
          <w:color w:val="000000"/>
          <w:szCs w:val="22"/>
          <w:lang w:val="sv-SE"/>
        </w:rPr>
      </w:pPr>
      <w:r>
        <w:rPr>
          <w:color w:val="000000"/>
          <w:szCs w:val="22"/>
          <w:lang w:val="sv-SE"/>
        </w:rPr>
        <w:t xml:space="preserve">Det finns begränsad mängd </w:t>
      </w:r>
      <w:r w:rsidRPr="000E7AE9">
        <w:rPr>
          <w:color w:val="000000"/>
          <w:szCs w:val="22"/>
          <w:lang w:val="sv-SE"/>
        </w:rPr>
        <w:t xml:space="preserve">data från behandling av gravida kvinnor med imatinib. </w:t>
      </w:r>
      <w:r w:rsidR="00B67ABB">
        <w:rPr>
          <w:color w:val="000000"/>
          <w:szCs w:val="22"/>
          <w:lang w:val="sv-SE"/>
        </w:rPr>
        <w:t>Efter marknadsgodkännandet har det förekommit rapporter om spontana aborter och medf</w:t>
      </w:r>
      <w:r w:rsidR="00116EAF">
        <w:rPr>
          <w:color w:val="000000"/>
          <w:szCs w:val="22"/>
          <w:lang w:val="sv-SE"/>
        </w:rPr>
        <w:t>ö</w:t>
      </w:r>
      <w:r w:rsidR="00B67ABB">
        <w:rPr>
          <w:color w:val="000000"/>
          <w:szCs w:val="22"/>
          <w:lang w:val="sv-SE"/>
        </w:rPr>
        <w:t xml:space="preserve">dda missbildningar från kvinnor som har tagit Glivec. </w:t>
      </w:r>
      <w:r w:rsidRPr="000E7AE9">
        <w:rPr>
          <w:color w:val="000000"/>
          <w:szCs w:val="22"/>
          <w:lang w:val="sv-SE"/>
        </w:rPr>
        <w:t>Djurstudier har visat reproduktionstoxikologiska effekter (se avsnitt 5.3). Risken för fostret är okänd. Glivec skall användas under graviditet endast då det är absolut nödvändigt. Om läkemedlet används under graviditet måste patienten informeras om risken för fostret.</w:t>
      </w:r>
    </w:p>
    <w:p w14:paraId="03BB96E6" w14:textId="77777777" w:rsidR="00547CA2" w:rsidRPr="000E7AE9" w:rsidRDefault="00547CA2" w:rsidP="00463647">
      <w:pPr>
        <w:pStyle w:val="EndnoteText"/>
        <w:widowControl w:val="0"/>
        <w:rPr>
          <w:color w:val="000000"/>
          <w:szCs w:val="22"/>
          <w:lang w:val="sv-SE"/>
        </w:rPr>
      </w:pPr>
    </w:p>
    <w:p w14:paraId="4E98A489" w14:textId="77777777" w:rsidR="00547CA2" w:rsidRPr="000E7AE9" w:rsidRDefault="00547CA2" w:rsidP="00463647">
      <w:pPr>
        <w:pStyle w:val="EndnoteText"/>
        <w:keepNext/>
        <w:widowControl w:val="0"/>
        <w:rPr>
          <w:color w:val="000000"/>
          <w:szCs w:val="22"/>
          <w:lang w:val="sv-SE"/>
        </w:rPr>
      </w:pPr>
      <w:r w:rsidRPr="000E7AE9">
        <w:rPr>
          <w:color w:val="000000"/>
          <w:szCs w:val="22"/>
          <w:u w:val="single"/>
          <w:lang w:val="sv-SE"/>
        </w:rPr>
        <w:t>Amning</w:t>
      </w:r>
    </w:p>
    <w:p w14:paraId="50ECF156" w14:textId="023CD718" w:rsidR="00547CA2" w:rsidRDefault="00547CA2" w:rsidP="00463647">
      <w:pPr>
        <w:pStyle w:val="EndnoteText"/>
        <w:widowControl w:val="0"/>
        <w:rPr>
          <w:color w:val="000000"/>
          <w:szCs w:val="22"/>
          <w:lang w:val="sv-SE"/>
        </w:rPr>
      </w:pPr>
      <w:r>
        <w:rPr>
          <w:color w:val="000000"/>
          <w:szCs w:val="22"/>
          <w:lang w:val="sv-SE"/>
        </w:rPr>
        <w:t>Det finns begränsad information om imatinibs distribution i människomjölk. Studier på två ammande kvinnor visar att både imatinib och dess aktiva metabolit kan distribueras i människomjölk. Mjölk-plasma-ratio studerad i en enstaka patient bestämdes till 0,5 för imatinib och 0,9 for metaboliten, vilket tyder på större distribution av metaboliten i mjölken. Med hänsyn taget till total koncentration av imatinib och metabolit tillsammans och maximalt dygnsintag mjölk hos spädbarn skulle den totala exponeringen förväntas vara låg (</w:t>
      </w:r>
      <w:r w:rsidRPr="002450AF">
        <w:rPr>
          <w:lang w:val="sv-SE"/>
        </w:rPr>
        <w:t>~10</w:t>
      </w:r>
      <w:r>
        <w:rPr>
          <w:lang w:val="sv-SE"/>
        </w:rPr>
        <w:t> </w:t>
      </w:r>
      <w:r w:rsidRPr="002450AF">
        <w:rPr>
          <w:lang w:val="sv-SE"/>
        </w:rPr>
        <w:t>% av en terapeutisk dos).</w:t>
      </w:r>
      <w:r>
        <w:rPr>
          <w:color w:val="000000"/>
          <w:szCs w:val="22"/>
          <w:lang w:val="sv-SE"/>
        </w:rPr>
        <w:t xml:space="preserve"> Då effekt av exponering i låg dos på ett spädbarn är okänd bör dock kvinnor inte amma</w:t>
      </w:r>
      <w:r w:rsidR="00B10EAC">
        <w:rPr>
          <w:color w:val="000000"/>
          <w:szCs w:val="22"/>
          <w:lang w:val="sv-SE"/>
        </w:rPr>
        <w:t xml:space="preserve"> under behandling och under minst 15 dagar efter avslutad behandling med Glivec</w:t>
      </w:r>
      <w:r>
        <w:rPr>
          <w:color w:val="000000"/>
          <w:szCs w:val="22"/>
          <w:lang w:val="sv-SE"/>
        </w:rPr>
        <w:t>.</w:t>
      </w:r>
    </w:p>
    <w:p w14:paraId="2CF35AB7" w14:textId="77777777" w:rsidR="00547CA2" w:rsidRDefault="00547CA2" w:rsidP="00463647">
      <w:pPr>
        <w:pStyle w:val="EndnoteText"/>
        <w:widowControl w:val="0"/>
        <w:rPr>
          <w:color w:val="000000"/>
          <w:szCs w:val="22"/>
          <w:lang w:val="sv-SE"/>
        </w:rPr>
      </w:pPr>
    </w:p>
    <w:p w14:paraId="0EEBFC98" w14:textId="77777777" w:rsidR="00547CA2" w:rsidRDefault="00547CA2" w:rsidP="00463647">
      <w:pPr>
        <w:pStyle w:val="EndnoteText"/>
        <w:keepNext/>
        <w:widowControl w:val="0"/>
        <w:rPr>
          <w:color w:val="000000"/>
          <w:szCs w:val="22"/>
          <w:lang w:val="sv-SE"/>
        </w:rPr>
      </w:pPr>
      <w:r>
        <w:rPr>
          <w:color w:val="000000"/>
          <w:szCs w:val="22"/>
          <w:u w:val="single"/>
          <w:lang w:val="sv-SE"/>
        </w:rPr>
        <w:t>Fertilitet</w:t>
      </w:r>
    </w:p>
    <w:p w14:paraId="0E460C18" w14:textId="77777777" w:rsidR="00547CA2" w:rsidRPr="009B5411" w:rsidRDefault="00547CA2" w:rsidP="00463647">
      <w:pPr>
        <w:pStyle w:val="EndnoteText"/>
        <w:widowControl w:val="0"/>
        <w:rPr>
          <w:color w:val="000000"/>
          <w:szCs w:val="22"/>
          <w:lang w:val="sv-SE"/>
        </w:rPr>
      </w:pPr>
      <w:r>
        <w:rPr>
          <w:color w:val="000000"/>
          <w:szCs w:val="22"/>
          <w:lang w:val="sv-SE"/>
        </w:rPr>
        <w:t>I pre-kliniska studier, var fertilitet hos han- och honråttor ej påverkad</w:t>
      </w:r>
      <w:r w:rsidR="00B10EAC">
        <w:rPr>
          <w:color w:val="000000"/>
          <w:szCs w:val="22"/>
          <w:lang w:val="sv-SE"/>
        </w:rPr>
        <w:t>, även om effekter på reproduktionsparametrar observerades</w:t>
      </w:r>
      <w:r>
        <w:rPr>
          <w:color w:val="000000"/>
          <w:szCs w:val="22"/>
          <w:lang w:val="sv-SE"/>
        </w:rPr>
        <w:t xml:space="preserve"> (se avsnitt 5.3). Humana studier på patienter som fått Glivec och effekten på fertilitet och gametogenes har inte utförts. Patienter som är oroliga över sin fertilitet vid behandling med Glivec bör rådgöra med läkare.</w:t>
      </w:r>
    </w:p>
    <w:p w14:paraId="304AA307" w14:textId="77777777" w:rsidR="00547CA2" w:rsidRPr="000E7AE9" w:rsidRDefault="00547CA2" w:rsidP="00463647">
      <w:pPr>
        <w:pStyle w:val="EndnoteText"/>
        <w:widowControl w:val="0"/>
        <w:rPr>
          <w:color w:val="000000"/>
          <w:szCs w:val="22"/>
          <w:lang w:val="sv-SE"/>
        </w:rPr>
      </w:pPr>
    </w:p>
    <w:p w14:paraId="3A5D00C3" w14:textId="77777777" w:rsidR="00547CA2" w:rsidRPr="000E7AE9" w:rsidRDefault="00547CA2" w:rsidP="00463647">
      <w:pPr>
        <w:pStyle w:val="Heading4"/>
        <w:widowControl w:val="0"/>
        <w:spacing w:line="240" w:lineRule="auto"/>
        <w:rPr>
          <w:noProof w:val="0"/>
          <w:color w:val="000000"/>
          <w:szCs w:val="22"/>
          <w:lang w:val="sv-SE"/>
        </w:rPr>
      </w:pPr>
      <w:r w:rsidRPr="000E7AE9">
        <w:rPr>
          <w:noProof w:val="0"/>
          <w:color w:val="000000"/>
          <w:szCs w:val="22"/>
          <w:lang w:val="sv-SE"/>
        </w:rPr>
        <w:t>4.7</w:t>
      </w:r>
      <w:r w:rsidRPr="000E7AE9">
        <w:rPr>
          <w:noProof w:val="0"/>
          <w:color w:val="000000"/>
          <w:szCs w:val="22"/>
          <w:lang w:val="sv-SE"/>
        </w:rPr>
        <w:tab/>
        <w:t>Effekter på förmåga</w:t>
      </w:r>
      <w:r>
        <w:rPr>
          <w:noProof w:val="0"/>
          <w:color w:val="000000"/>
          <w:szCs w:val="22"/>
          <w:lang w:val="sv-SE"/>
        </w:rPr>
        <w:t>n</w:t>
      </w:r>
      <w:r w:rsidRPr="000E7AE9">
        <w:rPr>
          <w:noProof w:val="0"/>
          <w:color w:val="000000"/>
          <w:szCs w:val="22"/>
          <w:lang w:val="sv-SE"/>
        </w:rPr>
        <w:t xml:space="preserve"> att framföra fordon och använda maskiner</w:t>
      </w:r>
    </w:p>
    <w:p w14:paraId="1CF2FBAE" w14:textId="77777777" w:rsidR="00547CA2" w:rsidRPr="000E7AE9" w:rsidRDefault="00547CA2" w:rsidP="00463647">
      <w:pPr>
        <w:pStyle w:val="EndnoteText"/>
        <w:keepNext/>
        <w:widowControl w:val="0"/>
        <w:tabs>
          <w:tab w:val="clear" w:pos="567"/>
        </w:tabs>
        <w:rPr>
          <w:color w:val="000000"/>
          <w:szCs w:val="22"/>
          <w:lang w:val="sv-SE"/>
        </w:rPr>
      </w:pPr>
    </w:p>
    <w:p w14:paraId="30ADF696" w14:textId="77777777" w:rsidR="00547CA2" w:rsidRPr="000E7AE9" w:rsidRDefault="00547CA2" w:rsidP="00463647">
      <w:pPr>
        <w:pStyle w:val="EndnoteText"/>
        <w:widowControl w:val="0"/>
        <w:tabs>
          <w:tab w:val="clear" w:pos="567"/>
        </w:tabs>
        <w:rPr>
          <w:color w:val="000000"/>
          <w:szCs w:val="22"/>
          <w:lang w:val="sv-SE"/>
        </w:rPr>
      </w:pPr>
      <w:r>
        <w:rPr>
          <w:snapToGrid w:val="0"/>
          <w:color w:val="000000"/>
          <w:szCs w:val="22"/>
          <w:lang w:val="sv-SE"/>
        </w:rPr>
        <w:t>P</w:t>
      </w:r>
      <w:r w:rsidRPr="000E7AE9">
        <w:rPr>
          <w:snapToGrid w:val="0"/>
          <w:color w:val="000000"/>
          <w:szCs w:val="22"/>
          <w:lang w:val="sv-SE"/>
        </w:rPr>
        <w:t>atienterna</w:t>
      </w:r>
      <w:r>
        <w:rPr>
          <w:snapToGrid w:val="0"/>
          <w:color w:val="000000"/>
          <w:szCs w:val="22"/>
          <w:lang w:val="sv-SE"/>
        </w:rPr>
        <w:t xml:space="preserve"> ska</w:t>
      </w:r>
      <w:r w:rsidRPr="000E7AE9">
        <w:rPr>
          <w:snapToGrid w:val="0"/>
          <w:color w:val="000000"/>
          <w:szCs w:val="22"/>
          <w:lang w:val="sv-SE"/>
        </w:rPr>
        <w:t xml:space="preserve"> informeras om att de kan uppleva biverkningar som yrsel</w:t>
      </w:r>
      <w:r>
        <w:rPr>
          <w:snapToGrid w:val="0"/>
          <w:color w:val="000000"/>
          <w:szCs w:val="22"/>
          <w:lang w:val="sv-SE"/>
        </w:rPr>
        <w:t>,</w:t>
      </w:r>
      <w:r w:rsidRPr="000E7AE9">
        <w:rPr>
          <w:snapToGrid w:val="0"/>
          <w:color w:val="000000"/>
          <w:szCs w:val="22"/>
          <w:lang w:val="sv-SE"/>
        </w:rPr>
        <w:t xml:space="preserve"> dimsyn</w:t>
      </w:r>
      <w:r>
        <w:rPr>
          <w:snapToGrid w:val="0"/>
          <w:color w:val="000000"/>
          <w:szCs w:val="22"/>
          <w:lang w:val="sv-SE"/>
        </w:rPr>
        <w:t xml:space="preserve"> eller trötthet</w:t>
      </w:r>
      <w:r w:rsidRPr="000E7AE9">
        <w:rPr>
          <w:snapToGrid w:val="0"/>
          <w:color w:val="000000"/>
          <w:szCs w:val="22"/>
          <w:lang w:val="sv-SE"/>
        </w:rPr>
        <w:t xml:space="preserve"> under behandlingen med imatinib. Därför skall man uppmana till försiktighet vid bilkörning eller användning av maskiner.</w:t>
      </w:r>
    </w:p>
    <w:p w14:paraId="1CD9B10F" w14:textId="77777777" w:rsidR="00547CA2" w:rsidRPr="000E7AE9" w:rsidRDefault="00547CA2" w:rsidP="00463647">
      <w:pPr>
        <w:pStyle w:val="EndnoteText"/>
        <w:widowControl w:val="0"/>
        <w:tabs>
          <w:tab w:val="clear" w:pos="567"/>
        </w:tabs>
        <w:rPr>
          <w:color w:val="000000"/>
          <w:szCs w:val="22"/>
          <w:lang w:val="sv-SE"/>
        </w:rPr>
      </w:pPr>
    </w:p>
    <w:p w14:paraId="666A5ABF" w14:textId="77777777" w:rsidR="00547CA2" w:rsidRPr="000E7AE9" w:rsidRDefault="00547CA2" w:rsidP="00463647">
      <w:pPr>
        <w:pStyle w:val="Heading4"/>
        <w:widowControl w:val="0"/>
        <w:spacing w:line="240" w:lineRule="auto"/>
        <w:rPr>
          <w:noProof w:val="0"/>
          <w:color w:val="000000"/>
          <w:szCs w:val="22"/>
          <w:lang w:val="sv-SE"/>
        </w:rPr>
      </w:pPr>
      <w:r w:rsidRPr="000E7AE9">
        <w:rPr>
          <w:noProof w:val="0"/>
          <w:color w:val="000000"/>
          <w:szCs w:val="22"/>
          <w:lang w:val="sv-SE"/>
        </w:rPr>
        <w:t>4.8</w:t>
      </w:r>
      <w:r w:rsidRPr="000E7AE9">
        <w:rPr>
          <w:noProof w:val="0"/>
          <w:color w:val="000000"/>
          <w:szCs w:val="22"/>
          <w:lang w:val="sv-SE"/>
        </w:rPr>
        <w:tab/>
        <w:t>Biverkningar</w:t>
      </w:r>
    </w:p>
    <w:p w14:paraId="19284A79" w14:textId="77777777" w:rsidR="00547CA2" w:rsidRPr="000E7AE9" w:rsidRDefault="00547CA2" w:rsidP="00463647">
      <w:pPr>
        <w:keepNext/>
        <w:widowControl w:val="0"/>
        <w:tabs>
          <w:tab w:val="clear" w:pos="567"/>
        </w:tabs>
        <w:spacing w:line="240" w:lineRule="auto"/>
        <w:rPr>
          <w:color w:val="000000"/>
          <w:szCs w:val="22"/>
          <w:lang w:val="sv-SE"/>
        </w:rPr>
      </w:pPr>
    </w:p>
    <w:p w14:paraId="39BDCBD0"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Patienter med avancerade maligniteter kan ha flera andra symtom relaterade till grundsjukdomen, dess progression och samtidig behandling med flera andra läkemedel vilket försvårar bedömningen av ett eventuellt orsakssamband vid misstänkt biverkan.</w:t>
      </w:r>
    </w:p>
    <w:p w14:paraId="4140CBD2" w14:textId="77777777" w:rsidR="00547CA2" w:rsidRPr="000E7AE9" w:rsidRDefault="00547CA2" w:rsidP="00463647">
      <w:pPr>
        <w:pStyle w:val="TextChar"/>
        <w:widowControl w:val="0"/>
        <w:spacing w:before="0"/>
        <w:jc w:val="left"/>
        <w:rPr>
          <w:color w:val="000000"/>
          <w:sz w:val="22"/>
          <w:szCs w:val="22"/>
          <w:lang w:val="sv-SE"/>
        </w:rPr>
      </w:pPr>
    </w:p>
    <w:p w14:paraId="6DD80849"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Behandlingsavbrott på grund av läkemedelsrelaterade biverkningar i kliniska prövningar på KML observerades hos 2,4</w:t>
      </w:r>
      <w:r>
        <w:rPr>
          <w:color w:val="000000"/>
          <w:sz w:val="22"/>
          <w:szCs w:val="22"/>
          <w:lang w:val="sv-SE"/>
        </w:rPr>
        <w:t> </w:t>
      </w:r>
      <w:r w:rsidRPr="000E7AE9">
        <w:rPr>
          <w:color w:val="000000"/>
          <w:sz w:val="22"/>
          <w:szCs w:val="22"/>
          <w:lang w:val="sv-SE"/>
        </w:rPr>
        <w:t>% av nyligen diagnostiserade patienter, 4</w:t>
      </w:r>
      <w:r>
        <w:rPr>
          <w:color w:val="000000"/>
          <w:sz w:val="22"/>
          <w:szCs w:val="22"/>
          <w:lang w:val="sv-SE"/>
        </w:rPr>
        <w:t> </w:t>
      </w:r>
      <w:r w:rsidRPr="000E7AE9">
        <w:rPr>
          <w:color w:val="000000"/>
          <w:sz w:val="22"/>
          <w:szCs w:val="22"/>
          <w:lang w:val="sv-SE"/>
        </w:rPr>
        <w:t>% av patienter i sen kronisk fas efter att ha sviktat på interferonbehandling, 4</w:t>
      </w:r>
      <w:r>
        <w:rPr>
          <w:color w:val="000000"/>
          <w:sz w:val="22"/>
          <w:szCs w:val="22"/>
          <w:lang w:val="sv-SE"/>
        </w:rPr>
        <w:t> </w:t>
      </w:r>
      <w:r w:rsidRPr="000E7AE9">
        <w:rPr>
          <w:color w:val="000000"/>
          <w:sz w:val="22"/>
          <w:szCs w:val="22"/>
          <w:lang w:val="sv-SE"/>
        </w:rPr>
        <w:t>% av patienter i accelererad fas efter att ha sviktat på interferonbehandling och 5</w:t>
      </w:r>
      <w:r>
        <w:rPr>
          <w:color w:val="000000"/>
          <w:sz w:val="22"/>
          <w:szCs w:val="22"/>
          <w:lang w:val="sv-SE"/>
        </w:rPr>
        <w:t> </w:t>
      </w:r>
      <w:r w:rsidRPr="000E7AE9">
        <w:rPr>
          <w:color w:val="000000"/>
          <w:sz w:val="22"/>
          <w:szCs w:val="22"/>
          <w:lang w:val="sv-SE"/>
        </w:rPr>
        <w:t>% av patienter i blastkris efter att ha sviktat på interferonbehandling. Vid GIST avbröts användningen av studieläkemedlet på grund av läkemedelsrelaterade biverkningar hos 4</w:t>
      </w:r>
      <w:r>
        <w:rPr>
          <w:color w:val="000000"/>
          <w:sz w:val="22"/>
          <w:szCs w:val="22"/>
          <w:lang w:val="sv-SE"/>
        </w:rPr>
        <w:t> </w:t>
      </w:r>
      <w:r w:rsidRPr="000E7AE9">
        <w:rPr>
          <w:color w:val="000000"/>
          <w:sz w:val="22"/>
          <w:szCs w:val="22"/>
          <w:lang w:val="sv-SE"/>
        </w:rPr>
        <w:t>% av patienterna.</w:t>
      </w:r>
    </w:p>
    <w:p w14:paraId="13C2BFEC" w14:textId="77777777" w:rsidR="00547CA2" w:rsidRPr="000E7AE9" w:rsidRDefault="00547CA2" w:rsidP="00463647">
      <w:pPr>
        <w:pStyle w:val="TextChar"/>
        <w:widowControl w:val="0"/>
        <w:spacing w:before="0"/>
        <w:jc w:val="left"/>
        <w:rPr>
          <w:color w:val="000000"/>
          <w:sz w:val="22"/>
          <w:szCs w:val="22"/>
          <w:lang w:val="sv-SE"/>
        </w:rPr>
      </w:pPr>
    </w:p>
    <w:p w14:paraId="31498DB0"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 xml:space="preserve">Biverkningarna var likartade vid alla indikationer, med två undantag. Det förekom mer myelosuppression hos KML-patienterna än vid GIST, vilket troligen beror på den underliggande sjukdomen. I studien </w:t>
      </w:r>
      <w:r>
        <w:rPr>
          <w:color w:val="000000"/>
          <w:sz w:val="22"/>
          <w:szCs w:val="22"/>
          <w:lang w:val="sv-SE"/>
        </w:rPr>
        <w:t>på patienter med icke-resercerbar och/eller metastaserande</w:t>
      </w:r>
      <w:r w:rsidRPr="000E7AE9">
        <w:rPr>
          <w:color w:val="000000"/>
          <w:sz w:val="22"/>
          <w:szCs w:val="22"/>
          <w:lang w:val="sv-SE"/>
        </w:rPr>
        <w:t xml:space="preserve"> GIST upplevde 7 (5</w:t>
      </w:r>
      <w:r>
        <w:rPr>
          <w:color w:val="000000"/>
          <w:sz w:val="22"/>
          <w:szCs w:val="22"/>
          <w:lang w:val="sv-SE"/>
        </w:rPr>
        <w:t> </w:t>
      </w:r>
      <w:r w:rsidRPr="000E7AE9">
        <w:rPr>
          <w:color w:val="000000"/>
          <w:sz w:val="22"/>
          <w:szCs w:val="22"/>
          <w:lang w:val="sv-SE"/>
        </w:rPr>
        <w:t>%) patienter GI-blödningar av Common Toxicity Criteria, CTC-nivå 3/4 (3 patienter), intratumorala blödningar (3 patienter) eller båda (1 patient). Lokaliseringen av GI-tumörerna kan ha varit ursprunget till GI-blödningarna (se avsnitt 4.4). Gastrointestinala och tumorala blödningar kan vara allvarliga och i vissa fall dödliga. De vanligast förekommande (</w:t>
      </w:r>
      <w:r w:rsidRPr="000E7AE9">
        <w:rPr>
          <w:snapToGrid w:val="0"/>
          <w:color w:val="000000"/>
          <w:sz w:val="22"/>
          <w:szCs w:val="22"/>
          <w:lang w:val="sv-SE"/>
        </w:rPr>
        <w:sym w:font="Symbol" w:char="F0B3"/>
      </w:r>
      <w:r w:rsidRPr="000E7AE9">
        <w:rPr>
          <w:snapToGrid w:val="0"/>
          <w:color w:val="000000"/>
          <w:sz w:val="22"/>
          <w:szCs w:val="22"/>
          <w:lang w:val="sv-SE"/>
        </w:rPr>
        <w:t> </w:t>
      </w:r>
      <w:r w:rsidRPr="000E7AE9">
        <w:rPr>
          <w:color w:val="000000"/>
          <w:sz w:val="22"/>
          <w:szCs w:val="22"/>
          <w:lang w:val="sv-SE"/>
        </w:rPr>
        <w:t>10</w:t>
      </w:r>
      <w:r>
        <w:rPr>
          <w:color w:val="000000"/>
          <w:sz w:val="22"/>
          <w:szCs w:val="22"/>
          <w:lang w:val="sv-SE"/>
        </w:rPr>
        <w:t> </w:t>
      </w:r>
      <w:r w:rsidRPr="000E7AE9">
        <w:rPr>
          <w:color w:val="000000"/>
          <w:sz w:val="22"/>
          <w:szCs w:val="22"/>
          <w:lang w:val="sv-SE"/>
        </w:rPr>
        <w:t>%) läkemedelsrelaterade biverkningarna i båda fallen var lätt illamående, kräkning, diarré, buksmärta, trötthet, myalgi, muskelkramper och hudutslag. Ytliga ödem var vanligt förekommande i alla studier och beskrevs i första hand såsom periorbitala eller underbensödem. Dessa ödem var dock sällan allvarliga och kunde behandlas med hjälp av diuretika och andra understödjande åtgärder eller genom minskning av Glivec-dosen.</w:t>
      </w:r>
    </w:p>
    <w:p w14:paraId="6DCD6151" w14:textId="77777777" w:rsidR="00547CA2" w:rsidRPr="000E7AE9" w:rsidRDefault="00547CA2" w:rsidP="00463647">
      <w:pPr>
        <w:pStyle w:val="TextChar"/>
        <w:widowControl w:val="0"/>
        <w:spacing w:before="0"/>
        <w:jc w:val="left"/>
        <w:rPr>
          <w:color w:val="000000"/>
          <w:sz w:val="22"/>
          <w:szCs w:val="22"/>
          <w:lang w:val="sv-SE"/>
        </w:rPr>
      </w:pPr>
    </w:p>
    <w:p w14:paraId="7B1B4C18"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När imatinib kombinerades med kemoterapi i högdos på Ph+ ALL-patienter observerades övergående levertoxicitet i form av förhöjning av transaminaser och hyperbilirubinemi.</w:t>
      </w:r>
      <w:r>
        <w:rPr>
          <w:color w:val="000000"/>
          <w:sz w:val="22"/>
          <w:szCs w:val="22"/>
          <w:lang w:val="sv-SE"/>
        </w:rPr>
        <w:t xml:space="preserve"> Med hänsyn till den </w:t>
      </w:r>
      <w:r>
        <w:rPr>
          <w:color w:val="000000"/>
          <w:sz w:val="22"/>
          <w:szCs w:val="22"/>
          <w:lang w:val="sv-SE"/>
        </w:rPr>
        <w:lastRenderedPageBreak/>
        <w:t>begränsade säkerhetsdatabasen, så är de biverkningar som hittills rapporterats hos barn överensstämmande med den kända säkerhetsprofilen hos vuxna patienter med Ph+ ALL. Säkerhetsdatabasen för barn med Ph+ ALL är mycket begränsad, men inga nya säkerhetsproblem har identifierats.</w:t>
      </w:r>
    </w:p>
    <w:p w14:paraId="614335AB" w14:textId="77777777" w:rsidR="00547CA2" w:rsidRPr="000E7AE9" w:rsidRDefault="00547CA2" w:rsidP="00463647">
      <w:pPr>
        <w:pStyle w:val="TextChar"/>
        <w:widowControl w:val="0"/>
        <w:spacing w:before="0"/>
        <w:jc w:val="left"/>
        <w:rPr>
          <w:color w:val="000000"/>
          <w:sz w:val="22"/>
          <w:szCs w:val="22"/>
          <w:lang w:val="sv-SE"/>
        </w:rPr>
      </w:pPr>
    </w:p>
    <w:p w14:paraId="6A6ED230"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Olika biverkningar såsom pleurautgjutning, ascites, lungödem och snabb viktuppgång med eller utan ytligt ödem kan sammantaget benämnas ”vätskeretention”. Dessa biverkningar kan vanligen hanteras genom att tillfälligt hålla inne behandlingen med Glivec och ge diuretika och andra adekvata understödjande åtgärder. I en del fall kan dock dessa biverkningar vara allvarliga eller livshotande och ett flertal patienter med blastkris dog med en komplex klinisk bild av pleurautgjutning, hjärtsvikt och njursvikt. Inga särskilda säkerhetsfynd noterades i kliniska prövningar på barn.</w:t>
      </w:r>
    </w:p>
    <w:p w14:paraId="388258F3" w14:textId="77777777" w:rsidR="00547CA2" w:rsidRPr="000E7AE9" w:rsidRDefault="00547CA2" w:rsidP="00463647">
      <w:pPr>
        <w:pStyle w:val="TextChar"/>
        <w:widowControl w:val="0"/>
        <w:spacing w:before="0"/>
        <w:jc w:val="left"/>
        <w:rPr>
          <w:color w:val="000000"/>
          <w:sz w:val="22"/>
          <w:szCs w:val="22"/>
          <w:lang w:val="sv-SE"/>
        </w:rPr>
      </w:pPr>
    </w:p>
    <w:p w14:paraId="7B9B3020" w14:textId="77777777" w:rsidR="00547CA2" w:rsidRPr="000E7AE9" w:rsidRDefault="00547CA2" w:rsidP="00463647">
      <w:pPr>
        <w:pStyle w:val="TextChar"/>
        <w:keepNext/>
        <w:widowControl w:val="0"/>
        <w:spacing w:before="0"/>
        <w:jc w:val="left"/>
        <w:rPr>
          <w:b/>
          <w:color w:val="000000"/>
          <w:sz w:val="22"/>
          <w:szCs w:val="22"/>
          <w:lang w:val="sv-SE"/>
        </w:rPr>
      </w:pPr>
      <w:r w:rsidRPr="000E7AE9">
        <w:rPr>
          <w:b/>
          <w:color w:val="000000"/>
          <w:sz w:val="22"/>
          <w:szCs w:val="22"/>
          <w:lang w:val="sv-SE"/>
        </w:rPr>
        <w:t>Biverkningar</w:t>
      </w:r>
    </w:p>
    <w:p w14:paraId="0B923144"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Biverkningar som förekommer i mer än isolerade fall anges nedan, enligt organklass och frekvens. Frekvens</w:t>
      </w:r>
      <w:r>
        <w:rPr>
          <w:color w:val="000000"/>
          <w:sz w:val="22"/>
          <w:szCs w:val="22"/>
          <w:lang w:val="sv-SE"/>
        </w:rPr>
        <w:t>kategorierna</w:t>
      </w:r>
      <w:r w:rsidRPr="000E7AE9">
        <w:rPr>
          <w:color w:val="000000"/>
          <w:sz w:val="22"/>
          <w:szCs w:val="22"/>
          <w:lang w:val="sv-SE"/>
        </w:rPr>
        <w:t xml:space="preserve"> definieras </w:t>
      </w:r>
      <w:r>
        <w:rPr>
          <w:color w:val="000000"/>
          <w:sz w:val="22"/>
          <w:szCs w:val="22"/>
          <w:lang w:val="sv-SE"/>
        </w:rPr>
        <w:t>utifrån följande konvention</w:t>
      </w:r>
      <w:r w:rsidRPr="000E7AE9">
        <w:rPr>
          <w:color w:val="000000"/>
          <w:sz w:val="22"/>
          <w:szCs w:val="22"/>
          <w:lang w:val="sv-SE"/>
        </w:rPr>
        <w:t>: Mycket vanliga (</w:t>
      </w:r>
      <w:r>
        <w:rPr>
          <w:color w:val="000000"/>
          <w:sz w:val="22"/>
          <w:szCs w:val="22"/>
          <w:lang w:val="sv-SE"/>
        </w:rPr>
        <w:sym w:font="Symbol" w:char="F0B3"/>
      </w:r>
      <w:r w:rsidRPr="000E7AE9">
        <w:rPr>
          <w:color w:val="000000"/>
          <w:sz w:val="22"/>
          <w:szCs w:val="22"/>
          <w:lang w:val="sv-SE"/>
        </w:rPr>
        <w:t>1/10), vanliga (</w:t>
      </w:r>
      <w:r>
        <w:rPr>
          <w:color w:val="000000"/>
          <w:sz w:val="22"/>
          <w:szCs w:val="22"/>
          <w:lang w:val="sv-SE"/>
        </w:rPr>
        <w:sym w:font="Symbol" w:char="F0B3"/>
      </w:r>
      <w:r w:rsidRPr="000E7AE9">
        <w:rPr>
          <w:color w:val="000000"/>
          <w:sz w:val="22"/>
          <w:szCs w:val="22"/>
          <w:lang w:val="sv-SE"/>
        </w:rPr>
        <w:t xml:space="preserve">1/100, </w:t>
      </w:r>
      <w:r>
        <w:rPr>
          <w:color w:val="000000"/>
          <w:sz w:val="22"/>
          <w:szCs w:val="22"/>
          <w:lang w:val="sv-SE"/>
        </w:rPr>
        <w:t>&lt;</w:t>
      </w:r>
      <w:r w:rsidRPr="000E7AE9">
        <w:rPr>
          <w:color w:val="000000"/>
          <w:sz w:val="22"/>
          <w:szCs w:val="22"/>
          <w:lang w:val="sv-SE"/>
        </w:rPr>
        <w:t xml:space="preserve">1/10), </w:t>
      </w:r>
      <w:r>
        <w:rPr>
          <w:color w:val="000000"/>
          <w:sz w:val="22"/>
          <w:szCs w:val="22"/>
          <w:lang w:val="sv-SE"/>
        </w:rPr>
        <w:t>mindre vanliga</w:t>
      </w:r>
      <w:r w:rsidRPr="000E7AE9">
        <w:rPr>
          <w:color w:val="000000"/>
          <w:sz w:val="22"/>
          <w:szCs w:val="22"/>
          <w:lang w:val="sv-SE"/>
        </w:rPr>
        <w:t xml:space="preserve"> (</w:t>
      </w:r>
      <w:r>
        <w:rPr>
          <w:color w:val="000000"/>
          <w:sz w:val="22"/>
          <w:szCs w:val="22"/>
          <w:lang w:val="sv-SE"/>
        </w:rPr>
        <w:sym w:font="Symbol" w:char="F0B3"/>
      </w:r>
      <w:r w:rsidRPr="000E7AE9">
        <w:rPr>
          <w:color w:val="000000"/>
          <w:sz w:val="22"/>
          <w:szCs w:val="22"/>
          <w:lang w:val="sv-SE"/>
        </w:rPr>
        <w:t xml:space="preserve">1/1 000, </w:t>
      </w:r>
      <w:r w:rsidRPr="000E7AE9">
        <w:rPr>
          <w:color w:val="000000"/>
          <w:sz w:val="22"/>
          <w:szCs w:val="22"/>
          <w:lang w:val="sv-SE"/>
        </w:rPr>
        <w:sym w:font="Symbol" w:char="F020"/>
      </w:r>
      <w:r>
        <w:rPr>
          <w:color w:val="000000"/>
          <w:sz w:val="22"/>
          <w:szCs w:val="22"/>
          <w:lang w:val="sv-SE"/>
        </w:rPr>
        <w:t>&lt;</w:t>
      </w:r>
      <w:r w:rsidRPr="000E7AE9">
        <w:rPr>
          <w:color w:val="000000"/>
          <w:sz w:val="22"/>
          <w:szCs w:val="22"/>
          <w:lang w:val="sv-SE"/>
        </w:rPr>
        <w:t>1/100), sällsynta (</w:t>
      </w:r>
      <w:r>
        <w:rPr>
          <w:color w:val="000000"/>
          <w:sz w:val="22"/>
          <w:szCs w:val="22"/>
          <w:lang w:val="sv-SE"/>
        </w:rPr>
        <w:sym w:font="Symbol" w:char="F0B3"/>
      </w:r>
      <w:r>
        <w:rPr>
          <w:color w:val="000000"/>
          <w:sz w:val="22"/>
          <w:szCs w:val="22"/>
          <w:lang w:val="sv-SE"/>
        </w:rPr>
        <w:t>1/10 000, &lt;</w:t>
      </w:r>
      <w:r w:rsidRPr="000E7AE9">
        <w:rPr>
          <w:color w:val="000000"/>
          <w:sz w:val="22"/>
          <w:szCs w:val="22"/>
          <w:lang w:val="sv-SE"/>
        </w:rPr>
        <w:t>1/1 000),</w:t>
      </w:r>
      <w:r>
        <w:rPr>
          <w:color w:val="000000"/>
          <w:sz w:val="22"/>
          <w:szCs w:val="22"/>
          <w:lang w:val="sv-SE"/>
        </w:rPr>
        <w:t xml:space="preserve"> mycket sällsynta (&lt;10 000), ingen </w:t>
      </w:r>
      <w:r w:rsidRPr="000E7AE9">
        <w:rPr>
          <w:noProof/>
          <w:color w:val="000000"/>
          <w:sz w:val="22"/>
          <w:szCs w:val="22"/>
          <w:lang w:val="sv-SE"/>
        </w:rPr>
        <w:t>känd frekvens (kan inte beräknas från tillgängliga data).</w:t>
      </w:r>
    </w:p>
    <w:p w14:paraId="0278B814" w14:textId="77777777" w:rsidR="00547CA2" w:rsidRPr="000E7AE9" w:rsidRDefault="00547CA2" w:rsidP="00463647">
      <w:pPr>
        <w:pStyle w:val="TextChar"/>
        <w:widowControl w:val="0"/>
        <w:spacing w:before="0"/>
        <w:jc w:val="left"/>
        <w:rPr>
          <w:color w:val="000000"/>
          <w:sz w:val="22"/>
          <w:szCs w:val="22"/>
          <w:lang w:val="sv-SE"/>
        </w:rPr>
      </w:pPr>
    </w:p>
    <w:p w14:paraId="6C3A777C" w14:textId="77777777" w:rsidR="00547CA2" w:rsidRPr="000E7AE9" w:rsidRDefault="00547CA2" w:rsidP="00463647">
      <w:pPr>
        <w:pStyle w:val="TextChar"/>
        <w:widowControl w:val="0"/>
        <w:spacing w:before="0"/>
        <w:jc w:val="left"/>
        <w:rPr>
          <w:color w:val="000000"/>
          <w:sz w:val="22"/>
          <w:szCs w:val="22"/>
          <w:lang w:val="sv-SE"/>
        </w:rPr>
      </w:pPr>
      <w:r w:rsidRPr="000E7AE9">
        <w:rPr>
          <w:noProof/>
          <w:color w:val="000000"/>
          <w:sz w:val="22"/>
          <w:szCs w:val="22"/>
          <w:lang w:val="sv-SE"/>
        </w:rPr>
        <w:t>Biverkningarna presenteras inom varje frekvensområde i fallande frekvensordning.</w:t>
      </w:r>
    </w:p>
    <w:p w14:paraId="1A06ADF0" w14:textId="77777777" w:rsidR="00547CA2" w:rsidRPr="000E7AE9" w:rsidRDefault="00547CA2" w:rsidP="00463647">
      <w:pPr>
        <w:widowControl w:val="0"/>
        <w:spacing w:line="240" w:lineRule="auto"/>
        <w:rPr>
          <w:color w:val="000000"/>
          <w:szCs w:val="22"/>
          <w:lang w:val="sv-SE"/>
        </w:rPr>
      </w:pPr>
    </w:p>
    <w:p w14:paraId="0D4B8B29" w14:textId="77777777" w:rsidR="00547CA2" w:rsidRPr="000E7AE9" w:rsidRDefault="00547CA2" w:rsidP="00463647">
      <w:pPr>
        <w:widowControl w:val="0"/>
        <w:spacing w:line="240" w:lineRule="auto"/>
        <w:rPr>
          <w:noProof/>
          <w:color w:val="000000"/>
          <w:szCs w:val="22"/>
          <w:lang w:val="sv-SE"/>
        </w:rPr>
      </w:pPr>
      <w:r w:rsidRPr="000E7AE9">
        <w:rPr>
          <w:noProof/>
          <w:color w:val="000000"/>
          <w:szCs w:val="22"/>
          <w:lang w:val="sv-SE"/>
        </w:rPr>
        <w:t>Biverkningarna och deras frekvenser rapportera</w:t>
      </w:r>
      <w:r w:rsidR="00413182">
        <w:rPr>
          <w:noProof/>
          <w:color w:val="000000"/>
          <w:szCs w:val="22"/>
          <w:lang w:val="sv-SE"/>
        </w:rPr>
        <w:t>s</w:t>
      </w:r>
      <w:r w:rsidRPr="000E7AE9">
        <w:rPr>
          <w:noProof/>
          <w:color w:val="000000"/>
          <w:szCs w:val="22"/>
          <w:lang w:val="sv-SE"/>
        </w:rPr>
        <w:t xml:space="preserve"> i Tabell 1</w:t>
      </w:r>
      <w:r w:rsidR="00413182">
        <w:rPr>
          <w:noProof/>
          <w:color w:val="000000"/>
          <w:szCs w:val="22"/>
          <w:lang w:val="sv-SE"/>
        </w:rPr>
        <w:t>.</w:t>
      </w:r>
    </w:p>
    <w:p w14:paraId="26265580" w14:textId="77777777" w:rsidR="00547CA2" w:rsidRPr="000E7AE9" w:rsidRDefault="00547CA2" w:rsidP="00463647">
      <w:pPr>
        <w:pStyle w:val="TextChar"/>
        <w:widowControl w:val="0"/>
        <w:spacing w:before="0"/>
        <w:jc w:val="left"/>
        <w:rPr>
          <w:color w:val="000000"/>
          <w:sz w:val="22"/>
          <w:szCs w:val="22"/>
          <w:lang w:val="sv-SE"/>
        </w:rPr>
      </w:pPr>
    </w:p>
    <w:p w14:paraId="27AACC6B" w14:textId="77777777" w:rsidR="00547CA2" w:rsidRPr="000E7AE9" w:rsidRDefault="00547CA2" w:rsidP="00463647">
      <w:pPr>
        <w:pStyle w:val="TextChar"/>
        <w:keepNext/>
        <w:widowControl w:val="0"/>
        <w:spacing w:before="0"/>
        <w:jc w:val="left"/>
        <w:rPr>
          <w:b/>
          <w:color w:val="000000"/>
          <w:sz w:val="22"/>
          <w:szCs w:val="22"/>
          <w:lang w:val="sv-SE"/>
        </w:rPr>
      </w:pPr>
      <w:r w:rsidRPr="000E7AE9">
        <w:rPr>
          <w:b/>
          <w:color w:val="000000"/>
          <w:sz w:val="22"/>
          <w:szCs w:val="22"/>
          <w:lang w:val="sv-SE"/>
        </w:rPr>
        <w:t>Tabell 1</w:t>
      </w:r>
      <w:r w:rsidRPr="000E7AE9">
        <w:rPr>
          <w:b/>
          <w:color w:val="000000"/>
          <w:sz w:val="22"/>
          <w:szCs w:val="22"/>
          <w:lang w:val="sv-SE"/>
        </w:rPr>
        <w:tab/>
      </w:r>
      <w:r w:rsidR="00413182">
        <w:rPr>
          <w:b/>
          <w:color w:val="000000"/>
          <w:sz w:val="22"/>
          <w:szCs w:val="22"/>
          <w:lang w:val="sv-SE"/>
        </w:rPr>
        <w:t>Sammanfattning av biverkningar i tabellform</w:t>
      </w:r>
    </w:p>
    <w:p w14:paraId="5E70F232" w14:textId="77777777" w:rsidR="00547CA2" w:rsidRPr="000E7AE9" w:rsidRDefault="00547CA2" w:rsidP="00463647">
      <w:pPr>
        <w:keepNext/>
        <w:widowControl w:val="0"/>
        <w:spacing w:line="240" w:lineRule="auto"/>
        <w:rPr>
          <w:color w:val="000000"/>
          <w:szCs w:val="22"/>
          <w:lang w:val="sv-S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547CA2" w:rsidRPr="00C67B16" w14:paraId="1073D409" w14:textId="77777777" w:rsidTr="0040304A">
        <w:trPr>
          <w:cantSplit/>
        </w:trPr>
        <w:tc>
          <w:tcPr>
            <w:tcW w:w="9322" w:type="dxa"/>
            <w:gridSpan w:val="2"/>
          </w:tcPr>
          <w:p w14:paraId="2E085363" w14:textId="77777777" w:rsidR="00547CA2" w:rsidRPr="00C67B16" w:rsidRDefault="00547CA2" w:rsidP="00463647">
            <w:pPr>
              <w:keepNext/>
              <w:widowControl w:val="0"/>
              <w:spacing w:line="240" w:lineRule="auto"/>
              <w:rPr>
                <w:color w:val="000000"/>
                <w:szCs w:val="22"/>
                <w:lang w:val="sv-SE"/>
              </w:rPr>
            </w:pPr>
            <w:r w:rsidRPr="00C67B16">
              <w:rPr>
                <w:b/>
                <w:color w:val="000000"/>
                <w:szCs w:val="22"/>
                <w:lang w:val="sv-SE"/>
              </w:rPr>
              <w:t>Infektioner och infestationer</w:t>
            </w:r>
          </w:p>
        </w:tc>
      </w:tr>
      <w:tr w:rsidR="00547CA2" w:rsidRPr="00644A2E" w14:paraId="6203C61F" w14:textId="77777777" w:rsidTr="0040304A">
        <w:trPr>
          <w:cantSplit/>
        </w:trPr>
        <w:tc>
          <w:tcPr>
            <w:tcW w:w="2235" w:type="dxa"/>
          </w:tcPr>
          <w:p w14:paraId="469A134B"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1FE2FCAA"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Herpes zoster, herpes simplex, nasofaryngit, pneumoni</w:t>
            </w:r>
            <w:r w:rsidRPr="00C67B16">
              <w:rPr>
                <w:color w:val="000000"/>
                <w:szCs w:val="22"/>
                <w:vertAlign w:val="superscript"/>
                <w:lang w:val="sv-SE"/>
              </w:rPr>
              <w:t>1</w:t>
            </w:r>
            <w:r w:rsidRPr="00C67B16">
              <w:rPr>
                <w:color w:val="000000"/>
                <w:szCs w:val="22"/>
                <w:lang w:val="sv-SE"/>
              </w:rPr>
              <w:t>, sinuit, cellulit, övre luftvägsinfektion, influensa, urinvägsinfektion, gastroenterit, sepsis</w:t>
            </w:r>
          </w:p>
        </w:tc>
      </w:tr>
      <w:tr w:rsidR="00547CA2" w:rsidRPr="00C67B16" w14:paraId="5CB09CA5" w14:textId="77777777" w:rsidTr="0040304A">
        <w:trPr>
          <w:cantSplit/>
        </w:trPr>
        <w:tc>
          <w:tcPr>
            <w:tcW w:w="2235" w:type="dxa"/>
          </w:tcPr>
          <w:p w14:paraId="45D46E3A"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Sällsynta:</w:t>
            </w:r>
          </w:p>
        </w:tc>
        <w:tc>
          <w:tcPr>
            <w:tcW w:w="7087" w:type="dxa"/>
          </w:tcPr>
          <w:p w14:paraId="01956E2E"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Svampinfektion</w:t>
            </w:r>
          </w:p>
        </w:tc>
      </w:tr>
      <w:tr w:rsidR="00BA52AB" w:rsidRPr="00C67B16" w14:paraId="0485C5F7" w14:textId="77777777" w:rsidTr="0040304A">
        <w:trPr>
          <w:cantSplit/>
        </w:trPr>
        <w:tc>
          <w:tcPr>
            <w:tcW w:w="2235" w:type="dxa"/>
          </w:tcPr>
          <w:p w14:paraId="7E766026" w14:textId="77777777" w:rsidR="00BA52AB" w:rsidRPr="00C67B16" w:rsidRDefault="00BA52AB" w:rsidP="00463647">
            <w:pPr>
              <w:keepNext/>
              <w:widowControl w:val="0"/>
              <w:spacing w:line="240" w:lineRule="auto"/>
              <w:rPr>
                <w:i/>
                <w:color w:val="000000"/>
                <w:szCs w:val="22"/>
                <w:lang w:val="sv-SE"/>
              </w:rPr>
            </w:pPr>
            <w:r>
              <w:rPr>
                <w:i/>
                <w:color w:val="000000"/>
                <w:szCs w:val="22"/>
                <w:lang w:val="sv-SE"/>
              </w:rPr>
              <w:t>Ingen känd frekvens</w:t>
            </w:r>
            <w:r w:rsidR="005F1948">
              <w:rPr>
                <w:i/>
                <w:color w:val="000000"/>
                <w:szCs w:val="22"/>
                <w:lang w:val="sv-SE"/>
              </w:rPr>
              <w:t>:</w:t>
            </w:r>
          </w:p>
        </w:tc>
        <w:tc>
          <w:tcPr>
            <w:tcW w:w="7087" w:type="dxa"/>
          </w:tcPr>
          <w:p w14:paraId="1E5380ED" w14:textId="77777777" w:rsidR="00BA52AB" w:rsidRPr="00C67B16" w:rsidRDefault="00BA52AB" w:rsidP="00463647">
            <w:pPr>
              <w:keepNext/>
              <w:widowControl w:val="0"/>
              <w:spacing w:line="240" w:lineRule="auto"/>
              <w:rPr>
                <w:color w:val="000000"/>
                <w:szCs w:val="22"/>
                <w:lang w:val="sv-SE"/>
              </w:rPr>
            </w:pPr>
            <w:r>
              <w:rPr>
                <w:color w:val="000000"/>
                <w:szCs w:val="22"/>
                <w:lang w:val="sv-SE"/>
              </w:rPr>
              <w:t>Hepatit B-reaktivering</w:t>
            </w:r>
            <w:r w:rsidR="00A5222D">
              <w:rPr>
                <w:color w:val="000000"/>
                <w:szCs w:val="22"/>
                <w:lang w:val="sv-SE"/>
              </w:rPr>
              <w:t>*</w:t>
            </w:r>
          </w:p>
        </w:tc>
      </w:tr>
      <w:tr w:rsidR="00547CA2" w:rsidRPr="00F60A89" w14:paraId="25D5A14D" w14:textId="77777777" w:rsidTr="0040304A">
        <w:trPr>
          <w:cantSplit/>
        </w:trPr>
        <w:tc>
          <w:tcPr>
            <w:tcW w:w="9322" w:type="dxa"/>
            <w:gridSpan w:val="2"/>
          </w:tcPr>
          <w:p w14:paraId="1B083B3F" w14:textId="77777777" w:rsidR="00547CA2" w:rsidRPr="00C67B16" w:rsidRDefault="00547CA2" w:rsidP="00463647">
            <w:pPr>
              <w:keepNext/>
              <w:widowControl w:val="0"/>
              <w:spacing w:line="240" w:lineRule="auto"/>
              <w:rPr>
                <w:b/>
                <w:color w:val="000000"/>
                <w:szCs w:val="22"/>
                <w:lang w:val="sv-SE"/>
              </w:rPr>
            </w:pPr>
            <w:r>
              <w:rPr>
                <w:b/>
                <w:color w:val="000000"/>
                <w:szCs w:val="22"/>
                <w:lang w:val="sv-SE"/>
              </w:rPr>
              <w:t>Neoplasier; benigna, maligna och ospecificerade (samt cystor och polyper</w:t>
            </w:r>
            <w:r w:rsidRPr="0038538F">
              <w:rPr>
                <w:b/>
                <w:color w:val="000000"/>
                <w:szCs w:val="22"/>
                <w:lang w:val="sv-SE"/>
              </w:rPr>
              <w:t>)</w:t>
            </w:r>
          </w:p>
        </w:tc>
      </w:tr>
      <w:tr w:rsidR="00547CA2" w:rsidRPr="00C67B16" w14:paraId="25930A22" w14:textId="77777777" w:rsidTr="0040304A">
        <w:trPr>
          <w:cantSplit/>
        </w:trPr>
        <w:tc>
          <w:tcPr>
            <w:tcW w:w="2235" w:type="dxa"/>
          </w:tcPr>
          <w:p w14:paraId="0F99D068"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1ADCD98F" w14:textId="77777777" w:rsidR="00547CA2" w:rsidRPr="00C67B16" w:rsidRDefault="00547CA2" w:rsidP="00463647">
            <w:pPr>
              <w:keepNext/>
              <w:widowControl w:val="0"/>
              <w:spacing w:line="240" w:lineRule="auto"/>
              <w:rPr>
                <w:color w:val="000000"/>
                <w:lang w:val="sv-SE"/>
              </w:rPr>
            </w:pPr>
            <w:r>
              <w:rPr>
                <w:color w:val="000000"/>
                <w:szCs w:val="22"/>
                <w:lang w:val="sv-SE"/>
              </w:rPr>
              <w:t>Tumörlyssyndrom</w:t>
            </w:r>
          </w:p>
        </w:tc>
      </w:tr>
      <w:tr w:rsidR="00413182" w:rsidRPr="00C67B16" w14:paraId="7DCE990E" w14:textId="77777777" w:rsidTr="0040304A">
        <w:trPr>
          <w:cantSplit/>
        </w:trPr>
        <w:tc>
          <w:tcPr>
            <w:tcW w:w="2235" w:type="dxa"/>
          </w:tcPr>
          <w:p w14:paraId="14F88342" w14:textId="77777777" w:rsidR="00413182" w:rsidRPr="00C67B16" w:rsidRDefault="00413182"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1CD04AB4" w14:textId="77777777" w:rsidR="00413182" w:rsidRDefault="00413182" w:rsidP="00463647">
            <w:pPr>
              <w:widowControl w:val="0"/>
              <w:spacing w:line="240" w:lineRule="auto"/>
              <w:rPr>
                <w:color w:val="000000"/>
                <w:szCs w:val="22"/>
                <w:lang w:val="sv-SE"/>
              </w:rPr>
            </w:pPr>
            <w:r>
              <w:rPr>
                <w:color w:val="000000"/>
                <w:szCs w:val="22"/>
                <w:lang w:val="sv-SE"/>
              </w:rPr>
              <w:t>Tumörblödning/tumörnekros*</w:t>
            </w:r>
          </w:p>
        </w:tc>
      </w:tr>
      <w:tr w:rsidR="00413182" w:rsidRPr="00C67B16" w14:paraId="1F86E076" w14:textId="77777777" w:rsidTr="0040304A">
        <w:trPr>
          <w:cantSplit/>
        </w:trPr>
        <w:tc>
          <w:tcPr>
            <w:tcW w:w="9322" w:type="dxa"/>
            <w:gridSpan w:val="2"/>
          </w:tcPr>
          <w:p w14:paraId="79D29ABB" w14:textId="77777777" w:rsidR="00413182" w:rsidRPr="00C67B16" w:rsidRDefault="00413182" w:rsidP="00463647">
            <w:pPr>
              <w:keepNext/>
              <w:widowControl w:val="0"/>
              <w:spacing w:line="240" w:lineRule="auto"/>
              <w:rPr>
                <w:b/>
                <w:color w:val="000000"/>
                <w:szCs w:val="22"/>
                <w:lang w:val="sv-SE"/>
              </w:rPr>
            </w:pPr>
            <w:r>
              <w:rPr>
                <w:b/>
                <w:color w:val="000000"/>
                <w:szCs w:val="22"/>
                <w:lang w:val="sv-SE"/>
              </w:rPr>
              <w:t>Immunsystemet</w:t>
            </w:r>
          </w:p>
        </w:tc>
      </w:tr>
      <w:tr w:rsidR="00413182" w:rsidRPr="00C67B16" w14:paraId="6A97D619" w14:textId="77777777" w:rsidTr="0040304A">
        <w:trPr>
          <w:cantSplit/>
        </w:trPr>
        <w:tc>
          <w:tcPr>
            <w:tcW w:w="2235" w:type="dxa"/>
          </w:tcPr>
          <w:p w14:paraId="145DD155" w14:textId="77777777" w:rsidR="00413182" w:rsidRPr="00CA3C8F" w:rsidRDefault="00413182" w:rsidP="00463647">
            <w:pPr>
              <w:widowControl w:val="0"/>
              <w:spacing w:line="240" w:lineRule="auto"/>
              <w:rPr>
                <w:i/>
                <w:color w:val="000000"/>
                <w:szCs w:val="22"/>
                <w:lang w:val="sv-SE"/>
              </w:rPr>
            </w:pPr>
            <w:r w:rsidRPr="00CA3C8F">
              <w:rPr>
                <w:i/>
                <w:color w:val="000000"/>
                <w:szCs w:val="22"/>
                <w:lang w:val="sv-SE"/>
              </w:rPr>
              <w:t>Ingen känd frekvens</w:t>
            </w:r>
            <w:r>
              <w:rPr>
                <w:i/>
                <w:color w:val="000000"/>
                <w:szCs w:val="22"/>
                <w:lang w:val="sv-SE"/>
              </w:rPr>
              <w:t>:</w:t>
            </w:r>
          </w:p>
        </w:tc>
        <w:tc>
          <w:tcPr>
            <w:tcW w:w="7087" w:type="dxa"/>
          </w:tcPr>
          <w:p w14:paraId="6E3461C6" w14:textId="77777777" w:rsidR="00413182" w:rsidRPr="00CA3C8F" w:rsidRDefault="00413182" w:rsidP="00463647">
            <w:pPr>
              <w:widowControl w:val="0"/>
              <w:spacing w:line="240" w:lineRule="auto"/>
              <w:rPr>
                <w:color w:val="000000"/>
                <w:szCs w:val="22"/>
                <w:lang w:val="sv-SE"/>
              </w:rPr>
            </w:pPr>
            <w:r w:rsidRPr="00CA3C8F">
              <w:rPr>
                <w:color w:val="000000"/>
                <w:szCs w:val="22"/>
                <w:lang w:val="sv-SE"/>
              </w:rPr>
              <w:t>Ana</w:t>
            </w:r>
            <w:r w:rsidR="00CE14E8">
              <w:rPr>
                <w:color w:val="000000"/>
                <w:szCs w:val="22"/>
                <w:lang w:val="sv-SE"/>
              </w:rPr>
              <w:t>fylaktisk chock*</w:t>
            </w:r>
          </w:p>
        </w:tc>
      </w:tr>
      <w:tr w:rsidR="00547CA2" w:rsidRPr="00C67B16" w14:paraId="5EBC8236" w14:textId="77777777" w:rsidTr="0040304A">
        <w:trPr>
          <w:cantSplit/>
        </w:trPr>
        <w:tc>
          <w:tcPr>
            <w:tcW w:w="9322" w:type="dxa"/>
            <w:gridSpan w:val="2"/>
          </w:tcPr>
          <w:p w14:paraId="5DFD6FF2" w14:textId="77777777" w:rsidR="00547CA2" w:rsidRPr="00C67B16" w:rsidRDefault="00547CA2" w:rsidP="00463647">
            <w:pPr>
              <w:keepNext/>
              <w:widowControl w:val="0"/>
              <w:spacing w:line="240" w:lineRule="auto"/>
              <w:rPr>
                <w:color w:val="000000"/>
                <w:lang w:val="sv-SE"/>
              </w:rPr>
            </w:pPr>
            <w:r w:rsidRPr="00C67B16">
              <w:rPr>
                <w:b/>
                <w:color w:val="000000"/>
                <w:szCs w:val="22"/>
                <w:lang w:val="sv-SE"/>
              </w:rPr>
              <w:t>Blodet och lymfsystemet</w:t>
            </w:r>
          </w:p>
        </w:tc>
      </w:tr>
      <w:tr w:rsidR="00547CA2" w:rsidRPr="00C67B16" w14:paraId="637A369D" w14:textId="77777777" w:rsidTr="0040304A">
        <w:trPr>
          <w:cantSplit/>
        </w:trPr>
        <w:tc>
          <w:tcPr>
            <w:tcW w:w="2235" w:type="dxa"/>
          </w:tcPr>
          <w:p w14:paraId="00DC2FA8"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Mycket vanliga:</w:t>
            </w:r>
          </w:p>
        </w:tc>
        <w:tc>
          <w:tcPr>
            <w:tcW w:w="7087" w:type="dxa"/>
          </w:tcPr>
          <w:p w14:paraId="1A1CF1F0"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Neutropeni, trombocytopeni, anemi</w:t>
            </w:r>
          </w:p>
        </w:tc>
      </w:tr>
      <w:tr w:rsidR="00547CA2" w:rsidRPr="00C67B16" w14:paraId="0D35CD5E" w14:textId="77777777" w:rsidTr="0040304A">
        <w:trPr>
          <w:cantSplit/>
        </w:trPr>
        <w:tc>
          <w:tcPr>
            <w:tcW w:w="2235" w:type="dxa"/>
          </w:tcPr>
          <w:p w14:paraId="628E13BD"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7F9834FD"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Pancytopeni, febril neutropeni</w:t>
            </w:r>
          </w:p>
        </w:tc>
      </w:tr>
      <w:tr w:rsidR="00547CA2" w:rsidRPr="00644A2E" w14:paraId="2C733208" w14:textId="77777777" w:rsidTr="0040304A">
        <w:trPr>
          <w:cantSplit/>
        </w:trPr>
        <w:tc>
          <w:tcPr>
            <w:tcW w:w="2235" w:type="dxa"/>
          </w:tcPr>
          <w:p w14:paraId="64144193"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7824879B"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Trombocytemi, lymfopeni, benmärgsdepression, eosinofili, lymfadenopati</w:t>
            </w:r>
          </w:p>
        </w:tc>
      </w:tr>
      <w:tr w:rsidR="00547CA2" w:rsidRPr="00C67B16" w14:paraId="4679E454" w14:textId="77777777" w:rsidTr="0040304A">
        <w:trPr>
          <w:cantSplit/>
        </w:trPr>
        <w:tc>
          <w:tcPr>
            <w:tcW w:w="2235" w:type="dxa"/>
          </w:tcPr>
          <w:p w14:paraId="5A5325F6" w14:textId="77777777" w:rsidR="00547CA2" w:rsidRPr="00C67B16" w:rsidRDefault="00547CA2" w:rsidP="00463647">
            <w:pPr>
              <w:widowControl w:val="0"/>
              <w:spacing w:line="240" w:lineRule="auto"/>
              <w:rPr>
                <w:i/>
                <w:color w:val="000000"/>
                <w:lang w:val="sv-SE"/>
              </w:rPr>
            </w:pPr>
            <w:r w:rsidRPr="00C67B16">
              <w:rPr>
                <w:i/>
                <w:color w:val="000000"/>
                <w:szCs w:val="22"/>
                <w:lang w:val="sv-SE"/>
              </w:rPr>
              <w:t>Sällsynta</w:t>
            </w:r>
            <w:r w:rsidRPr="00C67B16">
              <w:rPr>
                <w:i/>
                <w:color w:val="000000"/>
                <w:lang w:val="sv-SE"/>
              </w:rPr>
              <w:t>:</w:t>
            </w:r>
          </w:p>
        </w:tc>
        <w:tc>
          <w:tcPr>
            <w:tcW w:w="7087" w:type="dxa"/>
          </w:tcPr>
          <w:p w14:paraId="42E42C07" w14:textId="77777777" w:rsidR="00547CA2" w:rsidRPr="00C67B16" w:rsidRDefault="00547CA2" w:rsidP="00463647">
            <w:pPr>
              <w:widowControl w:val="0"/>
              <w:spacing w:line="240" w:lineRule="auto"/>
              <w:rPr>
                <w:color w:val="000000"/>
                <w:lang w:val="sv-SE"/>
              </w:rPr>
            </w:pPr>
            <w:r w:rsidRPr="00C67B16">
              <w:rPr>
                <w:color w:val="000000"/>
                <w:lang w:val="sv-SE"/>
              </w:rPr>
              <w:t>Hemolytisk anemi</w:t>
            </w:r>
            <w:r w:rsidR="006B6245">
              <w:rPr>
                <w:color w:val="000000"/>
                <w:lang w:val="sv-SE"/>
              </w:rPr>
              <w:t>, trombotisk mikroangiopati</w:t>
            </w:r>
          </w:p>
        </w:tc>
      </w:tr>
      <w:tr w:rsidR="00547CA2" w:rsidRPr="00C67B16" w14:paraId="2BEE66FA" w14:textId="77777777" w:rsidTr="0040304A">
        <w:trPr>
          <w:cantSplit/>
        </w:trPr>
        <w:tc>
          <w:tcPr>
            <w:tcW w:w="9322" w:type="dxa"/>
            <w:gridSpan w:val="2"/>
          </w:tcPr>
          <w:p w14:paraId="4D3957E9" w14:textId="77777777" w:rsidR="00547CA2" w:rsidRPr="00C67B16" w:rsidRDefault="00547CA2" w:rsidP="00463647">
            <w:pPr>
              <w:keepNext/>
              <w:widowControl w:val="0"/>
              <w:spacing w:line="240" w:lineRule="auto"/>
              <w:rPr>
                <w:color w:val="000000"/>
                <w:szCs w:val="22"/>
                <w:lang w:val="sv-SE"/>
              </w:rPr>
            </w:pPr>
            <w:r w:rsidRPr="00C67B16">
              <w:rPr>
                <w:b/>
                <w:color w:val="000000"/>
                <w:szCs w:val="22"/>
                <w:lang w:val="sv-SE"/>
              </w:rPr>
              <w:t>Metabolism och nutrition</w:t>
            </w:r>
          </w:p>
        </w:tc>
      </w:tr>
      <w:tr w:rsidR="00547CA2" w:rsidRPr="00C67B16" w14:paraId="39714D60" w14:textId="77777777" w:rsidTr="0040304A">
        <w:trPr>
          <w:cantSplit/>
        </w:trPr>
        <w:tc>
          <w:tcPr>
            <w:tcW w:w="2235" w:type="dxa"/>
          </w:tcPr>
          <w:p w14:paraId="73F15CC9"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0D816E4E"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Anorexi</w:t>
            </w:r>
          </w:p>
        </w:tc>
      </w:tr>
      <w:tr w:rsidR="00547CA2" w:rsidRPr="00644A2E" w14:paraId="26827B01" w14:textId="77777777" w:rsidTr="0040304A">
        <w:trPr>
          <w:cantSplit/>
        </w:trPr>
        <w:tc>
          <w:tcPr>
            <w:tcW w:w="2235" w:type="dxa"/>
          </w:tcPr>
          <w:p w14:paraId="4AB227B4"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2FA9F756"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Hypokalemi, ökad aptit, hypofosfatemi, minskad aptit, dehydrering, gikt, hyperurikemi, hyperkalcemi, hyperglykemi, hyponatremi</w:t>
            </w:r>
          </w:p>
        </w:tc>
      </w:tr>
      <w:tr w:rsidR="00547CA2" w:rsidRPr="00C67B16" w14:paraId="7A7933EA" w14:textId="77777777" w:rsidTr="0040304A">
        <w:trPr>
          <w:cantSplit/>
        </w:trPr>
        <w:tc>
          <w:tcPr>
            <w:tcW w:w="2235" w:type="dxa"/>
          </w:tcPr>
          <w:p w14:paraId="76B5AA41" w14:textId="77777777" w:rsidR="00547CA2" w:rsidRPr="00C67B16" w:rsidRDefault="00547CA2" w:rsidP="00463647">
            <w:pPr>
              <w:widowControl w:val="0"/>
              <w:spacing w:line="240" w:lineRule="auto"/>
              <w:rPr>
                <w:i/>
                <w:color w:val="000000"/>
                <w:szCs w:val="22"/>
                <w:lang w:val="sv-SE"/>
              </w:rPr>
            </w:pPr>
            <w:r w:rsidRPr="00C67B16">
              <w:rPr>
                <w:i/>
                <w:color w:val="000000"/>
                <w:szCs w:val="22"/>
                <w:lang w:val="sv-SE"/>
              </w:rPr>
              <w:t>Sällsynta:</w:t>
            </w:r>
          </w:p>
        </w:tc>
        <w:tc>
          <w:tcPr>
            <w:tcW w:w="7087" w:type="dxa"/>
          </w:tcPr>
          <w:p w14:paraId="32517819" w14:textId="77777777" w:rsidR="00547CA2" w:rsidRPr="00C67B16" w:rsidRDefault="00547CA2" w:rsidP="00463647">
            <w:pPr>
              <w:widowControl w:val="0"/>
              <w:spacing w:line="240" w:lineRule="auto"/>
              <w:rPr>
                <w:color w:val="000000"/>
                <w:szCs w:val="22"/>
                <w:lang w:val="sv-SE"/>
              </w:rPr>
            </w:pPr>
            <w:r w:rsidRPr="00C67B16">
              <w:rPr>
                <w:color w:val="000000"/>
                <w:szCs w:val="22"/>
                <w:lang w:val="sv-SE"/>
              </w:rPr>
              <w:t>Hyperkalemi, hypomagnesemi</w:t>
            </w:r>
          </w:p>
        </w:tc>
      </w:tr>
      <w:tr w:rsidR="00547CA2" w:rsidRPr="00C67B16" w14:paraId="4F2EBDF2" w14:textId="77777777" w:rsidTr="0040304A">
        <w:trPr>
          <w:cantSplit/>
        </w:trPr>
        <w:tc>
          <w:tcPr>
            <w:tcW w:w="9322" w:type="dxa"/>
            <w:gridSpan w:val="2"/>
          </w:tcPr>
          <w:p w14:paraId="16C99A3C" w14:textId="77777777" w:rsidR="00547CA2" w:rsidRPr="00C67B16" w:rsidRDefault="00547CA2" w:rsidP="00463647">
            <w:pPr>
              <w:keepNext/>
              <w:widowControl w:val="0"/>
              <w:spacing w:line="240" w:lineRule="auto"/>
              <w:rPr>
                <w:color w:val="000000"/>
                <w:szCs w:val="22"/>
                <w:lang w:val="sv-SE"/>
              </w:rPr>
            </w:pPr>
            <w:r w:rsidRPr="00C67B16">
              <w:rPr>
                <w:b/>
                <w:color w:val="000000"/>
                <w:szCs w:val="22"/>
                <w:lang w:val="sv-SE"/>
              </w:rPr>
              <w:t>Psykiska störningar</w:t>
            </w:r>
          </w:p>
        </w:tc>
      </w:tr>
      <w:tr w:rsidR="00547CA2" w:rsidRPr="00C67B16" w14:paraId="4276A427" w14:textId="77777777" w:rsidTr="0040304A">
        <w:trPr>
          <w:cantSplit/>
        </w:trPr>
        <w:tc>
          <w:tcPr>
            <w:tcW w:w="2235" w:type="dxa"/>
          </w:tcPr>
          <w:p w14:paraId="4F39D810"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7922ADE8"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Insomnia</w:t>
            </w:r>
          </w:p>
        </w:tc>
      </w:tr>
      <w:tr w:rsidR="00547CA2" w:rsidRPr="00C67B16" w14:paraId="10431112" w14:textId="77777777" w:rsidTr="0040304A">
        <w:trPr>
          <w:cantSplit/>
        </w:trPr>
        <w:tc>
          <w:tcPr>
            <w:tcW w:w="2235" w:type="dxa"/>
          </w:tcPr>
          <w:p w14:paraId="5C844435"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59398F80"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Depression, minskad libido, ångest</w:t>
            </w:r>
          </w:p>
        </w:tc>
      </w:tr>
      <w:tr w:rsidR="00547CA2" w:rsidRPr="00C67B16" w14:paraId="74FFF72C" w14:textId="77777777" w:rsidTr="0040304A">
        <w:trPr>
          <w:cantSplit/>
        </w:trPr>
        <w:tc>
          <w:tcPr>
            <w:tcW w:w="2235" w:type="dxa"/>
          </w:tcPr>
          <w:p w14:paraId="77F2A4C5" w14:textId="77777777" w:rsidR="00547CA2" w:rsidRPr="00C67B16" w:rsidRDefault="00547CA2" w:rsidP="00463647">
            <w:pPr>
              <w:widowControl w:val="0"/>
              <w:spacing w:line="240" w:lineRule="auto"/>
              <w:rPr>
                <w:i/>
                <w:color w:val="000000"/>
                <w:szCs w:val="22"/>
                <w:lang w:val="sv-SE"/>
              </w:rPr>
            </w:pPr>
            <w:r w:rsidRPr="00C67B16">
              <w:rPr>
                <w:i/>
                <w:color w:val="000000"/>
                <w:szCs w:val="22"/>
                <w:lang w:val="sv-SE"/>
              </w:rPr>
              <w:t>Sällsynta:</w:t>
            </w:r>
          </w:p>
        </w:tc>
        <w:tc>
          <w:tcPr>
            <w:tcW w:w="7087" w:type="dxa"/>
          </w:tcPr>
          <w:p w14:paraId="32A8137A" w14:textId="77777777" w:rsidR="00547CA2" w:rsidRPr="00C67B16" w:rsidRDefault="00547CA2" w:rsidP="00463647">
            <w:pPr>
              <w:widowControl w:val="0"/>
              <w:spacing w:line="240" w:lineRule="auto"/>
              <w:rPr>
                <w:color w:val="000000"/>
                <w:szCs w:val="22"/>
                <w:lang w:val="sv-SE"/>
              </w:rPr>
            </w:pPr>
            <w:r w:rsidRPr="00C67B16">
              <w:rPr>
                <w:color w:val="000000"/>
                <w:szCs w:val="22"/>
                <w:lang w:val="sv-SE"/>
              </w:rPr>
              <w:t>Förvirring</w:t>
            </w:r>
          </w:p>
        </w:tc>
      </w:tr>
      <w:tr w:rsidR="00547CA2" w:rsidRPr="00C67B16" w14:paraId="7A32BD74" w14:textId="77777777" w:rsidTr="0040304A">
        <w:trPr>
          <w:cantSplit/>
        </w:trPr>
        <w:tc>
          <w:tcPr>
            <w:tcW w:w="9322" w:type="dxa"/>
            <w:gridSpan w:val="2"/>
          </w:tcPr>
          <w:p w14:paraId="1ABA5A9B" w14:textId="77777777" w:rsidR="00547CA2" w:rsidRPr="00C67B16" w:rsidRDefault="00547CA2" w:rsidP="00463647">
            <w:pPr>
              <w:keepNext/>
              <w:widowControl w:val="0"/>
              <w:spacing w:line="240" w:lineRule="auto"/>
              <w:rPr>
                <w:color w:val="000000"/>
                <w:lang w:val="sv-SE"/>
              </w:rPr>
            </w:pPr>
            <w:r w:rsidRPr="00C67B16">
              <w:rPr>
                <w:b/>
                <w:color w:val="000000"/>
                <w:szCs w:val="22"/>
                <w:lang w:val="sv-SE"/>
              </w:rPr>
              <w:t>Centrala och perifera nervsystemet</w:t>
            </w:r>
          </w:p>
        </w:tc>
      </w:tr>
      <w:tr w:rsidR="00547CA2" w:rsidRPr="00C67B16" w14:paraId="7EBC328F" w14:textId="77777777" w:rsidTr="0040304A">
        <w:trPr>
          <w:cantSplit/>
        </w:trPr>
        <w:tc>
          <w:tcPr>
            <w:tcW w:w="2235" w:type="dxa"/>
          </w:tcPr>
          <w:p w14:paraId="079B007B"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Mycket vanliga:</w:t>
            </w:r>
          </w:p>
        </w:tc>
        <w:tc>
          <w:tcPr>
            <w:tcW w:w="7087" w:type="dxa"/>
          </w:tcPr>
          <w:p w14:paraId="606E338B"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Huvudvärk</w:t>
            </w:r>
            <w:r w:rsidRPr="00C67B16">
              <w:rPr>
                <w:color w:val="000000"/>
                <w:szCs w:val="22"/>
                <w:vertAlign w:val="superscript"/>
                <w:lang w:val="sv-SE"/>
              </w:rPr>
              <w:t>2</w:t>
            </w:r>
          </w:p>
        </w:tc>
      </w:tr>
      <w:tr w:rsidR="00547CA2" w:rsidRPr="00C67B16" w14:paraId="5D62BEA6" w14:textId="77777777" w:rsidTr="0040304A">
        <w:trPr>
          <w:cantSplit/>
        </w:trPr>
        <w:tc>
          <w:tcPr>
            <w:tcW w:w="2235" w:type="dxa"/>
          </w:tcPr>
          <w:p w14:paraId="14EC9AB4"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53F79D84"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Yrsel, parestesier, smakstörning, hypestesi</w:t>
            </w:r>
          </w:p>
        </w:tc>
      </w:tr>
      <w:tr w:rsidR="00547CA2" w:rsidRPr="00644A2E" w14:paraId="71D92F4C" w14:textId="77777777" w:rsidTr="0040304A">
        <w:trPr>
          <w:cantSplit/>
        </w:trPr>
        <w:tc>
          <w:tcPr>
            <w:tcW w:w="2235" w:type="dxa"/>
          </w:tcPr>
          <w:p w14:paraId="3038BD26"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0BBD224A"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Migrän, somnolens, synkope, perifer neuropati, nedsatt minnesförmåga, ischiassmärta, restless legs syndrom, tremor, hjärnblödning</w:t>
            </w:r>
          </w:p>
        </w:tc>
      </w:tr>
      <w:tr w:rsidR="00547CA2" w:rsidRPr="00644A2E" w14:paraId="5D2C8F00" w14:textId="77777777" w:rsidTr="0040304A">
        <w:trPr>
          <w:cantSplit/>
        </w:trPr>
        <w:tc>
          <w:tcPr>
            <w:tcW w:w="2235" w:type="dxa"/>
          </w:tcPr>
          <w:p w14:paraId="33F85C37"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59F66925"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Ökat intrakraniellt tryck, kramper, opticusneurit</w:t>
            </w:r>
          </w:p>
        </w:tc>
      </w:tr>
      <w:tr w:rsidR="00CE14E8" w:rsidRPr="00C67B16" w14:paraId="1D33EBC8" w14:textId="77777777" w:rsidTr="0040304A">
        <w:trPr>
          <w:cantSplit/>
        </w:trPr>
        <w:tc>
          <w:tcPr>
            <w:tcW w:w="2235" w:type="dxa"/>
          </w:tcPr>
          <w:p w14:paraId="1176D5AF" w14:textId="77777777" w:rsidR="00CE14E8" w:rsidRPr="00C67B16" w:rsidRDefault="00CE14E8"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16F05685" w14:textId="77777777" w:rsidR="00CE14E8" w:rsidRPr="00C67B16" w:rsidRDefault="00CE14E8" w:rsidP="00463647">
            <w:pPr>
              <w:widowControl w:val="0"/>
              <w:spacing w:line="240" w:lineRule="auto"/>
              <w:rPr>
                <w:color w:val="000000"/>
                <w:szCs w:val="22"/>
                <w:lang w:val="sv-SE"/>
              </w:rPr>
            </w:pPr>
            <w:r>
              <w:rPr>
                <w:color w:val="000000"/>
                <w:szCs w:val="22"/>
                <w:lang w:val="sv-SE"/>
              </w:rPr>
              <w:t>Cerebralt ödem*</w:t>
            </w:r>
          </w:p>
        </w:tc>
      </w:tr>
      <w:tr w:rsidR="00547CA2" w:rsidRPr="00C67B16" w14:paraId="6B3F50C4" w14:textId="77777777" w:rsidTr="0040304A">
        <w:trPr>
          <w:cantSplit/>
        </w:trPr>
        <w:tc>
          <w:tcPr>
            <w:tcW w:w="9322" w:type="dxa"/>
            <w:gridSpan w:val="2"/>
          </w:tcPr>
          <w:p w14:paraId="6BE92BB9" w14:textId="77777777" w:rsidR="00547CA2" w:rsidRPr="00C67B16" w:rsidRDefault="00547CA2" w:rsidP="00463647">
            <w:pPr>
              <w:keepNext/>
              <w:widowControl w:val="0"/>
              <w:spacing w:line="240" w:lineRule="auto"/>
              <w:rPr>
                <w:color w:val="000000"/>
                <w:lang w:val="sv-SE"/>
              </w:rPr>
            </w:pPr>
            <w:r w:rsidRPr="00C67B16">
              <w:rPr>
                <w:b/>
                <w:color w:val="000000"/>
                <w:szCs w:val="22"/>
                <w:lang w:val="sv-SE"/>
              </w:rPr>
              <w:lastRenderedPageBreak/>
              <w:t>Ögon</w:t>
            </w:r>
          </w:p>
        </w:tc>
      </w:tr>
      <w:tr w:rsidR="00547CA2" w:rsidRPr="00644A2E" w14:paraId="53E852CE" w14:textId="77777777" w:rsidTr="0040304A">
        <w:trPr>
          <w:cantSplit/>
        </w:trPr>
        <w:tc>
          <w:tcPr>
            <w:tcW w:w="2235" w:type="dxa"/>
          </w:tcPr>
          <w:p w14:paraId="770A5314"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62222B69"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Ögonlocksödem, ökat tårflöde, bindhinneblödning, konjunktivit, torra ögon, dimsyn</w:t>
            </w:r>
          </w:p>
        </w:tc>
      </w:tr>
      <w:tr w:rsidR="00547CA2" w:rsidRPr="00644A2E" w14:paraId="7F73D538" w14:textId="77777777" w:rsidTr="0040304A">
        <w:trPr>
          <w:cantSplit/>
        </w:trPr>
        <w:tc>
          <w:tcPr>
            <w:tcW w:w="2235" w:type="dxa"/>
          </w:tcPr>
          <w:p w14:paraId="12BD85C0"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0BC0D338"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Ögonirritation, ögonsmärta, orbitalt ödem, skleral blödning, näthinneblödning, blefarit, maculaödem</w:t>
            </w:r>
          </w:p>
        </w:tc>
      </w:tr>
      <w:tr w:rsidR="00547CA2" w:rsidRPr="00C67B16" w14:paraId="39BE9233" w14:textId="77777777" w:rsidTr="0040304A">
        <w:trPr>
          <w:cantSplit/>
        </w:trPr>
        <w:tc>
          <w:tcPr>
            <w:tcW w:w="2235" w:type="dxa"/>
          </w:tcPr>
          <w:p w14:paraId="19C7C94C"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20821724"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Katarakt, glaukom, papillödem</w:t>
            </w:r>
          </w:p>
        </w:tc>
      </w:tr>
      <w:tr w:rsidR="00CE14E8" w:rsidRPr="00C67B16" w14:paraId="6C22904D" w14:textId="77777777" w:rsidTr="0040304A">
        <w:trPr>
          <w:cantSplit/>
        </w:trPr>
        <w:tc>
          <w:tcPr>
            <w:tcW w:w="2235" w:type="dxa"/>
          </w:tcPr>
          <w:p w14:paraId="5EFB8B5D" w14:textId="77777777" w:rsidR="00CE14E8" w:rsidRPr="00C67B16" w:rsidRDefault="00CE14E8"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731E4AA5" w14:textId="77777777" w:rsidR="00CE14E8" w:rsidRPr="00C67B16" w:rsidRDefault="00CE14E8" w:rsidP="00463647">
            <w:pPr>
              <w:widowControl w:val="0"/>
              <w:spacing w:line="240" w:lineRule="auto"/>
              <w:rPr>
                <w:color w:val="000000"/>
                <w:szCs w:val="22"/>
                <w:lang w:val="sv-SE"/>
              </w:rPr>
            </w:pPr>
            <w:r>
              <w:rPr>
                <w:color w:val="000000"/>
                <w:szCs w:val="22"/>
                <w:lang w:val="sv-SE"/>
              </w:rPr>
              <w:t>Blödning i glaskroppen*</w:t>
            </w:r>
          </w:p>
        </w:tc>
      </w:tr>
      <w:tr w:rsidR="00547CA2" w:rsidRPr="00C67B16" w14:paraId="7370FC25" w14:textId="77777777" w:rsidTr="0040304A">
        <w:trPr>
          <w:cantSplit/>
        </w:trPr>
        <w:tc>
          <w:tcPr>
            <w:tcW w:w="9322" w:type="dxa"/>
            <w:gridSpan w:val="2"/>
          </w:tcPr>
          <w:p w14:paraId="0506DDA0" w14:textId="77777777" w:rsidR="00547CA2" w:rsidRPr="00C67B16" w:rsidRDefault="00547CA2" w:rsidP="00463647">
            <w:pPr>
              <w:keepNext/>
              <w:widowControl w:val="0"/>
              <w:spacing w:line="240" w:lineRule="auto"/>
              <w:rPr>
                <w:color w:val="000000"/>
                <w:lang w:val="sv-SE"/>
              </w:rPr>
            </w:pPr>
            <w:r w:rsidRPr="00C67B16">
              <w:rPr>
                <w:b/>
                <w:color w:val="000000"/>
                <w:szCs w:val="22"/>
                <w:lang w:val="sv-SE"/>
              </w:rPr>
              <w:t>Öron och balansorgan</w:t>
            </w:r>
          </w:p>
        </w:tc>
      </w:tr>
      <w:tr w:rsidR="00547CA2" w:rsidRPr="00C67B16" w14:paraId="45078B9D" w14:textId="77777777" w:rsidTr="0040304A">
        <w:trPr>
          <w:cantSplit/>
        </w:trPr>
        <w:tc>
          <w:tcPr>
            <w:tcW w:w="2235" w:type="dxa"/>
          </w:tcPr>
          <w:p w14:paraId="5085FA0C" w14:textId="77777777" w:rsidR="00547CA2" w:rsidRPr="00C67B16" w:rsidRDefault="00547CA2" w:rsidP="00463647">
            <w:pPr>
              <w:widowControl w:val="0"/>
              <w:spacing w:line="240" w:lineRule="auto"/>
              <w:rPr>
                <w:color w:val="000000"/>
                <w:lang w:val="sv-SE"/>
              </w:rPr>
            </w:pPr>
            <w:r w:rsidRPr="00C67B16">
              <w:rPr>
                <w:i/>
                <w:color w:val="000000"/>
                <w:szCs w:val="22"/>
                <w:lang w:val="sv-SE"/>
              </w:rPr>
              <w:t>Mindre vanliga:</w:t>
            </w:r>
          </w:p>
        </w:tc>
        <w:tc>
          <w:tcPr>
            <w:tcW w:w="7087" w:type="dxa"/>
          </w:tcPr>
          <w:p w14:paraId="3ED679B3" w14:textId="77777777" w:rsidR="00547CA2" w:rsidRPr="00C67B16" w:rsidRDefault="00547CA2" w:rsidP="00463647">
            <w:pPr>
              <w:widowControl w:val="0"/>
              <w:spacing w:line="240" w:lineRule="auto"/>
              <w:rPr>
                <w:color w:val="000000"/>
                <w:lang w:val="sv-SE"/>
              </w:rPr>
            </w:pPr>
            <w:r w:rsidRPr="00C67B16">
              <w:rPr>
                <w:color w:val="000000"/>
                <w:szCs w:val="22"/>
                <w:lang w:val="sv-SE"/>
              </w:rPr>
              <w:t>Yrsel, tinnitus, nedsatt hörsel</w:t>
            </w:r>
          </w:p>
        </w:tc>
      </w:tr>
      <w:tr w:rsidR="00547CA2" w:rsidRPr="00C67B16" w14:paraId="5644B0A7" w14:textId="77777777" w:rsidTr="0040304A">
        <w:trPr>
          <w:cantSplit/>
        </w:trPr>
        <w:tc>
          <w:tcPr>
            <w:tcW w:w="9322" w:type="dxa"/>
            <w:gridSpan w:val="2"/>
          </w:tcPr>
          <w:p w14:paraId="4D83D9BB" w14:textId="77777777" w:rsidR="00547CA2" w:rsidRPr="00C67B16" w:rsidRDefault="00547CA2" w:rsidP="00463647">
            <w:pPr>
              <w:keepNext/>
              <w:widowControl w:val="0"/>
              <w:spacing w:line="240" w:lineRule="auto"/>
              <w:rPr>
                <w:color w:val="000000"/>
                <w:lang w:val="sv-SE"/>
              </w:rPr>
            </w:pPr>
            <w:r w:rsidRPr="00C67B16">
              <w:rPr>
                <w:b/>
                <w:color w:val="000000"/>
                <w:szCs w:val="22"/>
                <w:lang w:val="sv-SE"/>
              </w:rPr>
              <w:t>Hjärtat</w:t>
            </w:r>
          </w:p>
        </w:tc>
      </w:tr>
      <w:tr w:rsidR="00547CA2" w:rsidRPr="00644A2E" w14:paraId="448C3851" w14:textId="77777777" w:rsidTr="0040304A">
        <w:trPr>
          <w:cantSplit/>
        </w:trPr>
        <w:tc>
          <w:tcPr>
            <w:tcW w:w="2235" w:type="dxa"/>
          </w:tcPr>
          <w:p w14:paraId="2439C8B7"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57D5EA59"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Palpitationer, takykardi, kronisk hjärtsvikt</w:t>
            </w:r>
            <w:r w:rsidRPr="00C67B16">
              <w:rPr>
                <w:color w:val="000000"/>
                <w:szCs w:val="22"/>
                <w:vertAlign w:val="superscript"/>
                <w:lang w:val="sv-SE"/>
              </w:rPr>
              <w:t>3</w:t>
            </w:r>
            <w:r w:rsidRPr="00C67B16">
              <w:rPr>
                <w:color w:val="000000"/>
                <w:szCs w:val="22"/>
                <w:lang w:val="sv-SE"/>
              </w:rPr>
              <w:t>, lungödem</w:t>
            </w:r>
          </w:p>
        </w:tc>
      </w:tr>
      <w:tr w:rsidR="00547CA2" w:rsidRPr="00644A2E" w14:paraId="2CD24716" w14:textId="77777777" w:rsidTr="0040304A">
        <w:trPr>
          <w:cantSplit/>
        </w:trPr>
        <w:tc>
          <w:tcPr>
            <w:tcW w:w="2235" w:type="dxa"/>
          </w:tcPr>
          <w:p w14:paraId="5259490D"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46545874"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Arrytmi, förmaksflimmer, hjärtstillestånd, hjärtinfarkt, angina pectoris, perikardiell utgjutning</w:t>
            </w:r>
          </w:p>
        </w:tc>
      </w:tr>
      <w:tr w:rsidR="00CE14E8" w:rsidRPr="00C67B16" w14:paraId="53C93B35" w14:textId="77777777" w:rsidTr="0040304A">
        <w:trPr>
          <w:cantSplit/>
        </w:trPr>
        <w:tc>
          <w:tcPr>
            <w:tcW w:w="2235" w:type="dxa"/>
          </w:tcPr>
          <w:p w14:paraId="19FDF4E1" w14:textId="77777777" w:rsidR="00CE14E8" w:rsidRPr="00C67B16" w:rsidRDefault="00CE14E8"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3EA82611" w14:textId="77777777" w:rsidR="00CE14E8" w:rsidRPr="00C67B16" w:rsidRDefault="00CE14E8" w:rsidP="00463647">
            <w:pPr>
              <w:widowControl w:val="0"/>
              <w:spacing w:line="240" w:lineRule="auto"/>
              <w:rPr>
                <w:color w:val="000000"/>
                <w:szCs w:val="22"/>
                <w:lang w:val="sv-SE"/>
              </w:rPr>
            </w:pPr>
            <w:r>
              <w:rPr>
                <w:color w:val="000000"/>
                <w:szCs w:val="22"/>
                <w:lang w:val="sv-SE"/>
              </w:rPr>
              <w:t>Perikardit*, hjärtsäckstamponad*</w:t>
            </w:r>
          </w:p>
        </w:tc>
      </w:tr>
      <w:tr w:rsidR="00547CA2" w:rsidRPr="00C67B16" w14:paraId="67990D84" w14:textId="77777777" w:rsidTr="0040304A">
        <w:trPr>
          <w:cantSplit/>
        </w:trPr>
        <w:tc>
          <w:tcPr>
            <w:tcW w:w="9322" w:type="dxa"/>
            <w:gridSpan w:val="2"/>
          </w:tcPr>
          <w:p w14:paraId="69F142B5" w14:textId="77777777" w:rsidR="00547CA2" w:rsidRPr="00C67B16" w:rsidRDefault="00547CA2" w:rsidP="00463647">
            <w:pPr>
              <w:keepNext/>
              <w:widowControl w:val="0"/>
              <w:spacing w:line="240" w:lineRule="auto"/>
              <w:rPr>
                <w:rFonts w:ascii="Times New Roman Bold" w:hAnsi="Times New Roman Bold"/>
                <w:color w:val="000000"/>
                <w:szCs w:val="22"/>
                <w:vertAlign w:val="superscript"/>
                <w:lang w:val="sv-SE"/>
              </w:rPr>
            </w:pPr>
            <w:r w:rsidRPr="00C67B16">
              <w:rPr>
                <w:b/>
                <w:color w:val="000000"/>
                <w:szCs w:val="22"/>
                <w:lang w:val="sv-SE"/>
              </w:rPr>
              <w:t>Blodkärl</w:t>
            </w:r>
            <w:r w:rsidRPr="00C67B16">
              <w:rPr>
                <w:rFonts w:ascii="Times New Roman Bold" w:hAnsi="Times New Roman Bold"/>
                <w:b/>
                <w:color w:val="000000"/>
                <w:szCs w:val="22"/>
                <w:vertAlign w:val="superscript"/>
                <w:lang w:val="sv-SE"/>
              </w:rPr>
              <w:t>4</w:t>
            </w:r>
          </w:p>
        </w:tc>
      </w:tr>
      <w:tr w:rsidR="00547CA2" w:rsidRPr="00C67B16" w14:paraId="35E523CD" w14:textId="77777777" w:rsidTr="0040304A">
        <w:trPr>
          <w:cantSplit/>
        </w:trPr>
        <w:tc>
          <w:tcPr>
            <w:tcW w:w="2235" w:type="dxa"/>
          </w:tcPr>
          <w:p w14:paraId="75A87324"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5A562563"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Flushing, blödningar</w:t>
            </w:r>
          </w:p>
        </w:tc>
      </w:tr>
      <w:tr w:rsidR="00547CA2" w:rsidRPr="00F60A89" w14:paraId="1AFE57BD" w14:textId="77777777" w:rsidTr="0040304A">
        <w:trPr>
          <w:cantSplit/>
        </w:trPr>
        <w:tc>
          <w:tcPr>
            <w:tcW w:w="2235" w:type="dxa"/>
          </w:tcPr>
          <w:p w14:paraId="329B4B56" w14:textId="77777777" w:rsidR="00547CA2" w:rsidRPr="00C67B16" w:rsidDel="00655175" w:rsidRDefault="00547CA2" w:rsidP="00463647">
            <w:pPr>
              <w:keepNext/>
              <w:widowControl w:val="0"/>
              <w:spacing w:line="240" w:lineRule="auto"/>
              <w:rPr>
                <w:i/>
                <w:color w:val="000000"/>
                <w:szCs w:val="22"/>
                <w:u w:val="single"/>
                <w:lang w:val="sv-SE"/>
              </w:rPr>
            </w:pPr>
            <w:r w:rsidRPr="00C67B16">
              <w:rPr>
                <w:i/>
                <w:color w:val="000000"/>
                <w:szCs w:val="22"/>
                <w:lang w:val="sv-SE"/>
              </w:rPr>
              <w:t>Mindre vanliga:</w:t>
            </w:r>
          </w:p>
        </w:tc>
        <w:tc>
          <w:tcPr>
            <w:tcW w:w="7087" w:type="dxa"/>
          </w:tcPr>
          <w:p w14:paraId="0AA5F03F" w14:textId="77777777" w:rsidR="00547CA2" w:rsidRPr="00C67B16" w:rsidDel="00655175" w:rsidRDefault="00547CA2" w:rsidP="00463647">
            <w:pPr>
              <w:keepNext/>
              <w:widowControl w:val="0"/>
              <w:spacing w:line="240" w:lineRule="auto"/>
              <w:rPr>
                <w:color w:val="000000"/>
                <w:szCs w:val="22"/>
                <w:lang w:val="sv-SE"/>
              </w:rPr>
            </w:pPr>
            <w:r w:rsidRPr="00C67B16">
              <w:rPr>
                <w:color w:val="000000"/>
                <w:szCs w:val="22"/>
                <w:lang w:val="sv-SE"/>
              </w:rPr>
              <w:t xml:space="preserve">Hypertoni, hematom, </w:t>
            </w:r>
            <w:r>
              <w:rPr>
                <w:color w:val="000000"/>
                <w:szCs w:val="22"/>
                <w:lang w:val="sv-SE"/>
              </w:rPr>
              <w:t xml:space="preserve">subduralhematom, </w:t>
            </w:r>
            <w:r w:rsidRPr="00C67B16">
              <w:rPr>
                <w:color w:val="000000"/>
                <w:szCs w:val="22"/>
                <w:lang w:val="sv-SE"/>
              </w:rPr>
              <w:t>perifer kyla, hypotoni, Raynauds fenomen</w:t>
            </w:r>
          </w:p>
        </w:tc>
      </w:tr>
      <w:tr w:rsidR="00CE14E8" w:rsidRPr="00C67B16" w14:paraId="081EA28B" w14:textId="77777777" w:rsidTr="0040304A">
        <w:trPr>
          <w:cantSplit/>
        </w:trPr>
        <w:tc>
          <w:tcPr>
            <w:tcW w:w="2235" w:type="dxa"/>
          </w:tcPr>
          <w:p w14:paraId="2A789FA4" w14:textId="77777777" w:rsidR="00CE14E8" w:rsidRPr="00C67B16" w:rsidRDefault="00CE14E8"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70910FF8" w14:textId="77777777" w:rsidR="00CE14E8" w:rsidRPr="00C67B16" w:rsidRDefault="00CE14E8" w:rsidP="00463647">
            <w:pPr>
              <w:widowControl w:val="0"/>
              <w:spacing w:line="240" w:lineRule="auto"/>
              <w:rPr>
                <w:color w:val="000000"/>
                <w:szCs w:val="22"/>
                <w:lang w:val="sv-SE"/>
              </w:rPr>
            </w:pPr>
            <w:r>
              <w:rPr>
                <w:color w:val="000000"/>
                <w:szCs w:val="22"/>
                <w:lang w:val="sv-SE"/>
              </w:rPr>
              <w:t>Trombos/embolism*</w:t>
            </w:r>
          </w:p>
        </w:tc>
      </w:tr>
      <w:tr w:rsidR="00547CA2" w:rsidRPr="00C67B16" w14:paraId="4EF6FDC3" w14:textId="77777777" w:rsidTr="0040304A">
        <w:trPr>
          <w:cantSplit/>
        </w:trPr>
        <w:tc>
          <w:tcPr>
            <w:tcW w:w="9322" w:type="dxa"/>
            <w:gridSpan w:val="2"/>
          </w:tcPr>
          <w:p w14:paraId="1A4E754E" w14:textId="77777777" w:rsidR="00547CA2" w:rsidRPr="00C67B16" w:rsidRDefault="00547CA2" w:rsidP="00463647">
            <w:pPr>
              <w:keepNext/>
              <w:widowControl w:val="0"/>
              <w:spacing w:line="240" w:lineRule="auto"/>
              <w:rPr>
                <w:color w:val="000000"/>
                <w:szCs w:val="22"/>
                <w:lang w:val="sv-SE"/>
              </w:rPr>
            </w:pPr>
            <w:r w:rsidRPr="00C67B16">
              <w:rPr>
                <w:b/>
                <w:color w:val="000000"/>
                <w:szCs w:val="22"/>
                <w:lang w:val="sv-SE"/>
              </w:rPr>
              <w:t>Andningsvägar, bröstkorg och mediastinum</w:t>
            </w:r>
          </w:p>
        </w:tc>
      </w:tr>
      <w:tr w:rsidR="00547CA2" w:rsidRPr="00C67B16" w14:paraId="65768755" w14:textId="77777777" w:rsidTr="0040304A">
        <w:trPr>
          <w:cantSplit/>
        </w:trPr>
        <w:tc>
          <w:tcPr>
            <w:tcW w:w="2235" w:type="dxa"/>
          </w:tcPr>
          <w:p w14:paraId="7472062A"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556381C7"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Dyspné, epistaxis, hosta</w:t>
            </w:r>
          </w:p>
        </w:tc>
      </w:tr>
      <w:tr w:rsidR="00547CA2" w:rsidRPr="00C67B16" w14:paraId="3C7EF466" w14:textId="77777777" w:rsidTr="0040304A">
        <w:trPr>
          <w:cantSplit/>
        </w:trPr>
        <w:tc>
          <w:tcPr>
            <w:tcW w:w="2235" w:type="dxa"/>
          </w:tcPr>
          <w:p w14:paraId="0F32B221"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26E86532"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Pleurautgjutning</w:t>
            </w:r>
            <w:r w:rsidRPr="00C67B16">
              <w:rPr>
                <w:color w:val="000000"/>
                <w:szCs w:val="22"/>
                <w:vertAlign w:val="superscript"/>
                <w:lang w:val="sv-SE"/>
              </w:rPr>
              <w:t>5</w:t>
            </w:r>
            <w:r w:rsidRPr="00C67B16">
              <w:rPr>
                <w:color w:val="000000"/>
                <w:szCs w:val="22"/>
                <w:lang w:val="sv-SE"/>
              </w:rPr>
              <w:t>, faryngolaryngal smärta, faryngit</w:t>
            </w:r>
          </w:p>
        </w:tc>
      </w:tr>
      <w:tr w:rsidR="00547CA2" w:rsidRPr="00F60A89" w14:paraId="308A0903" w14:textId="77777777" w:rsidTr="0040304A">
        <w:trPr>
          <w:cantSplit/>
        </w:trPr>
        <w:tc>
          <w:tcPr>
            <w:tcW w:w="2235" w:type="dxa"/>
          </w:tcPr>
          <w:p w14:paraId="6D72C099"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66539BBA"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Pleurasmärta, lungfibros, pulmonell hypertoni, lungblödning</w:t>
            </w:r>
          </w:p>
        </w:tc>
      </w:tr>
      <w:tr w:rsidR="00CE14E8" w:rsidRPr="00F60A89" w14:paraId="145EEF47" w14:textId="77777777" w:rsidTr="0040304A">
        <w:trPr>
          <w:cantSplit/>
        </w:trPr>
        <w:tc>
          <w:tcPr>
            <w:tcW w:w="2235" w:type="dxa"/>
          </w:tcPr>
          <w:p w14:paraId="3A8874C8" w14:textId="77777777" w:rsidR="00CE14E8" w:rsidRPr="00C67B16" w:rsidRDefault="00CE14E8"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1FF4FB71" w14:textId="77777777" w:rsidR="00CE14E8" w:rsidRPr="00CE14E8" w:rsidRDefault="00CE14E8" w:rsidP="00463647">
            <w:pPr>
              <w:widowControl w:val="0"/>
              <w:spacing w:line="240" w:lineRule="auto"/>
              <w:rPr>
                <w:color w:val="000000"/>
                <w:szCs w:val="22"/>
                <w:lang w:val="sv-SE"/>
              </w:rPr>
            </w:pPr>
            <w:r>
              <w:rPr>
                <w:color w:val="000000"/>
                <w:szCs w:val="22"/>
                <w:lang w:val="sv-SE"/>
              </w:rPr>
              <w:t>Akut respiratorisk svikt</w:t>
            </w:r>
            <w:r w:rsidR="00FE627D">
              <w:rPr>
                <w:color w:val="000000"/>
                <w:szCs w:val="22"/>
                <w:vertAlign w:val="superscript"/>
                <w:lang w:val="sv-SE"/>
              </w:rPr>
              <w:t>11</w:t>
            </w:r>
            <w:r>
              <w:rPr>
                <w:color w:val="000000"/>
                <w:szCs w:val="22"/>
                <w:lang w:val="sv-SE"/>
              </w:rPr>
              <w:t>*, interstitiell lungsjukdom*</w:t>
            </w:r>
          </w:p>
        </w:tc>
      </w:tr>
      <w:tr w:rsidR="00547CA2" w:rsidRPr="00C67B16" w14:paraId="4EE2F176" w14:textId="77777777" w:rsidTr="0040304A">
        <w:trPr>
          <w:cantSplit/>
        </w:trPr>
        <w:tc>
          <w:tcPr>
            <w:tcW w:w="9322" w:type="dxa"/>
            <w:gridSpan w:val="2"/>
          </w:tcPr>
          <w:p w14:paraId="190E2660" w14:textId="77777777" w:rsidR="00547CA2" w:rsidRPr="00C67B16" w:rsidRDefault="00547CA2" w:rsidP="00463647">
            <w:pPr>
              <w:keepNext/>
              <w:widowControl w:val="0"/>
              <w:spacing w:line="240" w:lineRule="auto"/>
              <w:rPr>
                <w:color w:val="000000"/>
                <w:lang w:val="sv-SE"/>
              </w:rPr>
            </w:pPr>
            <w:r w:rsidRPr="00C67B16">
              <w:rPr>
                <w:b/>
                <w:color w:val="000000"/>
                <w:szCs w:val="22"/>
                <w:lang w:val="sv-SE"/>
              </w:rPr>
              <w:t>Magtarmkanalen</w:t>
            </w:r>
          </w:p>
        </w:tc>
      </w:tr>
      <w:tr w:rsidR="00547CA2" w:rsidRPr="00644A2E" w14:paraId="525AD4D7" w14:textId="77777777" w:rsidTr="0040304A">
        <w:trPr>
          <w:cantSplit/>
        </w:trPr>
        <w:tc>
          <w:tcPr>
            <w:tcW w:w="2235" w:type="dxa"/>
          </w:tcPr>
          <w:p w14:paraId="73562BBB"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Mycket vanliga:</w:t>
            </w:r>
          </w:p>
        </w:tc>
        <w:tc>
          <w:tcPr>
            <w:tcW w:w="7087" w:type="dxa"/>
          </w:tcPr>
          <w:p w14:paraId="4BD8AC67"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Illamående, diarré, kräkningar, dyspepsi, buksmärta</w:t>
            </w:r>
            <w:r w:rsidRPr="00C67B16">
              <w:rPr>
                <w:color w:val="000000"/>
                <w:szCs w:val="22"/>
                <w:vertAlign w:val="superscript"/>
                <w:lang w:val="sv-SE"/>
              </w:rPr>
              <w:t>6</w:t>
            </w:r>
          </w:p>
        </w:tc>
      </w:tr>
      <w:tr w:rsidR="00547CA2" w:rsidRPr="00F60A89" w14:paraId="3775D011" w14:textId="77777777" w:rsidTr="0040304A">
        <w:trPr>
          <w:cantSplit/>
        </w:trPr>
        <w:tc>
          <w:tcPr>
            <w:tcW w:w="2235" w:type="dxa"/>
          </w:tcPr>
          <w:p w14:paraId="01A42BC1"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122F30F5"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Flatulens, utspänd buk, gastroesofageal reflux, förstoppning, muntorrhet, gastrit</w:t>
            </w:r>
          </w:p>
        </w:tc>
      </w:tr>
      <w:tr w:rsidR="00547CA2" w:rsidRPr="00F60A89" w14:paraId="2A55F9F9" w14:textId="77777777" w:rsidTr="0040304A">
        <w:trPr>
          <w:cantSplit/>
        </w:trPr>
        <w:tc>
          <w:tcPr>
            <w:tcW w:w="2235" w:type="dxa"/>
          </w:tcPr>
          <w:p w14:paraId="3DBBEFD5"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6DECA3D4"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Stomatit, sår i munnen, gastrointestinal blödning</w:t>
            </w:r>
            <w:r w:rsidRPr="00C67B16">
              <w:rPr>
                <w:color w:val="000000"/>
                <w:szCs w:val="22"/>
                <w:vertAlign w:val="superscript"/>
                <w:lang w:val="sv-SE"/>
              </w:rPr>
              <w:t>7</w:t>
            </w:r>
            <w:r w:rsidRPr="00C67B16">
              <w:rPr>
                <w:color w:val="000000"/>
                <w:szCs w:val="22"/>
                <w:lang w:val="sv-SE"/>
              </w:rPr>
              <w:t>, rapning, melena, esofagit, ascites, magsår, hematemes, keilit, dysfagi, pankreatit</w:t>
            </w:r>
          </w:p>
        </w:tc>
      </w:tr>
      <w:tr w:rsidR="00547CA2" w:rsidRPr="00C67B16" w14:paraId="6463EC80" w14:textId="77777777" w:rsidTr="0040304A">
        <w:trPr>
          <w:cantSplit/>
        </w:trPr>
        <w:tc>
          <w:tcPr>
            <w:tcW w:w="2235" w:type="dxa"/>
          </w:tcPr>
          <w:p w14:paraId="3F6385F8"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681763FE" w14:textId="77777777" w:rsidR="00547CA2" w:rsidRPr="00C67B16" w:rsidRDefault="00547CA2" w:rsidP="00463647">
            <w:pPr>
              <w:keepNext/>
              <w:widowControl w:val="0"/>
              <w:spacing w:line="240" w:lineRule="auto"/>
              <w:rPr>
                <w:snapToGrid w:val="0"/>
                <w:color w:val="000000"/>
                <w:szCs w:val="22"/>
                <w:lang w:val="sv-SE"/>
              </w:rPr>
            </w:pPr>
            <w:r w:rsidRPr="00C67B16">
              <w:rPr>
                <w:color w:val="000000"/>
                <w:szCs w:val="22"/>
                <w:lang w:val="sv-SE"/>
              </w:rPr>
              <w:t xml:space="preserve">Kolit, </w:t>
            </w:r>
            <w:r w:rsidRPr="00C67B16">
              <w:rPr>
                <w:snapToGrid w:val="0"/>
                <w:color w:val="000000"/>
                <w:szCs w:val="22"/>
                <w:lang w:val="sv-SE"/>
              </w:rPr>
              <w:t>ileus, inflammatorisk tarmsjukdom</w:t>
            </w:r>
          </w:p>
        </w:tc>
      </w:tr>
      <w:tr w:rsidR="00CE14E8" w:rsidRPr="00644A2E" w14:paraId="3035E7FD" w14:textId="77777777" w:rsidTr="0040304A">
        <w:trPr>
          <w:cantSplit/>
        </w:trPr>
        <w:tc>
          <w:tcPr>
            <w:tcW w:w="2235" w:type="dxa"/>
          </w:tcPr>
          <w:p w14:paraId="6874D38C" w14:textId="77777777" w:rsidR="00CE14E8" w:rsidRPr="00C67B16" w:rsidRDefault="00CE14E8"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64E49506" w14:textId="77777777" w:rsidR="00CE14E8" w:rsidRPr="00C67B16" w:rsidRDefault="00CE14E8" w:rsidP="00463647">
            <w:pPr>
              <w:widowControl w:val="0"/>
              <w:spacing w:line="240" w:lineRule="auto"/>
              <w:rPr>
                <w:color w:val="000000"/>
                <w:szCs w:val="22"/>
                <w:lang w:val="sv-SE"/>
              </w:rPr>
            </w:pPr>
            <w:r>
              <w:rPr>
                <w:color w:val="000000"/>
                <w:szCs w:val="22"/>
                <w:lang w:val="sv-SE"/>
              </w:rPr>
              <w:t>Ileus/tarmobstruktion*, gastrointestinal perforation*, divertikulit*, antrala kärlektasier (GAVE)*</w:t>
            </w:r>
          </w:p>
        </w:tc>
      </w:tr>
      <w:tr w:rsidR="00547CA2" w:rsidRPr="00C67B16" w14:paraId="029262A3" w14:textId="77777777" w:rsidTr="0040304A">
        <w:trPr>
          <w:cantSplit/>
        </w:trPr>
        <w:tc>
          <w:tcPr>
            <w:tcW w:w="9322" w:type="dxa"/>
            <w:gridSpan w:val="2"/>
          </w:tcPr>
          <w:p w14:paraId="1F11A277" w14:textId="77777777" w:rsidR="00547CA2" w:rsidRPr="00C67B16" w:rsidRDefault="00547CA2" w:rsidP="00463647">
            <w:pPr>
              <w:keepNext/>
              <w:widowControl w:val="0"/>
              <w:spacing w:line="240" w:lineRule="auto"/>
              <w:rPr>
                <w:snapToGrid w:val="0"/>
                <w:color w:val="000000"/>
                <w:szCs w:val="22"/>
                <w:lang w:val="sv-SE"/>
              </w:rPr>
            </w:pPr>
            <w:r w:rsidRPr="00C67B16">
              <w:rPr>
                <w:b/>
                <w:color w:val="000000"/>
                <w:szCs w:val="22"/>
                <w:lang w:val="sv-SE"/>
              </w:rPr>
              <w:t>Lever och gallvägar</w:t>
            </w:r>
          </w:p>
        </w:tc>
      </w:tr>
      <w:tr w:rsidR="00547CA2" w:rsidRPr="00C67B16" w14:paraId="140957F0" w14:textId="77777777" w:rsidTr="0040304A">
        <w:trPr>
          <w:cantSplit/>
        </w:trPr>
        <w:tc>
          <w:tcPr>
            <w:tcW w:w="2235" w:type="dxa"/>
          </w:tcPr>
          <w:p w14:paraId="44DEAB8E"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2D68441A"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Förhöjda leverenzymvärden</w:t>
            </w:r>
          </w:p>
        </w:tc>
      </w:tr>
      <w:tr w:rsidR="00547CA2" w:rsidRPr="00C67B16" w14:paraId="59CA2A04" w14:textId="77777777" w:rsidTr="0040304A">
        <w:trPr>
          <w:cantSplit/>
        </w:trPr>
        <w:tc>
          <w:tcPr>
            <w:tcW w:w="2235" w:type="dxa"/>
          </w:tcPr>
          <w:p w14:paraId="457F5865"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416EFC19"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Hyperbilirubinemi, hepatit, gulsot</w:t>
            </w:r>
          </w:p>
        </w:tc>
      </w:tr>
      <w:tr w:rsidR="00547CA2" w:rsidRPr="00C67B16" w14:paraId="62C1A1FF" w14:textId="77777777" w:rsidTr="0040304A">
        <w:trPr>
          <w:cantSplit/>
        </w:trPr>
        <w:tc>
          <w:tcPr>
            <w:tcW w:w="2235" w:type="dxa"/>
          </w:tcPr>
          <w:p w14:paraId="3BBABA9D" w14:textId="77777777" w:rsidR="00547CA2" w:rsidRPr="00C67B16" w:rsidRDefault="00547CA2" w:rsidP="00463647">
            <w:pPr>
              <w:widowControl w:val="0"/>
              <w:spacing w:line="240" w:lineRule="auto"/>
              <w:rPr>
                <w:i/>
                <w:color w:val="000000"/>
                <w:szCs w:val="22"/>
                <w:lang w:val="sv-SE"/>
              </w:rPr>
            </w:pPr>
            <w:r w:rsidRPr="00C67B16">
              <w:rPr>
                <w:i/>
                <w:color w:val="000000"/>
                <w:szCs w:val="22"/>
                <w:lang w:val="sv-SE"/>
              </w:rPr>
              <w:t>Sällsynta:</w:t>
            </w:r>
          </w:p>
        </w:tc>
        <w:tc>
          <w:tcPr>
            <w:tcW w:w="7087" w:type="dxa"/>
          </w:tcPr>
          <w:p w14:paraId="0595E6BD" w14:textId="77777777" w:rsidR="00547CA2" w:rsidRPr="00C67B16" w:rsidRDefault="00547CA2" w:rsidP="00463647">
            <w:pPr>
              <w:widowControl w:val="0"/>
              <w:spacing w:line="240" w:lineRule="auto"/>
              <w:rPr>
                <w:color w:val="000000"/>
                <w:szCs w:val="22"/>
                <w:lang w:val="sv-SE"/>
              </w:rPr>
            </w:pPr>
            <w:r w:rsidRPr="00C67B16">
              <w:rPr>
                <w:color w:val="000000"/>
                <w:szCs w:val="22"/>
                <w:lang w:val="sv-SE"/>
              </w:rPr>
              <w:t>Leversvikt</w:t>
            </w:r>
            <w:r w:rsidRPr="00C67B16">
              <w:rPr>
                <w:color w:val="000000"/>
                <w:szCs w:val="22"/>
                <w:vertAlign w:val="superscript"/>
                <w:lang w:val="sv-SE"/>
              </w:rPr>
              <w:t>8</w:t>
            </w:r>
            <w:r w:rsidRPr="00C67B16">
              <w:rPr>
                <w:color w:val="000000"/>
                <w:szCs w:val="22"/>
                <w:lang w:val="sv-SE"/>
              </w:rPr>
              <w:t>, levernekros</w:t>
            </w:r>
          </w:p>
        </w:tc>
      </w:tr>
      <w:tr w:rsidR="00547CA2" w:rsidRPr="00C67B16" w14:paraId="302F3921" w14:textId="77777777" w:rsidTr="0040304A">
        <w:trPr>
          <w:cantSplit/>
        </w:trPr>
        <w:tc>
          <w:tcPr>
            <w:tcW w:w="9322" w:type="dxa"/>
            <w:gridSpan w:val="2"/>
          </w:tcPr>
          <w:p w14:paraId="39709C76" w14:textId="77777777" w:rsidR="00547CA2" w:rsidRPr="00C67B16" w:rsidRDefault="00547CA2" w:rsidP="00463647">
            <w:pPr>
              <w:keepNext/>
              <w:widowControl w:val="0"/>
              <w:spacing w:line="240" w:lineRule="auto"/>
              <w:rPr>
                <w:color w:val="000000"/>
                <w:lang w:val="sv-SE"/>
              </w:rPr>
            </w:pPr>
            <w:r w:rsidRPr="00C67B16">
              <w:rPr>
                <w:b/>
                <w:color w:val="000000"/>
                <w:szCs w:val="22"/>
                <w:lang w:val="sv-SE"/>
              </w:rPr>
              <w:t>Hud och subkutan vävnad</w:t>
            </w:r>
          </w:p>
        </w:tc>
      </w:tr>
      <w:tr w:rsidR="00547CA2" w:rsidRPr="00644A2E" w14:paraId="580C2719" w14:textId="77777777" w:rsidTr="0040304A">
        <w:trPr>
          <w:cantSplit/>
        </w:trPr>
        <w:tc>
          <w:tcPr>
            <w:tcW w:w="2235" w:type="dxa"/>
          </w:tcPr>
          <w:p w14:paraId="1EAF6DCC"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Mycket vanliga:</w:t>
            </w:r>
          </w:p>
        </w:tc>
        <w:tc>
          <w:tcPr>
            <w:tcW w:w="7087" w:type="dxa"/>
          </w:tcPr>
          <w:p w14:paraId="4B13F789"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Periorbitalt ödem, dermatit/eksem/utslag</w:t>
            </w:r>
          </w:p>
        </w:tc>
      </w:tr>
      <w:tr w:rsidR="00547CA2" w:rsidRPr="00644A2E" w14:paraId="37138709" w14:textId="77777777" w:rsidTr="0040304A">
        <w:trPr>
          <w:cantSplit/>
        </w:trPr>
        <w:tc>
          <w:tcPr>
            <w:tcW w:w="2235" w:type="dxa"/>
          </w:tcPr>
          <w:p w14:paraId="6544CC3C"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Vanliga:</w:t>
            </w:r>
          </w:p>
        </w:tc>
        <w:tc>
          <w:tcPr>
            <w:tcW w:w="7087" w:type="dxa"/>
          </w:tcPr>
          <w:p w14:paraId="1B5C180E"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Klåda, ansiktsödem, torr hud, erytem, alopeci, nattliga svettningar, ljuskänslighetsreaktion</w:t>
            </w:r>
          </w:p>
        </w:tc>
      </w:tr>
      <w:tr w:rsidR="00547CA2" w:rsidRPr="00644A2E" w14:paraId="18A5A91C" w14:textId="77777777" w:rsidTr="0040304A">
        <w:trPr>
          <w:cantSplit/>
        </w:trPr>
        <w:tc>
          <w:tcPr>
            <w:tcW w:w="2235" w:type="dxa"/>
          </w:tcPr>
          <w:p w14:paraId="033035B8"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6B899853"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Pustulöst utslag, kontusion, ökad svettning, urtikaria, ekkymos, ökad tendens till blåmärken, hypotrikos, hypopigmentering av huden, exfoliativ dermatit, spruckna naglar, follikulit, petekier, psoriasis, purpura, hyperpigmentering av huden, bullöst utslag</w:t>
            </w:r>
          </w:p>
        </w:tc>
      </w:tr>
      <w:tr w:rsidR="00547CA2" w:rsidRPr="00644A2E" w14:paraId="235DBBD7" w14:textId="77777777" w:rsidTr="0040304A">
        <w:trPr>
          <w:cantSplit/>
        </w:trPr>
        <w:tc>
          <w:tcPr>
            <w:tcW w:w="2235" w:type="dxa"/>
          </w:tcPr>
          <w:p w14:paraId="26555271"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Sällsynta:</w:t>
            </w:r>
          </w:p>
        </w:tc>
        <w:tc>
          <w:tcPr>
            <w:tcW w:w="7087" w:type="dxa"/>
          </w:tcPr>
          <w:p w14:paraId="32488687"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Akut febril neutrofil dermatos (Sweet’s syndrom), missfärgning av naglar, angioödem, vesikulärutslag, erytema multiforme, leukocytoklastisk vaskulit, Stevens-Johnsons syndrom, akut generaliserad exantematös pustulos (AGEP)</w:t>
            </w:r>
          </w:p>
        </w:tc>
      </w:tr>
      <w:tr w:rsidR="00CE14E8" w:rsidRPr="00644A2E" w14:paraId="498326F4" w14:textId="77777777" w:rsidTr="0040304A">
        <w:trPr>
          <w:cantSplit/>
        </w:trPr>
        <w:tc>
          <w:tcPr>
            <w:tcW w:w="2235" w:type="dxa"/>
          </w:tcPr>
          <w:p w14:paraId="5DFBF5EE" w14:textId="77777777" w:rsidR="00CE14E8" w:rsidRPr="00C67B16" w:rsidRDefault="00CE14E8"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26168899" w14:textId="77777777" w:rsidR="00CE14E8" w:rsidRPr="00C67B16" w:rsidRDefault="00CE14E8" w:rsidP="00463647">
            <w:pPr>
              <w:widowControl w:val="0"/>
              <w:spacing w:line="240" w:lineRule="auto"/>
              <w:rPr>
                <w:color w:val="000000"/>
                <w:szCs w:val="22"/>
                <w:lang w:val="sv-SE"/>
              </w:rPr>
            </w:pPr>
            <w:r>
              <w:rPr>
                <w:color w:val="000000"/>
                <w:szCs w:val="22"/>
                <w:lang w:val="sv-SE"/>
              </w:rPr>
              <w:t>Palmar-plantar erytrodysestesi syndrom*, likenoid keratos*, lichen planus*, toxisk epidermal nekrolys*, läkemedelsrelaterade utslag med eosinofili och systemiska symtom (DRESS)*</w:t>
            </w:r>
            <w:r w:rsidR="00065D42">
              <w:rPr>
                <w:color w:val="000000"/>
                <w:szCs w:val="22"/>
                <w:lang w:val="sv-SE"/>
              </w:rPr>
              <w:t>, pseudoporfyri*</w:t>
            </w:r>
          </w:p>
        </w:tc>
      </w:tr>
      <w:tr w:rsidR="00547CA2" w:rsidRPr="00C67B16" w14:paraId="3856C707" w14:textId="77777777" w:rsidTr="0040304A">
        <w:trPr>
          <w:cantSplit/>
        </w:trPr>
        <w:tc>
          <w:tcPr>
            <w:tcW w:w="9322" w:type="dxa"/>
            <w:gridSpan w:val="2"/>
          </w:tcPr>
          <w:p w14:paraId="477A4285" w14:textId="77777777" w:rsidR="00547CA2" w:rsidRPr="00C67B16" w:rsidRDefault="00547CA2" w:rsidP="00463647">
            <w:pPr>
              <w:keepNext/>
              <w:widowControl w:val="0"/>
              <w:spacing w:line="240" w:lineRule="auto"/>
              <w:rPr>
                <w:color w:val="000000"/>
                <w:szCs w:val="22"/>
                <w:lang w:val="sv-SE"/>
              </w:rPr>
            </w:pPr>
            <w:r w:rsidRPr="00C67B16">
              <w:rPr>
                <w:b/>
                <w:color w:val="000000"/>
                <w:szCs w:val="22"/>
                <w:lang w:val="sv-SE"/>
              </w:rPr>
              <w:lastRenderedPageBreak/>
              <w:t>Muskuloskeletala systemet och bindväv</w:t>
            </w:r>
          </w:p>
        </w:tc>
      </w:tr>
      <w:tr w:rsidR="00547CA2" w:rsidRPr="00644A2E" w14:paraId="74E6A3B5" w14:textId="77777777" w:rsidTr="0040304A">
        <w:trPr>
          <w:cantSplit/>
        </w:trPr>
        <w:tc>
          <w:tcPr>
            <w:tcW w:w="2235" w:type="dxa"/>
          </w:tcPr>
          <w:p w14:paraId="741E21CB"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Mycket vanliga:</w:t>
            </w:r>
          </w:p>
        </w:tc>
        <w:tc>
          <w:tcPr>
            <w:tcW w:w="7087" w:type="dxa"/>
          </w:tcPr>
          <w:p w14:paraId="4303692C"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Muskelspasm och kramper, muskel- och skelettsmärta inklusive myalgi</w:t>
            </w:r>
            <w:r w:rsidR="007B28F9" w:rsidRPr="003268EC">
              <w:rPr>
                <w:color w:val="000000"/>
                <w:szCs w:val="22"/>
                <w:vertAlign w:val="superscript"/>
                <w:lang w:val="sv-SE"/>
              </w:rPr>
              <w:t>9</w:t>
            </w:r>
            <w:r w:rsidRPr="00C67B16">
              <w:rPr>
                <w:color w:val="000000"/>
                <w:szCs w:val="22"/>
                <w:lang w:val="sv-SE"/>
              </w:rPr>
              <w:t>, ledvärk, skelettsmärta</w:t>
            </w:r>
            <w:r w:rsidR="00FE627D">
              <w:rPr>
                <w:color w:val="000000"/>
                <w:szCs w:val="22"/>
                <w:vertAlign w:val="superscript"/>
                <w:lang w:val="sv-SE"/>
              </w:rPr>
              <w:t>10</w:t>
            </w:r>
          </w:p>
        </w:tc>
      </w:tr>
      <w:tr w:rsidR="00547CA2" w:rsidRPr="00C67B16" w14:paraId="2FB7A857" w14:textId="77777777" w:rsidTr="0040304A">
        <w:trPr>
          <w:cantSplit/>
        </w:trPr>
        <w:tc>
          <w:tcPr>
            <w:tcW w:w="2235" w:type="dxa"/>
          </w:tcPr>
          <w:p w14:paraId="4F235814"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Vanliga:</w:t>
            </w:r>
          </w:p>
        </w:tc>
        <w:tc>
          <w:tcPr>
            <w:tcW w:w="7087" w:type="dxa"/>
          </w:tcPr>
          <w:p w14:paraId="19F6E4E3"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Ledsvullnad</w:t>
            </w:r>
          </w:p>
        </w:tc>
      </w:tr>
      <w:tr w:rsidR="00547CA2" w:rsidRPr="00F60A89" w14:paraId="2FB4FC28" w14:textId="77777777" w:rsidTr="0040304A">
        <w:trPr>
          <w:cantSplit/>
        </w:trPr>
        <w:tc>
          <w:tcPr>
            <w:tcW w:w="2235" w:type="dxa"/>
          </w:tcPr>
          <w:p w14:paraId="33C1DD36"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Mindre vanliga:</w:t>
            </w:r>
          </w:p>
        </w:tc>
        <w:tc>
          <w:tcPr>
            <w:tcW w:w="7087" w:type="dxa"/>
          </w:tcPr>
          <w:p w14:paraId="2F501EA9" w14:textId="77777777" w:rsidR="00547CA2" w:rsidRPr="00C67B16" w:rsidRDefault="00547CA2" w:rsidP="00463647">
            <w:pPr>
              <w:keepNext/>
              <w:widowControl w:val="0"/>
              <w:spacing w:line="240" w:lineRule="auto"/>
              <w:rPr>
                <w:color w:val="000000"/>
                <w:szCs w:val="22"/>
                <w:lang w:val="sv-SE"/>
              </w:rPr>
            </w:pPr>
            <w:r w:rsidRPr="00C67B16">
              <w:rPr>
                <w:color w:val="000000"/>
                <w:szCs w:val="22"/>
                <w:lang w:val="sv-SE"/>
              </w:rPr>
              <w:t>Styvhet i leder och muskler</w:t>
            </w:r>
          </w:p>
        </w:tc>
      </w:tr>
      <w:tr w:rsidR="00547CA2" w:rsidRPr="00C67B16" w14:paraId="6E60FD51" w14:textId="77777777" w:rsidTr="0040304A">
        <w:trPr>
          <w:cantSplit/>
        </w:trPr>
        <w:tc>
          <w:tcPr>
            <w:tcW w:w="2235" w:type="dxa"/>
          </w:tcPr>
          <w:p w14:paraId="4D3A5E4D" w14:textId="77777777" w:rsidR="00547CA2" w:rsidRPr="00C67B16" w:rsidRDefault="00547CA2" w:rsidP="00463647">
            <w:pPr>
              <w:keepNext/>
              <w:widowControl w:val="0"/>
              <w:spacing w:line="240" w:lineRule="auto"/>
              <w:rPr>
                <w:i/>
                <w:color w:val="000000"/>
                <w:szCs w:val="22"/>
                <w:lang w:val="sv-SE"/>
              </w:rPr>
            </w:pPr>
            <w:r w:rsidRPr="00C67B16">
              <w:rPr>
                <w:i/>
                <w:color w:val="000000"/>
                <w:szCs w:val="22"/>
                <w:lang w:val="sv-SE"/>
              </w:rPr>
              <w:t>Sällsynta:</w:t>
            </w:r>
          </w:p>
        </w:tc>
        <w:tc>
          <w:tcPr>
            <w:tcW w:w="7087" w:type="dxa"/>
          </w:tcPr>
          <w:p w14:paraId="53408CA8" w14:textId="77777777" w:rsidR="00547CA2" w:rsidRPr="00C67B16" w:rsidRDefault="00547CA2" w:rsidP="00463647">
            <w:pPr>
              <w:keepNext/>
              <w:widowControl w:val="0"/>
              <w:spacing w:line="240" w:lineRule="auto"/>
              <w:rPr>
                <w:color w:val="000000"/>
                <w:szCs w:val="22"/>
                <w:lang w:val="sv-SE"/>
              </w:rPr>
            </w:pPr>
            <w:r w:rsidRPr="00C67B16">
              <w:rPr>
                <w:bCs/>
                <w:color w:val="000000"/>
                <w:szCs w:val="22"/>
                <w:lang w:val="sv-SE"/>
              </w:rPr>
              <w:t>Muskelsvaghet, artrit, rabdomyolys/myopati</w:t>
            </w:r>
          </w:p>
        </w:tc>
      </w:tr>
      <w:tr w:rsidR="00CE14E8" w:rsidRPr="00F60A89" w14:paraId="2D5A5967" w14:textId="77777777" w:rsidTr="0040304A">
        <w:trPr>
          <w:cantSplit/>
        </w:trPr>
        <w:tc>
          <w:tcPr>
            <w:tcW w:w="2235" w:type="dxa"/>
          </w:tcPr>
          <w:p w14:paraId="19E30909" w14:textId="77777777" w:rsidR="00CE14E8" w:rsidRPr="00C67B16" w:rsidRDefault="00CE14E8"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35DE5472" w14:textId="77777777" w:rsidR="00CE14E8" w:rsidRPr="00C67B16" w:rsidRDefault="00CE14E8" w:rsidP="00463647">
            <w:pPr>
              <w:widowControl w:val="0"/>
              <w:spacing w:line="240" w:lineRule="auto"/>
              <w:rPr>
                <w:bCs/>
                <w:color w:val="000000"/>
                <w:szCs w:val="22"/>
                <w:lang w:val="sv-SE"/>
              </w:rPr>
            </w:pPr>
            <w:r>
              <w:rPr>
                <w:bCs/>
                <w:color w:val="000000"/>
                <w:szCs w:val="22"/>
                <w:lang w:val="sv-SE"/>
              </w:rPr>
              <w:t>Avaskulär nekros/höftnekros*, tillväxthämning hos barn*</w:t>
            </w:r>
          </w:p>
        </w:tc>
      </w:tr>
      <w:tr w:rsidR="00547CA2" w:rsidRPr="00C67B16" w14:paraId="5E8A53A1" w14:textId="77777777" w:rsidTr="0040304A">
        <w:trPr>
          <w:cantSplit/>
        </w:trPr>
        <w:tc>
          <w:tcPr>
            <w:tcW w:w="9322" w:type="dxa"/>
            <w:gridSpan w:val="2"/>
          </w:tcPr>
          <w:p w14:paraId="7E24A2E6" w14:textId="77777777" w:rsidR="00547CA2" w:rsidRPr="00C67B16" w:rsidRDefault="00547CA2" w:rsidP="00463647">
            <w:pPr>
              <w:keepNext/>
              <w:widowControl w:val="0"/>
              <w:spacing w:line="240" w:lineRule="auto"/>
              <w:rPr>
                <w:b/>
                <w:color w:val="000000"/>
                <w:szCs w:val="22"/>
                <w:lang w:val="sv-SE"/>
              </w:rPr>
            </w:pPr>
            <w:r w:rsidRPr="00C67B16">
              <w:rPr>
                <w:b/>
                <w:color w:val="000000"/>
                <w:szCs w:val="22"/>
                <w:lang w:val="sv-SE"/>
              </w:rPr>
              <w:t>Njurar och urinvägar</w:t>
            </w:r>
          </w:p>
        </w:tc>
      </w:tr>
      <w:tr w:rsidR="00547CA2" w:rsidRPr="00644A2E" w14:paraId="0C1A399D" w14:textId="77777777" w:rsidTr="0040304A">
        <w:trPr>
          <w:cantSplit/>
        </w:trPr>
        <w:tc>
          <w:tcPr>
            <w:tcW w:w="2235" w:type="dxa"/>
          </w:tcPr>
          <w:p w14:paraId="7BB72DE9" w14:textId="77777777" w:rsidR="00547CA2" w:rsidRPr="00C67B16" w:rsidRDefault="00547CA2" w:rsidP="00463647">
            <w:pPr>
              <w:keepNext/>
              <w:widowControl w:val="0"/>
              <w:spacing w:line="240" w:lineRule="auto"/>
              <w:rPr>
                <w:color w:val="000000"/>
                <w:lang w:val="sv-SE"/>
              </w:rPr>
            </w:pPr>
            <w:r w:rsidRPr="00C67B16">
              <w:rPr>
                <w:i/>
                <w:color w:val="000000"/>
                <w:szCs w:val="22"/>
                <w:lang w:val="sv-SE"/>
              </w:rPr>
              <w:t>Mindre vanliga:</w:t>
            </w:r>
          </w:p>
        </w:tc>
        <w:tc>
          <w:tcPr>
            <w:tcW w:w="7087" w:type="dxa"/>
          </w:tcPr>
          <w:p w14:paraId="3D694F76" w14:textId="77777777" w:rsidR="00547CA2" w:rsidRPr="00C67B16" w:rsidRDefault="00547CA2" w:rsidP="00463647">
            <w:pPr>
              <w:keepNext/>
              <w:widowControl w:val="0"/>
              <w:spacing w:line="240" w:lineRule="auto"/>
              <w:rPr>
                <w:color w:val="000000"/>
                <w:lang w:val="sv-SE"/>
              </w:rPr>
            </w:pPr>
            <w:r w:rsidRPr="00C67B16">
              <w:rPr>
                <w:color w:val="000000"/>
                <w:szCs w:val="22"/>
                <w:lang w:val="sv-SE"/>
              </w:rPr>
              <w:t>Njursmärta, hematuri, akut njursvikt, ökad frekvens urintömningar</w:t>
            </w:r>
          </w:p>
        </w:tc>
      </w:tr>
      <w:tr w:rsidR="00EB01B9" w:rsidRPr="00C67B16" w14:paraId="672C0875" w14:textId="77777777" w:rsidTr="0040304A">
        <w:trPr>
          <w:cantSplit/>
        </w:trPr>
        <w:tc>
          <w:tcPr>
            <w:tcW w:w="2235" w:type="dxa"/>
          </w:tcPr>
          <w:p w14:paraId="6520E40C" w14:textId="77777777" w:rsidR="00EB01B9" w:rsidRPr="00C67B16" w:rsidRDefault="00EB01B9" w:rsidP="00463647">
            <w:pPr>
              <w:widowControl w:val="0"/>
              <w:spacing w:line="240" w:lineRule="auto"/>
              <w:rPr>
                <w:i/>
                <w:color w:val="000000"/>
                <w:szCs w:val="22"/>
                <w:lang w:val="sv-SE"/>
              </w:rPr>
            </w:pPr>
            <w:r>
              <w:rPr>
                <w:i/>
                <w:color w:val="000000"/>
                <w:szCs w:val="22"/>
                <w:lang w:val="sv-SE"/>
              </w:rPr>
              <w:t>Ingen känd frekvens:</w:t>
            </w:r>
          </w:p>
        </w:tc>
        <w:tc>
          <w:tcPr>
            <w:tcW w:w="7087" w:type="dxa"/>
          </w:tcPr>
          <w:p w14:paraId="39D97A0D" w14:textId="77777777" w:rsidR="00EB01B9" w:rsidRPr="00C67B16" w:rsidRDefault="00EB01B9" w:rsidP="00463647">
            <w:pPr>
              <w:widowControl w:val="0"/>
              <w:spacing w:line="240" w:lineRule="auto"/>
              <w:rPr>
                <w:color w:val="000000"/>
                <w:szCs w:val="22"/>
                <w:lang w:val="sv-SE"/>
              </w:rPr>
            </w:pPr>
            <w:r>
              <w:rPr>
                <w:color w:val="000000"/>
                <w:szCs w:val="22"/>
                <w:lang w:val="sv-SE"/>
              </w:rPr>
              <w:t>Kronisk njursvikt</w:t>
            </w:r>
          </w:p>
        </w:tc>
      </w:tr>
      <w:tr w:rsidR="00547CA2" w:rsidRPr="00C67B16" w14:paraId="7454D630" w14:textId="77777777" w:rsidTr="0040304A">
        <w:trPr>
          <w:cantSplit/>
        </w:trPr>
        <w:tc>
          <w:tcPr>
            <w:tcW w:w="9322" w:type="dxa"/>
            <w:gridSpan w:val="2"/>
          </w:tcPr>
          <w:p w14:paraId="1F4D5223" w14:textId="77777777" w:rsidR="00547CA2" w:rsidRPr="00C67B16" w:rsidRDefault="00547CA2" w:rsidP="00463647">
            <w:pPr>
              <w:keepNext/>
              <w:keepLines/>
              <w:widowControl w:val="0"/>
              <w:spacing w:line="240" w:lineRule="auto"/>
              <w:rPr>
                <w:color w:val="000000"/>
                <w:szCs w:val="22"/>
                <w:lang w:val="sv-SE"/>
              </w:rPr>
            </w:pPr>
            <w:r w:rsidRPr="00C67B16">
              <w:rPr>
                <w:b/>
                <w:color w:val="000000"/>
                <w:szCs w:val="22"/>
                <w:lang w:val="sv-SE"/>
              </w:rPr>
              <w:t>Reproduktionsorgan och bröstkörtel</w:t>
            </w:r>
          </w:p>
        </w:tc>
      </w:tr>
      <w:tr w:rsidR="00547CA2" w:rsidRPr="00644A2E" w14:paraId="2FB1C6DD" w14:textId="77777777" w:rsidTr="0040304A">
        <w:trPr>
          <w:cantSplit/>
        </w:trPr>
        <w:tc>
          <w:tcPr>
            <w:tcW w:w="2235" w:type="dxa"/>
          </w:tcPr>
          <w:p w14:paraId="75A9E898" w14:textId="77777777" w:rsidR="00547CA2" w:rsidRPr="00C67B16" w:rsidRDefault="00547CA2" w:rsidP="00463647">
            <w:pPr>
              <w:keepNext/>
              <w:keepLines/>
              <w:widowControl w:val="0"/>
              <w:spacing w:line="240" w:lineRule="auto"/>
              <w:rPr>
                <w:i/>
                <w:color w:val="000000"/>
                <w:szCs w:val="22"/>
                <w:lang w:val="sv-SE"/>
              </w:rPr>
            </w:pPr>
            <w:r w:rsidRPr="00C67B16">
              <w:rPr>
                <w:i/>
                <w:color w:val="000000"/>
                <w:szCs w:val="22"/>
                <w:lang w:val="sv-SE"/>
              </w:rPr>
              <w:t>Mindre vanliga:</w:t>
            </w:r>
          </w:p>
        </w:tc>
        <w:tc>
          <w:tcPr>
            <w:tcW w:w="7087" w:type="dxa"/>
          </w:tcPr>
          <w:p w14:paraId="124D047C" w14:textId="77777777" w:rsidR="00547CA2" w:rsidRPr="00C67B16" w:rsidRDefault="00547CA2" w:rsidP="00463647">
            <w:pPr>
              <w:keepNext/>
              <w:keepLines/>
              <w:widowControl w:val="0"/>
              <w:spacing w:line="240" w:lineRule="auto"/>
              <w:rPr>
                <w:color w:val="000000"/>
                <w:szCs w:val="22"/>
                <w:lang w:val="sv-SE"/>
              </w:rPr>
            </w:pPr>
            <w:r w:rsidRPr="00C67B16">
              <w:rPr>
                <w:color w:val="000000"/>
                <w:szCs w:val="22"/>
                <w:lang w:val="sv-SE"/>
              </w:rPr>
              <w:t>Gynekomasti, erektil dysfunktion, menorragi, oregelbunden menstruation, sexuell dysfunktion, ömma bröstvårtor, bröstförstoring, skrotumödem</w:t>
            </w:r>
          </w:p>
        </w:tc>
      </w:tr>
      <w:tr w:rsidR="00547CA2" w:rsidRPr="00F60A89" w14:paraId="1183D634" w14:textId="77777777" w:rsidTr="0040304A">
        <w:trPr>
          <w:cantSplit/>
        </w:trPr>
        <w:tc>
          <w:tcPr>
            <w:tcW w:w="2235" w:type="dxa"/>
          </w:tcPr>
          <w:p w14:paraId="5226E081" w14:textId="77777777" w:rsidR="00547CA2" w:rsidRPr="00C67B16" w:rsidRDefault="00547CA2" w:rsidP="00463647">
            <w:pPr>
              <w:widowControl w:val="0"/>
              <w:spacing w:line="240" w:lineRule="auto"/>
              <w:rPr>
                <w:i/>
                <w:color w:val="000000"/>
                <w:szCs w:val="22"/>
                <w:lang w:val="sv-SE"/>
              </w:rPr>
            </w:pPr>
            <w:r w:rsidRPr="00C67B16">
              <w:rPr>
                <w:i/>
                <w:color w:val="000000"/>
                <w:szCs w:val="22"/>
                <w:lang w:val="sv-SE"/>
              </w:rPr>
              <w:t>Sällsynta:</w:t>
            </w:r>
          </w:p>
        </w:tc>
        <w:tc>
          <w:tcPr>
            <w:tcW w:w="7087" w:type="dxa"/>
          </w:tcPr>
          <w:p w14:paraId="387F94FF" w14:textId="77777777" w:rsidR="00547CA2" w:rsidRPr="00C67B16" w:rsidRDefault="00547CA2" w:rsidP="00463647">
            <w:pPr>
              <w:widowControl w:val="0"/>
              <w:spacing w:line="240" w:lineRule="auto"/>
              <w:rPr>
                <w:color w:val="000000"/>
                <w:szCs w:val="22"/>
                <w:lang w:val="sv-SE"/>
              </w:rPr>
            </w:pPr>
            <w:r w:rsidRPr="00C67B16">
              <w:rPr>
                <w:color w:val="000000"/>
                <w:szCs w:val="22"/>
                <w:lang w:val="sv-SE"/>
              </w:rPr>
              <w:t>Blödning i gulkropp/blödande ovarialcysta</w:t>
            </w:r>
          </w:p>
        </w:tc>
      </w:tr>
      <w:tr w:rsidR="00547CA2" w:rsidRPr="00F60A89" w14:paraId="3B8DF626" w14:textId="77777777" w:rsidTr="0040304A">
        <w:trPr>
          <w:cantSplit/>
        </w:trPr>
        <w:tc>
          <w:tcPr>
            <w:tcW w:w="9322" w:type="dxa"/>
            <w:gridSpan w:val="2"/>
          </w:tcPr>
          <w:p w14:paraId="09BD3B05" w14:textId="77777777" w:rsidR="00547CA2" w:rsidRPr="00C67B16" w:rsidRDefault="00547CA2" w:rsidP="00463647">
            <w:pPr>
              <w:keepNext/>
              <w:keepLines/>
              <w:widowControl w:val="0"/>
              <w:spacing w:line="240" w:lineRule="auto"/>
              <w:rPr>
                <w:color w:val="000000"/>
                <w:szCs w:val="22"/>
                <w:lang w:val="sv-SE"/>
              </w:rPr>
            </w:pPr>
            <w:r w:rsidRPr="00C67B16">
              <w:rPr>
                <w:b/>
                <w:color w:val="000000"/>
                <w:szCs w:val="22"/>
                <w:lang w:val="sv-SE"/>
              </w:rPr>
              <w:t>Allmänna symtom och/eller symtom vid administreringsstället</w:t>
            </w:r>
          </w:p>
        </w:tc>
      </w:tr>
      <w:tr w:rsidR="00547CA2" w:rsidRPr="00C67B16" w14:paraId="4A8D44CC" w14:textId="77777777" w:rsidTr="0040304A">
        <w:trPr>
          <w:cantSplit/>
        </w:trPr>
        <w:tc>
          <w:tcPr>
            <w:tcW w:w="2235" w:type="dxa"/>
          </w:tcPr>
          <w:p w14:paraId="5028E6A5" w14:textId="77777777" w:rsidR="00547CA2" w:rsidRPr="00C67B16" w:rsidRDefault="00547CA2" w:rsidP="00463647">
            <w:pPr>
              <w:keepNext/>
              <w:keepLines/>
              <w:widowControl w:val="0"/>
              <w:spacing w:line="240" w:lineRule="auto"/>
              <w:rPr>
                <w:i/>
                <w:color w:val="000000"/>
                <w:szCs w:val="22"/>
                <w:lang w:val="sv-SE"/>
              </w:rPr>
            </w:pPr>
            <w:r w:rsidRPr="00C67B16">
              <w:rPr>
                <w:i/>
                <w:color w:val="000000"/>
                <w:szCs w:val="22"/>
                <w:lang w:val="sv-SE"/>
              </w:rPr>
              <w:t>Mycket vanliga:</w:t>
            </w:r>
          </w:p>
        </w:tc>
        <w:tc>
          <w:tcPr>
            <w:tcW w:w="7087" w:type="dxa"/>
          </w:tcPr>
          <w:p w14:paraId="4C2535C9" w14:textId="77777777" w:rsidR="00547CA2" w:rsidRPr="00C67B16" w:rsidRDefault="00547CA2" w:rsidP="00463647">
            <w:pPr>
              <w:keepNext/>
              <w:keepLines/>
              <w:widowControl w:val="0"/>
              <w:spacing w:line="240" w:lineRule="auto"/>
              <w:rPr>
                <w:color w:val="000000"/>
                <w:szCs w:val="22"/>
                <w:lang w:val="sv-SE"/>
              </w:rPr>
            </w:pPr>
            <w:r w:rsidRPr="00C67B16">
              <w:rPr>
                <w:color w:val="000000"/>
                <w:szCs w:val="22"/>
                <w:lang w:val="sv-SE"/>
              </w:rPr>
              <w:t>Vätskeretention och ödem, trötthet</w:t>
            </w:r>
          </w:p>
        </w:tc>
      </w:tr>
      <w:tr w:rsidR="00547CA2" w:rsidRPr="00F60A89" w14:paraId="01FCFA81" w14:textId="77777777" w:rsidTr="0040304A">
        <w:trPr>
          <w:cantSplit/>
        </w:trPr>
        <w:tc>
          <w:tcPr>
            <w:tcW w:w="2235" w:type="dxa"/>
          </w:tcPr>
          <w:p w14:paraId="28952BB7" w14:textId="77777777" w:rsidR="00547CA2" w:rsidRPr="00C67B16" w:rsidRDefault="00547CA2" w:rsidP="00463647">
            <w:pPr>
              <w:keepNext/>
              <w:keepLines/>
              <w:widowControl w:val="0"/>
              <w:spacing w:line="240" w:lineRule="auto"/>
              <w:rPr>
                <w:i/>
                <w:color w:val="000000"/>
                <w:szCs w:val="22"/>
                <w:lang w:val="sv-SE"/>
              </w:rPr>
            </w:pPr>
            <w:r w:rsidRPr="00C67B16">
              <w:rPr>
                <w:i/>
                <w:color w:val="000000"/>
                <w:szCs w:val="22"/>
                <w:lang w:val="sv-SE"/>
              </w:rPr>
              <w:t>Vanliga:</w:t>
            </w:r>
          </w:p>
        </w:tc>
        <w:tc>
          <w:tcPr>
            <w:tcW w:w="7087" w:type="dxa"/>
          </w:tcPr>
          <w:p w14:paraId="7DBACAA4" w14:textId="77777777" w:rsidR="00547CA2" w:rsidRPr="00C67B16" w:rsidRDefault="00547CA2" w:rsidP="00463647">
            <w:pPr>
              <w:keepNext/>
              <w:keepLines/>
              <w:widowControl w:val="0"/>
              <w:spacing w:line="240" w:lineRule="auto"/>
              <w:rPr>
                <w:color w:val="000000"/>
                <w:szCs w:val="22"/>
                <w:lang w:val="sv-SE"/>
              </w:rPr>
            </w:pPr>
            <w:r w:rsidRPr="00C67B16">
              <w:rPr>
                <w:color w:val="000000"/>
                <w:szCs w:val="22"/>
                <w:lang w:val="sv-SE"/>
              </w:rPr>
              <w:t>Svaghet, pyrexi, anasarka, rysningar, stelhet</w:t>
            </w:r>
          </w:p>
        </w:tc>
      </w:tr>
      <w:tr w:rsidR="00547CA2" w:rsidRPr="00C67B16" w14:paraId="204EF011" w14:textId="77777777" w:rsidTr="0040304A">
        <w:trPr>
          <w:cantSplit/>
        </w:trPr>
        <w:tc>
          <w:tcPr>
            <w:tcW w:w="2235" w:type="dxa"/>
          </w:tcPr>
          <w:p w14:paraId="6122E354" w14:textId="77777777" w:rsidR="00547CA2" w:rsidRPr="00C67B16" w:rsidRDefault="00547CA2" w:rsidP="00463647">
            <w:pPr>
              <w:widowControl w:val="0"/>
              <w:spacing w:line="240" w:lineRule="auto"/>
              <w:rPr>
                <w:i/>
                <w:color w:val="000000"/>
                <w:szCs w:val="22"/>
                <w:lang w:val="sv-SE"/>
              </w:rPr>
            </w:pPr>
            <w:r w:rsidRPr="00C67B16">
              <w:rPr>
                <w:i/>
                <w:color w:val="000000"/>
                <w:szCs w:val="22"/>
                <w:lang w:val="sv-SE"/>
              </w:rPr>
              <w:t>Mindre vanliga:</w:t>
            </w:r>
          </w:p>
        </w:tc>
        <w:tc>
          <w:tcPr>
            <w:tcW w:w="7087" w:type="dxa"/>
          </w:tcPr>
          <w:p w14:paraId="1277FDC3" w14:textId="77777777" w:rsidR="00547CA2" w:rsidRPr="00C67B16" w:rsidRDefault="00547CA2" w:rsidP="00463647">
            <w:pPr>
              <w:widowControl w:val="0"/>
              <w:spacing w:line="240" w:lineRule="auto"/>
              <w:rPr>
                <w:color w:val="000000"/>
                <w:szCs w:val="22"/>
                <w:lang w:val="sv-SE"/>
              </w:rPr>
            </w:pPr>
            <w:r w:rsidRPr="00C67B16">
              <w:rPr>
                <w:color w:val="000000"/>
                <w:szCs w:val="22"/>
                <w:lang w:val="sv-SE"/>
              </w:rPr>
              <w:t>Bröstsmärta, allmän sjukdomskänsla</w:t>
            </w:r>
          </w:p>
        </w:tc>
      </w:tr>
      <w:tr w:rsidR="00547CA2" w:rsidRPr="00C67B16" w14:paraId="6BD78170" w14:textId="77777777" w:rsidTr="0040304A">
        <w:trPr>
          <w:cantSplit/>
        </w:trPr>
        <w:tc>
          <w:tcPr>
            <w:tcW w:w="9322" w:type="dxa"/>
            <w:gridSpan w:val="2"/>
          </w:tcPr>
          <w:p w14:paraId="0F5C87EE" w14:textId="77777777" w:rsidR="00547CA2" w:rsidRPr="00C67B16" w:rsidRDefault="00547CA2" w:rsidP="00463647">
            <w:pPr>
              <w:keepNext/>
              <w:keepLines/>
              <w:widowControl w:val="0"/>
              <w:spacing w:line="240" w:lineRule="auto"/>
              <w:rPr>
                <w:color w:val="000000"/>
                <w:lang w:val="sv-SE"/>
              </w:rPr>
            </w:pPr>
            <w:r w:rsidRPr="00C67B16">
              <w:rPr>
                <w:b/>
                <w:color w:val="000000"/>
                <w:szCs w:val="22"/>
                <w:lang w:val="sv-SE"/>
              </w:rPr>
              <w:t>Undersökningar</w:t>
            </w:r>
          </w:p>
        </w:tc>
      </w:tr>
      <w:tr w:rsidR="00547CA2" w:rsidRPr="00C67B16" w14:paraId="2FAB1A77" w14:textId="77777777" w:rsidTr="0040304A">
        <w:trPr>
          <w:cantSplit/>
        </w:trPr>
        <w:tc>
          <w:tcPr>
            <w:tcW w:w="2235" w:type="dxa"/>
          </w:tcPr>
          <w:p w14:paraId="458D8692" w14:textId="77777777" w:rsidR="00547CA2" w:rsidRPr="00C67B16" w:rsidRDefault="00547CA2" w:rsidP="00463647">
            <w:pPr>
              <w:keepNext/>
              <w:keepLines/>
              <w:widowControl w:val="0"/>
              <w:spacing w:line="240" w:lineRule="auto"/>
              <w:rPr>
                <w:color w:val="000000"/>
                <w:lang w:val="sv-SE"/>
              </w:rPr>
            </w:pPr>
            <w:r w:rsidRPr="00C67B16">
              <w:rPr>
                <w:i/>
                <w:color w:val="000000"/>
                <w:szCs w:val="22"/>
                <w:lang w:val="sv-SE"/>
              </w:rPr>
              <w:t>Mycket vanliga:</w:t>
            </w:r>
          </w:p>
        </w:tc>
        <w:tc>
          <w:tcPr>
            <w:tcW w:w="7087" w:type="dxa"/>
          </w:tcPr>
          <w:p w14:paraId="617063A2" w14:textId="77777777" w:rsidR="00547CA2" w:rsidRPr="00C67B16" w:rsidRDefault="00547CA2" w:rsidP="00463647">
            <w:pPr>
              <w:keepNext/>
              <w:keepLines/>
              <w:widowControl w:val="0"/>
              <w:spacing w:line="240" w:lineRule="auto"/>
              <w:rPr>
                <w:color w:val="000000"/>
                <w:lang w:val="sv-SE"/>
              </w:rPr>
            </w:pPr>
            <w:r w:rsidRPr="00C67B16">
              <w:rPr>
                <w:color w:val="000000"/>
                <w:szCs w:val="22"/>
                <w:lang w:val="sv-SE"/>
              </w:rPr>
              <w:t>Viktökning</w:t>
            </w:r>
          </w:p>
        </w:tc>
      </w:tr>
      <w:tr w:rsidR="00547CA2" w:rsidRPr="00C67B16" w14:paraId="3BF1918F" w14:textId="77777777" w:rsidTr="0040304A">
        <w:trPr>
          <w:cantSplit/>
        </w:trPr>
        <w:tc>
          <w:tcPr>
            <w:tcW w:w="2235" w:type="dxa"/>
          </w:tcPr>
          <w:p w14:paraId="52230E30" w14:textId="77777777" w:rsidR="00547CA2" w:rsidRPr="00C67B16" w:rsidRDefault="00547CA2" w:rsidP="00463647">
            <w:pPr>
              <w:keepNext/>
              <w:keepLines/>
              <w:widowControl w:val="0"/>
              <w:spacing w:line="240" w:lineRule="auto"/>
              <w:rPr>
                <w:color w:val="000000"/>
                <w:lang w:val="sv-SE"/>
              </w:rPr>
            </w:pPr>
            <w:r w:rsidRPr="00C67B16">
              <w:rPr>
                <w:i/>
                <w:color w:val="000000"/>
                <w:szCs w:val="22"/>
                <w:lang w:val="sv-SE"/>
              </w:rPr>
              <w:t>Vanliga</w:t>
            </w:r>
            <w:r w:rsidRPr="00C67B16">
              <w:rPr>
                <w:color w:val="000000"/>
                <w:szCs w:val="22"/>
                <w:lang w:val="sv-SE"/>
              </w:rPr>
              <w:t>:</w:t>
            </w:r>
          </w:p>
        </w:tc>
        <w:tc>
          <w:tcPr>
            <w:tcW w:w="7087" w:type="dxa"/>
          </w:tcPr>
          <w:p w14:paraId="25E421CE" w14:textId="77777777" w:rsidR="00547CA2" w:rsidRPr="00C67B16" w:rsidRDefault="00547CA2" w:rsidP="00463647">
            <w:pPr>
              <w:keepNext/>
              <w:keepLines/>
              <w:widowControl w:val="0"/>
              <w:spacing w:line="240" w:lineRule="auto"/>
              <w:rPr>
                <w:color w:val="000000"/>
                <w:lang w:val="sv-SE"/>
              </w:rPr>
            </w:pPr>
            <w:r w:rsidRPr="00C67B16">
              <w:rPr>
                <w:color w:val="000000"/>
                <w:szCs w:val="22"/>
                <w:lang w:val="sv-SE"/>
              </w:rPr>
              <w:t>Viktnedgång</w:t>
            </w:r>
          </w:p>
        </w:tc>
      </w:tr>
      <w:tr w:rsidR="00547CA2" w:rsidRPr="00644A2E" w14:paraId="7BBCEE3E" w14:textId="77777777" w:rsidTr="0040304A">
        <w:trPr>
          <w:cantSplit/>
        </w:trPr>
        <w:tc>
          <w:tcPr>
            <w:tcW w:w="2235" w:type="dxa"/>
          </w:tcPr>
          <w:p w14:paraId="3D69FDDB" w14:textId="77777777" w:rsidR="00547CA2" w:rsidRPr="00C67B16" w:rsidRDefault="00547CA2" w:rsidP="00463647">
            <w:pPr>
              <w:keepNext/>
              <w:keepLines/>
              <w:widowControl w:val="0"/>
              <w:spacing w:line="240" w:lineRule="auto"/>
              <w:rPr>
                <w:color w:val="000000"/>
                <w:lang w:val="sv-SE"/>
              </w:rPr>
            </w:pPr>
            <w:r w:rsidRPr="00C67B16">
              <w:rPr>
                <w:i/>
                <w:color w:val="000000"/>
                <w:szCs w:val="22"/>
                <w:lang w:val="sv-SE"/>
              </w:rPr>
              <w:t>Mindre vanliga</w:t>
            </w:r>
            <w:r w:rsidRPr="00C67B16">
              <w:rPr>
                <w:color w:val="000000"/>
                <w:szCs w:val="22"/>
                <w:lang w:val="sv-SE"/>
              </w:rPr>
              <w:t>:</w:t>
            </w:r>
          </w:p>
        </w:tc>
        <w:tc>
          <w:tcPr>
            <w:tcW w:w="7087" w:type="dxa"/>
          </w:tcPr>
          <w:p w14:paraId="263C8B68" w14:textId="77777777" w:rsidR="00547CA2" w:rsidRPr="00C67B16" w:rsidRDefault="00547CA2" w:rsidP="00463647">
            <w:pPr>
              <w:keepNext/>
              <w:keepLines/>
              <w:widowControl w:val="0"/>
              <w:spacing w:line="240" w:lineRule="auto"/>
              <w:rPr>
                <w:color w:val="000000"/>
                <w:lang w:val="sv-SE"/>
              </w:rPr>
            </w:pPr>
            <w:r w:rsidRPr="00C67B16">
              <w:rPr>
                <w:color w:val="000000"/>
                <w:szCs w:val="22"/>
                <w:lang w:val="sv-SE"/>
              </w:rPr>
              <w:t>Ökning av kreatinin i blod, ökning av kreatininfosfokinas i blod, ökning av laktatdehydrogenas i blod, ökning av alkaliskt fosfatas i blod</w:t>
            </w:r>
          </w:p>
        </w:tc>
      </w:tr>
      <w:tr w:rsidR="00547CA2" w:rsidRPr="00F60A89" w14:paraId="6BDC6B8F" w14:textId="77777777" w:rsidTr="0040304A">
        <w:trPr>
          <w:cantSplit/>
        </w:trPr>
        <w:tc>
          <w:tcPr>
            <w:tcW w:w="2235" w:type="dxa"/>
          </w:tcPr>
          <w:p w14:paraId="1A0CBC15" w14:textId="77777777" w:rsidR="00547CA2" w:rsidRPr="00C67B16" w:rsidRDefault="00547CA2" w:rsidP="00463647">
            <w:pPr>
              <w:keepNext/>
              <w:keepLines/>
              <w:widowControl w:val="0"/>
              <w:spacing w:line="240" w:lineRule="auto"/>
              <w:rPr>
                <w:i/>
                <w:color w:val="000000"/>
                <w:szCs w:val="22"/>
                <w:lang w:val="sv-SE"/>
              </w:rPr>
            </w:pPr>
            <w:r w:rsidRPr="00C67B16">
              <w:rPr>
                <w:i/>
                <w:color w:val="000000"/>
                <w:szCs w:val="22"/>
                <w:lang w:val="sv-SE"/>
              </w:rPr>
              <w:t>Sällsynta:</w:t>
            </w:r>
          </w:p>
        </w:tc>
        <w:tc>
          <w:tcPr>
            <w:tcW w:w="7087" w:type="dxa"/>
          </w:tcPr>
          <w:p w14:paraId="75983955" w14:textId="77777777" w:rsidR="00547CA2" w:rsidRPr="00C67B16" w:rsidRDefault="00547CA2" w:rsidP="00463647">
            <w:pPr>
              <w:keepNext/>
              <w:keepLines/>
              <w:widowControl w:val="0"/>
              <w:spacing w:line="240" w:lineRule="auto"/>
              <w:rPr>
                <w:color w:val="000000"/>
                <w:szCs w:val="22"/>
                <w:lang w:val="sv-SE"/>
              </w:rPr>
            </w:pPr>
            <w:r w:rsidRPr="00C67B16">
              <w:rPr>
                <w:color w:val="000000"/>
                <w:szCs w:val="22"/>
                <w:lang w:val="sv-SE"/>
              </w:rPr>
              <w:t>Ökning av amylas i blod</w:t>
            </w:r>
          </w:p>
        </w:tc>
      </w:tr>
    </w:tbl>
    <w:p w14:paraId="02174C8E" w14:textId="77777777" w:rsidR="00547CA2" w:rsidRDefault="00547CA2" w:rsidP="00463647">
      <w:pPr>
        <w:keepNext/>
        <w:keepLines/>
        <w:widowControl w:val="0"/>
        <w:spacing w:line="240" w:lineRule="auto"/>
        <w:rPr>
          <w:color w:val="000000"/>
          <w:lang w:val="sv-SE"/>
        </w:rPr>
      </w:pPr>
    </w:p>
    <w:p w14:paraId="52E0A3F3" w14:textId="77777777" w:rsidR="00BA7C65" w:rsidRPr="000E7AE9" w:rsidRDefault="00BA7C65" w:rsidP="00463647">
      <w:pPr>
        <w:keepNext/>
        <w:keepLines/>
        <w:widowControl w:val="0"/>
        <w:tabs>
          <w:tab w:val="clear" w:pos="567"/>
        </w:tabs>
        <w:spacing w:line="240" w:lineRule="auto"/>
        <w:ind w:left="567" w:hanging="567"/>
        <w:rPr>
          <w:color w:val="000000"/>
          <w:lang w:val="sv-SE"/>
        </w:rPr>
      </w:pPr>
      <w:r w:rsidRPr="00CF395E">
        <w:rPr>
          <w:color w:val="000000"/>
          <w:lang w:val="sv-SE"/>
        </w:rPr>
        <w:t>*</w:t>
      </w:r>
      <w:r w:rsidRPr="00CF395E">
        <w:rPr>
          <w:color w:val="000000"/>
          <w:lang w:val="sv-SE"/>
        </w:rPr>
        <w:tab/>
        <w:t xml:space="preserve">Dessa typer av </w:t>
      </w:r>
      <w:r>
        <w:rPr>
          <w:color w:val="000000"/>
          <w:lang w:val="sv-SE"/>
        </w:rPr>
        <w:t>biverkningar</w:t>
      </w:r>
      <w:r w:rsidRPr="00CF395E">
        <w:rPr>
          <w:color w:val="000000"/>
          <w:lang w:val="sv-SE"/>
        </w:rPr>
        <w:t xml:space="preserve"> har framförallt rapporterats </w:t>
      </w:r>
      <w:r>
        <w:rPr>
          <w:color w:val="000000"/>
          <w:lang w:val="sv-SE"/>
        </w:rPr>
        <w:t>baserat på erfarenhet efter introduktionen av Glivec på marknaden.</w:t>
      </w:r>
      <w:r w:rsidRPr="000A745A">
        <w:rPr>
          <w:color w:val="000000"/>
          <w:lang w:val="sv-SE"/>
        </w:rPr>
        <w:t xml:space="preserve"> Detta inkluderar spontana fallrapporter samt allvarliga </w:t>
      </w:r>
      <w:r>
        <w:rPr>
          <w:color w:val="000000"/>
          <w:lang w:val="sv-SE"/>
        </w:rPr>
        <w:t xml:space="preserve">oönskade händelser i </w:t>
      </w:r>
      <w:r w:rsidRPr="000A745A">
        <w:rPr>
          <w:color w:val="000000"/>
          <w:lang w:val="sv-SE"/>
        </w:rPr>
        <w:t xml:space="preserve">pågående studier, </w:t>
      </w:r>
      <w:r>
        <w:rPr>
          <w:color w:val="000000"/>
          <w:lang w:val="sv-SE"/>
        </w:rPr>
        <w:t>expanded access program</w:t>
      </w:r>
      <w:r w:rsidRPr="000A745A">
        <w:rPr>
          <w:color w:val="000000"/>
          <w:lang w:val="sv-SE"/>
        </w:rPr>
        <w:t xml:space="preserve">, </w:t>
      </w:r>
      <w:r w:rsidRPr="00496252">
        <w:rPr>
          <w:color w:val="000000"/>
          <w:lang w:val="sv-SE"/>
        </w:rPr>
        <w:t>kliniska farmakologiska studier</w:t>
      </w:r>
      <w:r w:rsidRPr="000A745A">
        <w:rPr>
          <w:color w:val="000000"/>
          <w:lang w:val="sv-SE"/>
        </w:rPr>
        <w:t xml:space="preserve"> och forskningsstudier på icke godkända indikationer. Eftersom dessa biverkningar har rapporterats från en population av okänd storlek </w:t>
      </w:r>
      <w:r>
        <w:rPr>
          <w:color w:val="000000"/>
          <w:lang w:val="sv-SE"/>
        </w:rPr>
        <w:t>har det inte alltid varit möjligt att fastställa deras frekvens</w:t>
      </w:r>
      <w:r w:rsidRPr="000A745A">
        <w:rPr>
          <w:color w:val="000000"/>
          <w:lang w:val="sv-SE"/>
        </w:rPr>
        <w:t xml:space="preserve"> eller etablera </w:t>
      </w:r>
      <w:r>
        <w:rPr>
          <w:color w:val="000000"/>
          <w:lang w:val="sv-SE"/>
        </w:rPr>
        <w:t>kausalsamband</w:t>
      </w:r>
      <w:r w:rsidRPr="000A745A">
        <w:rPr>
          <w:color w:val="000000"/>
          <w:lang w:val="sv-SE"/>
        </w:rPr>
        <w:t xml:space="preserve"> med imatinib</w:t>
      </w:r>
      <w:r>
        <w:rPr>
          <w:color w:val="000000"/>
          <w:lang w:val="sv-SE"/>
        </w:rPr>
        <w:t>behandlingen</w:t>
      </w:r>
      <w:r w:rsidRPr="000A745A">
        <w:rPr>
          <w:color w:val="000000"/>
          <w:lang w:val="sv-SE"/>
        </w:rPr>
        <w:t>.</w:t>
      </w:r>
    </w:p>
    <w:p w14:paraId="0EFE7C3F" w14:textId="77777777" w:rsidR="00547CA2" w:rsidRPr="00120617" w:rsidRDefault="00547CA2" w:rsidP="00463647">
      <w:pPr>
        <w:keepNext/>
        <w:keepLines/>
        <w:widowControl w:val="0"/>
        <w:tabs>
          <w:tab w:val="clear" w:pos="567"/>
        </w:tabs>
        <w:spacing w:line="240" w:lineRule="auto"/>
        <w:ind w:left="567" w:hanging="567"/>
        <w:rPr>
          <w:color w:val="000000"/>
          <w:lang w:val="sv-SE"/>
        </w:rPr>
      </w:pPr>
      <w:r w:rsidRPr="00120617">
        <w:rPr>
          <w:color w:val="000000"/>
          <w:lang w:val="sv-SE"/>
        </w:rPr>
        <w:t>1</w:t>
      </w:r>
      <w:r w:rsidRPr="00120617">
        <w:rPr>
          <w:color w:val="000000"/>
          <w:lang w:val="sv-SE"/>
        </w:rPr>
        <w:tab/>
        <w:t>Pneumoni rapporterades oftast hos patienter med transformerad KML och hos patienter med GIST.</w:t>
      </w:r>
    </w:p>
    <w:p w14:paraId="53F134A2" w14:textId="77777777" w:rsidR="00547CA2" w:rsidRPr="00120617" w:rsidRDefault="00547CA2" w:rsidP="00463647">
      <w:pPr>
        <w:keepNext/>
        <w:keepLines/>
        <w:widowControl w:val="0"/>
        <w:tabs>
          <w:tab w:val="clear" w:pos="567"/>
        </w:tabs>
        <w:spacing w:line="240" w:lineRule="auto"/>
        <w:ind w:left="567" w:hanging="567"/>
        <w:rPr>
          <w:color w:val="000000"/>
          <w:lang w:val="sv-SE"/>
        </w:rPr>
      </w:pPr>
      <w:r w:rsidRPr="00120617">
        <w:rPr>
          <w:color w:val="000000"/>
          <w:lang w:val="sv-SE"/>
        </w:rPr>
        <w:t>2</w:t>
      </w:r>
      <w:r w:rsidRPr="00120617">
        <w:rPr>
          <w:color w:val="000000"/>
          <w:lang w:val="sv-SE"/>
        </w:rPr>
        <w:tab/>
        <w:t>Huvudvärk var vanligast hos patienter med GIST.</w:t>
      </w:r>
    </w:p>
    <w:p w14:paraId="677D0A15" w14:textId="77777777" w:rsidR="00547CA2" w:rsidRPr="00120617" w:rsidRDefault="00547CA2" w:rsidP="00463647">
      <w:pPr>
        <w:keepNext/>
        <w:keepLines/>
        <w:widowControl w:val="0"/>
        <w:tabs>
          <w:tab w:val="clear" w:pos="567"/>
        </w:tabs>
        <w:spacing w:line="240" w:lineRule="auto"/>
        <w:ind w:left="567" w:hanging="567"/>
        <w:rPr>
          <w:color w:val="000000"/>
          <w:lang w:val="sv-SE"/>
        </w:rPr>
      </w:pPr>
      <w:r w:rsidRPr="00120617">
        <w:rPr>
          <w:color w:val="000000"/>
          <w:lang w:val="sv-SE"/>
        </w:rPr>
        <w:t>3</w:t>
      </w:r>
      <w:r w:rsidRPr="00120617">
        <w:rPr>
          <w:color w:val="000000"/>
          <w:lang w:val="sv-SE"/>
        </w:rPr>
        <w:tab/>
        <w:t>Beräknat på patientår var hjärtbiverkningar inklusive kronisk hjärtsvikt vanligare hos patienter med transformerad KML än hos patienter med kronisk KML.</w:t>
      </w:r>
    </w:p>
    <w:p w14:paraId="42F8C2A9" w14:textId="77777777" w:rsidR="00547CA2" w:rsidRPr="00120617" w:rsidRDefault="00547CA2" w:rsidP="00463647">
      <w:pPr>
        <w:keepNext/>
        <w:keepLines/>
        <w:widowControl w:val="0"/>
        <w:tabs>
          <w:tab w:val="clear" w:pos="567"/>
        </w:tabs>
        <w:spacing w:line="240" w:lineRule="auto"/>
        <w:ind w:left="567" w:hanging="567"/>
        <w:rPr>
          <w:color w:val="000000"/>
          <w:lang w:val="sv-SE"/>
        </w:rPr>
      </w:pPr>
      <w:r w:rsidRPr="00120617">
        <w:rPr>
          <w:color w:val="000000"/>
          <w:lang w:val="sv-SE"/>
        </w:rPr>
        <w:t>4</w:t>
      </w:r>
      <w:r w:rsidRPr="00120617">
        <w:rPr>
          <w:color w:val="000000"/>
          <w:lang w:val="sv-SE"/>
        </w:rPr>
        <w:tab/>
        <w:t>Flushing var vanligast hos patienter med GIST och blödningar (hematom, hemorragi) var vanligast hos patienter med GIST och med transformerad KML (KML-AP och KML-BC).</w:t>
      </w:r>
    </w:p>
    <w:p w14:paraId="5C50B0F9" w14:textId="77777777" w:rsidR="00547CA2" w:rsidRPr="00120617" w:rsidRDefault="00547CA2" w:rsidP="00463647">
      <w:pPr>
        <w:keepNext/>
        <w:keepLines/>
        <w:widowControl w:val="0"/>
        <w:tabs>
          <w:tab w:val="clear" w:pos="567"/>
        </w:tabs>
        <w:spacing w:line="240" w:lineRule="auto"/>
        <w:ind w:left="567" w:hanging="567"/>
        <w:rPr>
          <w:color w:val="000000"/>
          <w:lang w:val="sv-SE"/>
        </w:rPr>
      </w:pPr>
      <w:r w:rsidRPr="00120617">
        <w:rPr>
          <w:color w:val="000000"/>
          <w:lang w:val="sv-SE"/>
        </w:rPr>
        <w:t>5</w:t>
      </w:r>
      <w:r w:rsidRPr="00120617">
        <w:rPr>
          <w:color w:val="000000"/>
          <w:lang w:val="sv-SE"/>
        </w:rPr>
        <w:tab/>
        <w:t>Pleurautgjutning rapporterades oftare för patienter med GIST eller transformerad KML (KML-AP och KML-BC) än för patienter med kronisk KML.</w:t>
      </w:r>
    </w:p>
    <w:p w14:paraId="1EA229A9" w14:textId="77777777" w:rsidR="00547CA2" w:rsidRPr="00120617" w:rsidRDefault="00547CA2" w:rsidP="00463647">
      <w:pPr>
        <w:keepNext/>
        <w:keepLines/>
        <w:widowControl w:val="0"/>
        <w:tabs>
          <w:tab w:val="clear" w:pos="567"/>
        </w:tabs>
        <w:spacing w:line="240" w:lineRule="auto"/>
        <w:ind w:left="567" w:hanging="567"/>
        <w:rPr>
          <w:color w:val="000000"/>
          <w:lang w:val="sv-SE"/>
        </w:rPr>
      </w:pPr>
      <w:r w:rsidRPr="00120617">
        <w:rPr>
          <w:color w:val="000000"/>
          <w:lang w:val="sv-SE"/>
        </w:rPr>
        <w:t>6+7</w:t>
      </w:r>
      <w:r w:rsidRPr="00120617">
        <w:rPr>
          <w:color w:val="000000"/>
          <w:lang w:val="sv-SE"/>
        </w:rPr>
        <w:tab/>
        <w:t>Buksmärta och gastrointestinal blödning sågs oftare hos patienter med GIST.</w:t>
      </w:r>
    </w:p>
    <w:p w14:paraId="4E24ECC5" w14:textId="77777777" w:rsidR="00547CA2" w:rsidRPr="00120617" w:rsidRDefault="00547CA2" w:rsidP="00463647">
      <w:pPr>
        <w:keepNext/>
        <w:keepLines/>
        <w:widowControl w:val="0"/>
        <w:tabs>
          <w:tab w:val="clear" w:pos="567"/>
        </w:tabs>
        <w:spacing w:line="240" w:lineRule="auto"/>
        <w:ind w:left="567" w:hanging="567"/>
        <w:rPr>
          <w:color w:val="000000"/>
          <w:lang w:val="sv-SE"/>
        </w:rPr>
      </w:pPr>
      <w:r w:rsidRPr="00120617">
        <w:rPr>
          <w:color w:val="000000"/>
          <w:lang w:val="sv-SE"/>
        </w:rPr>
        <w:t>8</w:t>
      </w:r>
      <w:r w:rsidRPr="00120617">
        <w:rPr>
          <w:color w:val="000000"/>
          <w:lang w:val="sv-SE"/>
        </w:rPr>
        <w:tab/>
        <w:t>Ett antal dödsfall i leversvikt och levernekros har rapporterats.</w:t>
      </w:r>
    </w:p>
    <w:p w14:paraId="799C1A21" w14:textId="52C0ACC8" w:rsidR="002C337D" w:rsidRDefault="00547CA2" w:rsidP="00463647">
      <w:pPr>
        <w:keepNext/>
        <w:keepLines/>
        <w:widowControl w:val="0"/>
        <w:spacing w:line="240" w:lineRule="auto"/>
        <w:ind w:left="567" w:hanging="567"/>
        <w:rPr>
          <w:color w:val="000000"/>
          <w:lang w:val="sv-SE"/>
        </w:rPr>
      </w:pPr>
      <w:r w:rsidRPr="00120617">
        <w:rPr>
          <w:color w:val="000000"/>
          <w:lang w:val="sv-SE"/>
        </w:rPr>
        <w:t>9</w:t>
      </w:r>
      <w:r w:rsidRPr="00120617">
        <w:rPr>
          <w:color w:val="000000"/>
          <w:lang w:val="sv-SE"/>
        </w:rPr>
        <w:tab/>
      </w:r>
      <w:r w:rsidR="002C337D">
        <w:rPr>
          <w:color w:val="000000"/>
          <w:lang w:val="sv-SE"/>
        </w:rPr>
        <w:t xml:space="preserve">Muskel- och skelettsmärta under behandling eller efter avslutad behandling med imatinib har observerats efter </w:t>
      </w:r>
      <w:r w:rsidR="0039431C">
        <w:rPr>
          <w:color w:val="000000"/>
          <w:lang w:val="sv-SE"/>
        </w:rPr>
        <w:t>marknadsintroduktion</w:t>
      </w:r>
      <w:r w:rsidR="002C337D">
        <w:rPr>
          <w:color w:val="000000"/>
          <w:lang w:val="sv-SE"/>
        </w:rPr>
        <w:t>.</w:t>
      </w:r>
    </w:p>
    <w:p w14:paraId="74A358A6" w14:textId="77777777" w:rsidR="00547CA2" w:rsidRPr="000E7AE9" w:rsidRDefault="002C337D" w:rsidP="00463647">
      <w:pPr>
        <w:keepNext/>
        <w:keepLines/>
        <w:widowControl w:val="0"/>
        <w:spacing w:line="240" w:lineRule="auto"/>
        <w:ind w:left="567" w:hanging="567"/>
        <w:rPr>
          <w:color w:val="000000"/>
          <w:lang w:val="sv-SE"/>
        </w:rPr>
      </w:pPr>
      <w:r>
        <w:rPr>
          <w:color w:val="000000"/>
          <w:lang w:val="sv-SE"/>
        </w:rPr>
        <w:t>10</w:t>
      </w:r>
      <w:r>
        <w:rPr>
          <w:color w:val="000000"/>
          <w:lang w:val="sv-SE"/>
        </w:rPr>
        <w:tab/>
      </w:r>
      <w:r w:rsidR="00547CA2" w:rsidRPr="00120617">
        <w:rPr>
          <w:color w:val="000000"/>
          <w:lang w:val="sv-SE"/>
        </w:rPr>
        <w:t>Muskel- och skelettsmärta och besläktade biverkningar sågs oftare hos patienter med KML än hos patient</w:t>
      </w:r>
      <w:r w:rsidR="00547CA2" w:rsidRPr="000E7AE9">
        <w:rPr>
          <w:color w:val="000000"/>
          <w:lang w:val="sv-SE"/>
        </w:rPr>
        <w:t>er med GIST.</w:t>
      </w:r>
    </w:p>
    <w:p w14:paraId="398CD177" w14:textId="77777777" w:rsidR="00547CA2" w:rsidRDefault="002C337D" w:rsidP="00463647">
      <w:pPr>
        <w:keepNext/>
        <w:keepLines/>
        <w:widowControl w:val="0"/>
        <w:spacing w:line="240" w:lineRule="auto"/>
        <w:ind w:left="567" w:hanging="567"/>
        <w:rPr>
          <w:color w:val="000000"/>
          <w:lang w:val="sv-SE"/>
        </w:rPr>
      </w:pPr>
      <w:r>
        <w:rPr>
          <w:color w:val="000000"/>
          <w:lang w:val="sv-SE"/>
        </w:rPr>
        <w:t>11</w:t>
      </w:r>
      <w:r w:rsidR="00BA7C65">
        <w:rPr>
          <w:color w:val="000000"/>
          <w:lang w:val="sv-SE"/>
        </w:rPr>
        <w:tab/>
        <w:t>Fall med dödlig utgång har rapporterats hos patienter med framskriden sjukdom, allvarliga infektioner, kraftig neutropeni och andra allvarliga sjukdomar.</w:t>
      </w:r>
    </w:p>
    <w:p w14:paraId="6A4C9121" w14:textId="77777777" w:rsidR="00547CA2" w:rsidRPr="000E7AE9" w:rsidRDefault="00547CA2" w:rsidP="00463647">
      <w:pPr>
        <w:widowControl w:val="0"/>
        <w:spacing w:line="240" w:lineRule="auto"/>
        <w:rPr>
          <w:color w:val="000000"/>
          <w:szCs w:val="22"/>
          <w:lang w:val="sv-SE"/>
        </w:rPr>
      </w:pPr>
    </w:p>
    <w:p w14:paraId="16688318" w14:textId="77777777" w:rsidR="00547CA2" w:rsidRPr="000E7AE9" w:rsidRDefault="00547CA2" w:rsidP="00463647">
      <w:pPr>
        <w:keepNext/>
        <w:widowControl w:val="0"/>
        <w:spacing w:line="240" w:lineRule="auto"/>
        <w:rPr>
          <w:color w:val="000000"/>
          <w:szCs w:val="22"/>
          <w:u w:val="single"/>
          <w:lang w:val="sv-SE"/>
        </w:rPr>
      </w:pPr>
      <w:r w:rsidRPr="000E7AE9">
        <w:rPr>
          <w:color w:val="000000"/>
          <w:szCs w:val="22"/>
          <w:u w:val="single"/>
          <w:lang w:val="sv-SE"/>
        </w:rPr>
        <w:t>Avvikelser i laboratorieundersökningar:</w:t>
      </w:r>
    </w:p>
    <w:p w14:paraId="4279FCF8" w14:textId="77777777" w:rsidR="00547CA2" w:rsidRPr="000E7AE9" w:rsidRDefault="00547CA2" w:rsidP="00463647">
      <w:pPr>
        <w:keepNext/>
        <w:widowControl w:val="0"/>
        <w:spacing w:line="240" w:lineRule="auto"/>
        <w:rPr>
          <w:i/>
          <w:color w:val="000000"/>
          <w:szCs w:val="22"/>
          <w:lang w:val="sv-SE"/>
        </w:rPr>
      </w:pPr>
      <w:r w:rsidRPr="000E7AE9">
        <w:rPr>
          <w:i/>
          <w:color w:val="000000"/>
          <w:szCs w:val="22"/>
          <w:lang w:val="sv-SE"/>
        </w:rPr>
        <w:t>Hematologi</w:t>
      </w:r>
    </w:p>
    <w:p w14:paraId="5CEA9A59"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 xml:space="preserve">I KML har cytopenier, särskilt neutropeni och trombocytopeni, varit ett genomgående fynd i alla studier och frekvensen tycks öka vid höga doser </w:t>
      </w:r>
      <w:r w:rsidRPr="000E7AE9">
        <w:rPr>
          <w:color w:val="000000"/>
          <w:sz w:val="22"/>
          <w:szCs w:val="22"/>
          <w:lang w:val="sv-SE"/>
        </w:rPr>
        <w:sym w:font="Symbol" w:char="F0B3"/>
      </w:r>
      <w:r w:rsidRPr="000E7AE9">
        <w:rPr>
          <w:color w:val="000000"/>
          <w:sz w:val="22"/>
          <w:szCs w:val="22"/>
          <w:lang w:val="sv-SE"/>
        </w:rPr>
        <w:t> 750 mg (fas I-studie). Dock var förekomst av cytopeni klart beroende av sjukdomens stadium. Förekomsten av neutropeni av grad 3 eller 4 (ANC &lt; 1,0 x 10</w:t>
      </w:r>
      <w:r w:rsidRPr="000E7AE9">
        <w:rPr>
          <w:color w:val="000000"/>
          <w:sz w:val="22"/>
          <w:szCs w:val="22"/>
          <w:vertAlign w:val="superscript"/>
          <w:lang w:val="sv-SE"/>
        </w:rPr>
        <w:t>9</w:t>
      </w:r>
      <w:r w:rsidRPr="000E7AE9">
        <w:rPr>
          <w:color w:val="000000"/>
          <w:sz w:val="22"/>
          <w:szCs w:val="22"/>
          <w:lang w:val="sv-SE"/>
        </w:rPr>
        <w:t>/l) och trombocytopeni (trombocytnivåer &lt; 50 x 10</w:t>
      </w:r>
      <w:r w:rsidRPr="000E7AE9">
        <w:rPr>
          <w:color w:val="000000"/>
          <w:sz w:val="22"/>
          <w:szCs w:val="22"/>
          <w:vertAlign w:val="superscript"/>
          <w:lang w:val="sv-SE"/>
        </w:rPr>
        <w:t>9</w:t>
      </w:r>
      <w:r w:rsidRPr="000E7AE9">
        <w:rPr>
          <w:color w:val="000000"/>
          <w:sz w:val="22"/>
          <w:szCs w:val="22"/>
          <w:lang w:val="sv-SE"/>
        </w:rPr>
        <w:t>/l) var 4 till 6 gånger högre vid blastkris och i accelererad fas (59–64</w:t>
      </w:r>
      <w:r>
        <w:rPr>
          <w:color w:val="000000"/>
          <w:sz w:val="22"/>
          <w:szCs w:val="22"/>
          <w:lang w:val="sv-SE"/>
        </w:rPr>
        <w:t> </w:t>
      </w:r>
      <w:r w:rsidRPr="000E7AE9">
        <w:rPr>
          <w:color w:val="000000"/>
          <w:sz w:val="22"/>
          <w:szCs w:val="22"/>
          <w:lang w:val="sv-SE"/>
        </w:rPr>
        <w:t>% respektive 44–63</w:t>
      </w:r>
      <w:r>
        <w:rPr>
          <w:color w:val="000000"/>
          <w:sz w:val="22"/>
          <w:szCs w:val="22"/>
          <w:lang w:val="sv-SE"/>
        </w:rPr>
        <w:t> </w:t>
      </w:r>
      <w:r w:rsidRPr="000E7AE9">
        <w:rPr>
          <w:color w:val="000000"/>
          <w:sz w:val="22"/>
          <w:szCs w:val="22"/>
          <w:lang w:val="sv-SE"/>
        </w:rPr>
        <w:t xml:space="preserve">% för neutropeni och trombocytopeni) än hos </w:t>
      </w:r>
      <w:r w:rsidRPr="000E7AE9">
        <w:rPr>
          <w:color w:val="000000"/>
          <w:sz w:val="22"/>
          <w:szCs w:val="22"/>
          <w:lang w:val="sv-SE"/>
        </w:rPr>
        <w:lastRenderedPageBreak/>
        <w:t>patienter med nyligen diagnostiserad KML i kronisk fas (16,7</w:t>
      </w:r>
      <w:r>
        <w:rPr>
          <w:color w:val="000000"/>
          <w:sz w:val="22"/>
          <w:szCs w:val="22"/>
          <w:lang w:val="sv-SE"/>
        </w:rPr>
        <w:t> </w:t>
      </w:r>
      <w:r w:rsidRPr="000E7AE9">
        <w:rPr>
          <w:color w:val="000000"/>
          <w:sz w:val="22"/>
          <w:szCs w:val="22"/>
          <w:lang w:val="sv-SE"/>
        </w:rPr>
        <w:t>% neutropeni och 8,9</w:t>
      </w:r>
      <w:r>
        <w:rPr>
          <w:color w:val="000000"/>
          <w:sz w:val="22"/>
          <w:szCs w:val="22"/>
          <w:lang w:val="sv-SE"/>
        </w:rPr>
        <w:t> </w:t>
      </w:r>
      <w:r w:rsidRPr="000E7AE9">
        <w:rPr>
          <w:color w:val="000000"/>
          <w:sz w:val="22"/>
          <w:szCs w:val="22"/>
          <w:lang w:val="sv-SE"/>
        </w:rPr>
        <w:t>% trombocytopeni). Hos patienter med nyligen diagnostiserad KML i kronisk fas observerades neutropeni av grad 4 (ANC &lt; 0,5 x 10</w:t>
      </w:r>
      <w:r w:rsidRPr="000E7AE9">
        <w:rPr>
          <w:color w:val="000000"/>
          <w:sz w:val="22"/>
          <w:szCs w:val="22"/>
          <w:vertAlign w:val="superscript"/>
          <w:lang w:val="sv-SE"/>
        </w:rPr>
        <w:t>9</w:t>
      </w:r>
      <w:r w:rsidRPr="000E7AE9">
        <w:rPr>
          <w:color w:val="000000"/>
          <w:sz w:val="22"/>
          <w:szCs w:val="22"/>
          <w:lang w:val="sv-SE"/>
        </w:rPr>
        <w:t>/l) och trombocytopeni (trombocyter &lt; 10 x 10</w:t>
      </w:r>
      <w:r w:rsidRPr="000E7AE9">
        <w:rPr>
          <w:color w:val="000000"/>
          <w:sz w:val="22"/>
          <w:szCs w:val="22"/>
          <w:vertAlign w:val="superscript"/>
          <w:lang w:val="sv-SE"/>
        </w:rPr>
        <w:t>9</w:t>
      </w:r>
      <w:r w:rsidRPr="000E7AE9">
        <w:rPr>
          <w:color w:val="000000"/>
          <w:sz w:val="22"/>
          <w:szCs w:val="22"/>
          <w:lang w:val="sv-SE"/>
        </w:rPr>
        <w:t>/l) hos 3,6</w:t>
      </w:r>
      <w:r>
        <w:rPr>
          <w:color w:val="000000"/>
          <w:sz w:val="22"/>
          <w:szCs w:val="22"/>
          <w:lang w:val="sv-SE"/>
        </w:rPr>
        <w:t> </w:t>
      </w:r>
      <w:r w:rsidRPr="000E7AE9">
        <w:rPr>
          <w:color w:val="000000"/>
          <w:sz w:val="22"/>
          <w:szCs w:val="22"/>
          <w:lang w:val="sv-SE"/>
        </w:rPr>
        <w:t>% respektive &lt; 1</w:t>
      </w:r>
      <w:r>
        <w:rPr>
          <w:color w:val="000000"/>
          <w:sz w:val="22"/>
          <w:szCs w:val="22"/>
          <w:lang w:val="sv-SE"/>
        </w:rPr>
        <w:t> </w:t>
      </w:r>
      <w:r w:rsidRPr="000E7AE9">
        <w:rPr>
          <w:color w:val="000000"/>
          <w:sz w:val="22"/>
          <w:szCs w:val="22"/>
          <w:lang w:val="sv-SE"/>
        </w:rPr>
        <w:t>% av patienterna. Mediandurationen av de neutropena och trombocytopena episoderna var vanligtvis 2 till 3 veckor respektive 3 till 4 veckor. Dessa händelser kan vanligen åtgärdas med antingen dosminskning eller uppehåll av Glivec-behandlingen. Endast i sällsynta fall kan det krävas permanent behandlingsavbrott. Hos barn med KML observerades de mest frekventa toxiciteterna vara grad 3- eller grad 4-cytopenier innefattande neutropenier, trombocytopenier och anemier. Dessa uppträder i allmänhet inom de första behandlingsmånaderna.</w:t>
      </w:r>
    </w:p>
    <w:p w14:paraId="2F302385" w14:textId="77777777" w:rsidR="00547CA2" w:rsidRPr="000E7AE9" w:rsidRDefault="00547CA2" w:rsidP="00463647">
      <w:pPr>
        <w:pStyle w:val="TextChar"/>
        <w:widowControl w:val="0"/>
        <w:spacing w:before="0"/>
        <w:jc w:val="left"/>
        <w:rPr>
          <w:color w:val="000000"/>
          <w:sz w:val="22"/>
          <w:szCs w:val="22"/>
          <w:lang w:val="sv-SE"/>
        </w:rPr>
      </w:pPr>
    </w:p>
    <w:p w14:paraId="64CF8154" w14:textId="77777777" w:rsidR="00547CA2" w:rsidRPr="000E7AE9" w:rsidRDefault="00547CA2" w:rsidP="00463647">
      <w:pPr>
        <w:pStyle w:val="TextChar"/>
        <w:widowControl w:val="0"/>
        <w:spacing w:before="0"/>
        <w:jc w:val="left"/>
        <w:rPr>
          <w:color w:val="000000"/>
          <w:sz w:val="22"/>
          <w:szCs w:val="22"/>
          <w:lang w:val="sv-SE"/>
        </w:rPr>
      </w:pPr>
      <w:r>
        <w:rPr>
          <w:color w:val="000000"/>
          <w:sz w:val="22"/>
          <w:szCs w:val="22"/>
          <w:lang w:val="sv-SE"/>
        </w:rPr>
        <w:t>I studien på patienter med icke-resercerbar och/eller metastaserande</w:t>
      </w:r>
      <w:r w:rsidRPr="000E7AE9">
        <w:rPr>
          <w:color w:val="000000"/>
          <w:sz w:val="22"/>
          <w:szCs w:val="22"/>
          <w:lang w:val="sv-SE"/>
        </w:rPr>
        <w:t xml:space="preserve"> GIST rapporterades anemier av grad 3 och 4 hos 5,4</w:t>
      </w:r>
      <w:r>
        <w:rPr>
          <w:color w:val="000000"/>
          <w:sz w:val="22"/>
          <w:szCs w:val="22"/>
          <w:lang w:val="sv-SE"/>
        </w:rPr>
        <w:t> </w:t>
      </w:r>
      <w:r w:rsidRPr="000E7AE9">
        <w:rPr>
          <w:color w:val="000000"/>
          <w:sz w:val="22"/>
          <w:szCs w:val="22"/>
          <w:lang w:val="sv-SE"/>
        </w:rPr>
        <w:t>% respektive 0,7</w:t>
      </w:r>
      <w:r>
        <w:rPr>
          <w:color w:val="000000"/>
          <w:sz w:val="22"/>
          <w:szCs w:val="22"/>
          <w:lang w:val="sv-SE"/>
        </w:rPr>
        <w:t> </w:t>
      </w:r>
      <w:r w:rsidRPr="000E7AE9">
        <w:rPr>
          <w:color w:val="000000"/>
          <w:sz w:val="22"/>
          <w:szCs w:val="22"/>
          <w:lang w:val="sv-SE"/>
        </w:rPr>
        <w:t>% av patienterna. Detta kan ha varit relaterat till gastrointestinal eller intra-tumoral blödning hos åtminstone några av dessa patienter. Neutropenier av grad 3 och 4 sågs hos 7,5</w:t>
      </w:r>
      <w:r>
        <w:rPr>
          <w:color w:val="000000"/>
          <w:sz w:val="22"/>
          <w:szCs w:val="22"/>
          <w:lang w:val="sv-SE"/>
        </w:rPr>
        <w:t> </w:t>
      </w:r>
      <w:r w:rsidRPr="000E7AE9">
        <w:rPr>
          <w:color w:val="000000"/>
          <w:sz w:val="22"/>
          <w:szCs w:val="22"/>
          <w:lang w:val="sv-SE"/>
        </w:rPr>
        <w:t>% respektive 2,7</w:t>
      </w:r>
      <w:r>
        <w:rPr>
          <w:color w:val="000000"/>
          <w:sz w:val="22"/>
          <w:szCs w:val="22"/>
          <w:lang w:val="sv-SE"/>
        </w:rPr>
        <w:t> </w:t>
      </w:r>
      <w:r w:rsidRPr="000E7AE9">
        <w:rPr>
          <w:color w:val="000000"/>
          <w:sz w:val="22"/>
          <w:szCs w:val="22"/>
          <w:lang w:val="sv-SE"/>
        </w:rPr>
        <w:t>% av patienterna och trombocytopeni av grad 3 hos 0,7</w:t>
      </w:r>
      <w:r>
        <w:rPr>
          <w:color w:val="000000"/>
          <w:sz w:val="22"/>
          <w:szCs w:val="22"/>
          <w:lang w:val="sv-SE"/>
        </w:rPr>
        <w:t> </w:t>
      </w:r>
      <w:r w:rsidRPr="000E7AE9">
        <w:rPr>
          <w:color w:val="000000"/>
          <w:sz w:val="22"/>
          <w:szCs w:val="22"/>
          <w:lang w:val="sv-SE"/>
        </w:rPr>
        <w:t>% av patienterna. Ingen patient utvecklade trombocytopeni av grad 4. Minskningen i vita blodkroppar (WBC) och antal neutrofiler uppstod huvudsakligen under de första sex veckorna av behandlingen och med relativt stabila värden därefter.</w:t>
      </w:r>
    </w:p>
    <w:p w14:paraId="07A14F75" w14:textId="77777777" w:rsidR="00547CA2" w:rsidRPr="000E7AE9" w:rsidRDefault="00547CA2" w:rsidP="00463647">
      <w:pPr>
        <w:pStyle w:val="TextChar"/>
        <w:widowControl w:val="0"/>
        <w:spacing w:before="0"/>
        <w:jc w:val="left"/>
        <w:rPr>
          <w:color w:val="000000"/>
          <w:sz w:val="22"/>
          <w:szCs w:val="22"/>
          <w:lang w:val="sv-SE"/>
        </w:rPr>
      </w:pPr>
    </w:p>
    <w:p w14:paraId="5271EA1C" w14:textId="77777777" w:rsidR="00547CA2" w:rsidRPr="000E7AE9" w:rsidRDefault="00547CA2" w:rsidP="00463647">
      <w:pPr>
        <w:pStyle w:val="TextChar"/>
        <w:keepNext/>
        <w:widowControl w:val="0"/>
        <w:spacing w:before="0"/>
        <w:jc w:val="left"/>
        <w:rPr>
          <w:i/>
          <w:color w:val="000000"/>
          <w:sz w:val="22"/>
          <w:szCs w:val="22"/>
          <w:lang w:val="sv-SE"/>
        </w:rPr>
      </w:pPr>
      <w:r w:rsidRPr="000E7AE9">
        <w:rPr>
          <w:i/>
          <w:color w:val="000000"/>
          <w:sz w:val="22"/>
          <w:szCs w:val="22"/>
          <w:lang w:val="sv-SE"/>
        </w:rPr>
        <w:t>Biokemi</w:t>
      </w:r>
    </w:p>
    <w:p w14:paraId="772F0D42" w14:textId="77777777" w:rsidR="00547CA2" w:rsidRPr="000E7AE9" w:rsidRDefault="00547CA2" w:rsidP="00463647">
      <w:pPr>
        <w:pStyle w:val="TextChar"/>
        <w:widowControl w:val="0"/>
        <w:spacing w:before="0"/>
        <w:jc w:val="left"/>
        <w:rPr>
          <w:color w:val="000000"/>
          <w:sz w:val="22"/>
          <w:szCs w:val="22"/>
          <w:lang w:val="sv-SE"/>
        </w:rPr>
      </w:pPr>
      <w:r w:rsidRPr="000E7AE9">
        <w:rPr>
          <w:color w:val="000000"/>
          <w:sz w:val="22"/>
          <w:szCs w:val="22"/>
          <w:lang w:val="sv-SE"/>
        </w:rPr>
        <w:t>Kraftig förhöjning av transaminaser (&lt; 5</w:t>
      </w:r>
      <w:r>
        <w:rPr>
          <w:color w:val="000000"/>
          <w:sz w:val="22"/>
          <w:szCs w:val="22"/>
          <w:lang w:val="sv-SE"/>
        </w:rPr>
        <w:t> </w:t>
      </w:r>
      <w:r w:rsidRPr="000E7AE9">
        <w:rPr>
          <w:color w:val="000000"/>
          <w:sz w:val="22"/>
          <w:szCs w:val="22"/>
          <w:lang w:val="sv-SE"/>
        </w:rPr>
        <w:t>%) eller bilirubin (&lt; 1</w:t>
      </w:r>
      <w:r>
        <w:rPr>
          <w:color w:val="000000"/>
          <w:sz w:val="22"/>
          <w:szCs w:val="22"/>
          <w:lang w:val="sv-SE"/>
        </w:rPr>
        <w:t> </w:t>
      </w:r>
      <w:r w:rsidRPr="000E7AE9">
        <w:rPr>
          <w:color w:val="000000"/>
          <w:sz w:val="22"/>
          <w:szCs w:val="22"/>
          <w:lang w:val="sv-SE"/>
        </w:rPr>
        <w:t xml:space="preserve">%) sågs hos KML-patienterna och kunde vanligen åtgärdas genom dosreduktion eller behandlingsuppehåll (mediandurationen av dessa episoder var ungefär en vecka). Behandlingen avbröts permanent på grund av </w:t>
      </w:r>
      <w:r>
        <w:rPr>
          <w:color w:val="000000"/>
          <w:sz w:val="22"/>
          <w:szCs w:val="22"/>
          <w:lang w:val="sv-SE"/>
        </w:rPr>
        <w:t>avvikande värden på</w:t>
      </w:r>
      <w:r w:rsidRPr="000E7AE9">
        <w:rPr>
          <w:color w:val="000000"/>
          <w:sz w:val="22"/>
          <w:szCs w:val="22"/>
          <w:lang w:val="sv-SE"/>
        </w:rPr>
        <w:t xml:space="preserve"> leverprover hos mindre än 1</w:t>
      </w:r>
      <w:r>
        <w:rPr>
          <w:color w:val="000000"/>
          <w:sz w:val="22"/>
          <w:szCs w:val="22"/>
          <w:lang w:val="sv-SE"/>
        </w:rPr>
        <w:t> </w:t>
      </w:r>
      <w:r w:rsidRPr="000E7AE9">
        <w:rPr>
          <w:color w:val="000000"/>
          <w:sz w:val="22"/>
          <w:szCs w:val="22"/>
          <w:lang w:val="sv-SE"/>
        </w:rPr>
        <w:t>% av KML-patienterna. Hos GIST-patienter (studie B2222), observerades 6,8</w:t>
      </w:r>
      <w:r>
        <w:rPr>
          <w:color w:val="000000"/>
          <w:sz w:val="22"/>
          <w:szCs w:val="22"/>
          <w:lang w:val="sv-SE"/>
        </w:rPr>
        <w:t> </w:t>
      </w:r>
      <w:r w:rsidRPr="000E7AE9">
        <w:rPr>
          <w:color w:val="000000"/>
          <w:sz w:val="22"/>
          <w:szCs w:val="22"/>
          <w:lang w:val="sv-SE"/>
        </w:rPr>
        <w:t>% ALAT(alaninaminotransferas)-förhöjningar av grad 3 eller 4 och 4,8</w:t>
      </w:r>
      <w:r>
        <w:rPr>
          <w:color w:val="000000"/>
          <w:sz w:val="22"/>
          <w:szCs w:val="22"/>
          <w:lang w:val="sv-SE"/>
        </w:rPr>
        <w:t> </w:t>
      </w:r>
      <w:r w:rsidRPr="000E7AE9">
        <w:rPr>
          <w:color w:val="000000"/>
          <w:sz w:val="22"/>
          <w:szCs w:val="22"/>
          <w:lang w:val="sv-SE"/>
        </w:rPr>
        <w:t>% ASAT(aspartataminotransferas)-förhöjningar av grad 3 eller 4. Förhöjning av bilirubin var under 3</w:t>
      </w:r>
      <w:r>
        <w:rPr>
          <w:color w:val="000000"/>
          <w:sz w:val="22"/>
          <w:szCs w:val="22"/>
          <w:lang w:val="sv-SE"/>
        </w:rPr>
        <w:t> </w:t>
      </w:r>
      <w:r w:rsidRPr="000E7AE9">
        <w:rPr>
          <w:color w:val="000000"/>
          <w:sz w:val="22"/>
          <w:szCs w:val="22"/>
          <w:lang w:val="sv-SE"/>
        </w:rPr>
        <w:t>%.</w:t>
      </w:r>
    </w:p>
    <w:p w14:paraId="631C9C0E" w14:textId="77777777" w:rsidR="00547CA2" w:rsidRPr="000E7AE9" w:rsidRDefault="00547CA2" w:rsidP="00463647">
      <w:pPr>
        <w:pStyle w:val="TextChar"/>
        <w:widowControl w:val="0"/>
        <w:spacing w:before="0"/>
        <w:jc w:val="left"/>
        <w:rPr>
          <w:color w:val="000000"/>
          <w:sz w:val="22"/>
          <w:szCs w:val="22"/>
          <w:lang w:val="sv-SE"/>
        </w:rPr>
      </w:pPr>
    </w:p>
    <w:p w14:paraId="5B9BA152" w14:textId="77777777" w:rsidR="00547CA2" w:rsidRDefault="00547CA2" w:rsidP="00463647">
      <w:pPr>
        <w:pStyle w:val="TextChar"/>
        <w:widowControl w:val="0"/>
        <w:spacing w:before="0"/>
        <w:jc w:val="left"/>
        <w:rPr>
          <w:color w:val="000000"/>
          <w:sz w:val="22"/>
          <w:szCs w:val="22"/>
          <w:lang w:val="sv-SE"/>
        </w:rPr>
      </w:pPr>
      <w:r w:rsidRPr="000E7AE9">
        <w:rPr>
          <w:color w:val="000000"/>
          <w:sz w:val="22"/>
          <w:szCs w:val="22"/>
          <w:lang w:val="sv-SE"/>
        </w:rPr>
        <w:t>Det har förekommit fall av cytolytisk och kolestatisk hepatit och leversvikt, som i något fall var dödligt, inklusive en patient behandlad med högdos paracetamol.</w:t>
      </w:r>
    </w:p>
    <w:p w14:paraId="7C88B7A1" w14:textId="77777777" w:rsidR="00BA52AB" w:rsidRDefault="00BA52AB" w:rsidP="00463647">
      <w:pPr>
        <w:pStyle w:val="TextChar"/>
        <w:widowControl w:val="0"/>
        <w:spacing w:before="0"/>
        <w:jc w:val="left"/>
        <w:rPr>
          <w:color w:val="000000"/>
          <w:sz w:val="22"/>
          <w:szCs w:val="22"/>
          <w:lang w:val="sv-SE"/>
        </w:rPr>
      </w:pPr>
    </w:p>
    <w:p w14:paraId="23F98A76" w14:textId="77777777" w:rsidR="00BA52AB" w:rsidRDefault="00BA52AB" w:rsidP="00463647">
      <w:pPr>
        <w:pStyle w:val="TextChar"/>
        <w:keepNext/>
        <w:widowControl w:val="0"/>
        <w:spacing w:before="0"/>
        <w:jc w:val="left"/>
        <w:rPr>
          <w:color w:val="000000"/>
          <w:sz w:val="22"/>
          <w:szCs w:val="22"/>
          <w:u w:val="single"/>
          <w:lang w:val="sv-SE"/>
        </w:rPr>
      </w:pPr>
      <w:r>
        <w:rPr>
          <w:color w:val="000000"/>
          <w:sz w:val="22"/>
          <w:szCs w:val="22"/>
          <w:u w:val="single"/>
          <w:lang w:val="sv-SE"/>
        </w:rPr>
        <w:t>Beskrivning av valda biverkningar</w:t>
      </w:r>
    </w:p>
    <w:p w14:paraId="374184CB" w14:textId="77777777" w:rsidR="00BA52AB" w:rsidRDefault="00BA52AB" w:rsidP="00463647">
      <w:pPr>
        <w:pStyle w:val="TextChar"/>
        <w:keepNext/>
        <w:widowControl w:val="0"/>
        <w:spacing w:before="0"/>
        <w:jc w:val="left"/>
        <w:rPr>
          <w:i/>
          <w:color w:val="000000"/>
          <w:sz w:val="22"/>
          <w:szCs w:val="22"/>
          <w:u w:val="single"/>
          <w:lang w:val="sv-SE"/>
        </w:rPr>
      </w:pPr>
      <w:r>
        <w:rPr>
          <w:i/>
          <w:color w:val="000000"/>
          <w:sz w:val="22"/>
          <w:szCs w:val="22"/>
          <w:u w:val="single"/>
          <w:lang w:val="sv-SE"/>
        </w:rPr>
        <w:t>Hepatit B-reaktivering</w:t>
      </w:r>
    </w:p>
    <w:p w14:paraId="679034DD" w14:textId="77777777" w:rsidR="00BA52AB" w:rsidRPr="000E7AE9" w:rsidRDefault="00BA52AB" w:rsidP="00463647">
      <w:pPr>
        <w:pStyle w:val="TextChar"/>
        <w:widowControl w:val="0"/>
        <w:spacing w:before="0"/>
        <w:jc w:val="left"/>
        <w:rPr>
          <w:color w:val="000000"/>
          <w:sz w:val="22"/>
          <w:szCs w:val="22"/>
          <w:lang w:val="sv-SE"/>
        </w:rPr>
      </w:pPr>
      <w:r w:rsidRPr="002E3DA1">
        <w:rPr>
          <w:color w:val="000000"/>
          <w:sz w:val="22"/>
          <w:szCs w:val="22"/>
          <w:lang w:val="sv-SE"/>
        </w:rPr>
        <w:t>Hepatit B-reaktivering har rapporterats i samband med BCR-ABL TKI. Vissa fall ledde till akut leversvikt eller fulminant hepatit med levertransplantation eller dödlig utgång som följd (se avsnitt 4.4).</w:t>
      </w:r>
    </w:p>
    <w:p w14:paraId="2248E950" w14:textId="77777777" w:rsidR="00547CA2" w:rsidRDefault="00547CA2" w:rsidP="00463647">
      <w:pPr>
        <w:pStyle w:val="TextChar"/>
        <w:widowControl w:val="0"/>
        <w:spacing w:before="0"/>
        <w:jc w:val="left"/>
        <w:rPr>
          <w:color w:val="000000"/>
          <w:sz w:val="22"/>
          <w:szCs w:val="22"/>
          <w:lang w:val="sv-SE"/>
        </w:rPr>
      </w:pPr>
    </w:p>
    <w:p w14:paraId="622B7289" w14:textId="77777777" w:rsidR="00547CA2" w:rsidRPr="00292CDC" w:rsidRDefault="00547CA2" w:rsidP="00463647">
      <w:pPr>
        <w:pStyle w:val="TextChar"/>
        <w:keepNext/>
        <w:widowControl w:val="0"/>
        <w:spacing w:before="0"/>
        <w:jc w:val="left"/>
        <w:rPr>
          <w:color w:val="000000"/>
          <w:sz w:val="22"/>
          <w:szCs w:val="22"/>
          <w:u w:val="single"/>
          <w:lang w:val="sv-SE"/>
        </w:rPr>
      </w:pPr>
      <w:r w:rsidRPr="00292CDC">
        <w:rPr>
          <w:color w:val="000000"/>
          <w:sz w:val="22"/>
          <w:szCs w:val="22"/>
          <w:u w:val="single"/>
          <w:lang w:val="sv-SE"/>
        </w:rPr>
        <w:t>Rapportering av misstänkta biverkningar</w:t>
      </w:r>
    </w:p>
    <w:p w14:paraId="37D5CEC2" w14:textId="77777777" w:rsidR="00547CA2" w:rsidRPr="00292CDC" w:rsidRDefault="0039431C" w:rsidP="00463647">
      <w:pPr>
        <w:widowControl w:val="0"/>
        <w:tabs>
          <w:tab w:val="clear" w:pos="567"/>
        </w:tabs>
        <w:spacing w:line="240" w:lineRule="auto"/>
        <w:rPr>
          <w:sz w:val="24"/>
          <w:szCs w:val="24"/>
          <w:lang w:val="sv-SE"/>
        </w:rPr>
      </w:pPr>
      <w:r>
        <w:rPr>
          <w:color w:val="000000"/>
          <w:szCs w:val="22"/>
          <w:lang w:val="sv-SE"/>
        </w:rPr>
        <w:t xml:space="preserve">Det är viktigt att rapportera misstänkta biverkningar efter att läkemedlet godkänts. Det gör det möjligt att kontinuerligt övervaka läkemedlets nytta-riskförhållande. Hälso- och sjukvårdspersonal uppmanas att rapportera varje misstänkt biverkning via </w:t>
      </w:r>
      <w:r w:rsidR="00547CA2" w:rsidRPr="00292CDC">
        <w:rPr>
          <w:noProof/>
          <w:szCs w:val="22"/>
          <w:shd w:val="pct15" w:color="auto" w:fill="auto"/>
          <w:lang w:val="sv-SE"/>
        </w:rPr>
        <w:t xml:space="preserve">det nationella rapporteringssystemet listat i </w:t>
      </w:r>
      <w:hyperlink r:id="rId15" w:history="1">
        <w:r w:rsidR="00547CA2" w:rsidRPr="00292CDC">
          <w:rPr>
            <w:rStyle w:val="Hyperlink"/>
            <w:szCs w:val="22"/>
            <w:shd w:val="pct15" w:color="auto" w:fill="auto"/>
            <w:lang w:val="sv-SE" w:eastAsia="ja-JP"/>
          </w:rPr>
          <w:t>bilaga V</w:t>
        </w:r>
      </w:hyperlink>
      <w:r w:rsidR="00547CA2" w:rsidRPr="00292CDC">
        <w:rPr>
          <w:color w:val="000000"/>
          <w:szCs w:val="22"/>
          <w:lang w:val="sv-SE" w:eastAsia="ja-JP"/>
        </w:rPr>
        <w:t>.</w:t>
      </w:r>
    </w:p>
    <w:p w14:paraId="2069ABEA" w14:textId="77777777" w:rsidR="00547CA2" w:rsidRPr="000E7AE9" w:rsidRDefault="00547CA2" w:rsidP="00463647">
      <w:pPr>
        <w:pStyle w:val="TextChar"/>
        <w:widowControl w:val="0"/>
        <w:spacing w:before="0"/>
        <w:jc w:val="left"/>
        <w:rPr>
          <w:color w:val="000000"/>
          <w:sz w:val="22"/>
          <w:szCs w:val="22"/>
          <w:lang w:val="sv-SE"/>
        </w:rPr>
      </w:pPr>
    </w:p>
    <w:p w14:paraId="10F4F5C5" w14:textId="77777777" w:rsidR="00547CA2" w:rsidRPr="000E7AE9" w:rsidRDefault="00547CA2" w:rsidP="00463647">
      <w:pPr>
        <w:pStyle w:val="Heading4"/>
        <w:widowControl w:val="0"/>
        <w:spacing w:line="240" w:lineRule="auto"/>
        <w:rPr>
          <w:noProof w:val="0"/>
          <w:color w:val="000000"/>
          <w:szCs w:val="22"/>
          <w:lang w:val="sv-SE"/>
        </w:rPr>
      </w:pPr>
      <w:r w:rsidRPr="000E7AE9">
        <w:rPr>
          <w:noProof w:val="0"/>
          <w:color w:val="000000"/>
          <w:szCs w:val="22"/>
          <w:lang w:val="sv-SE"/>
        </w:rPr>
        <w:t>4.9</w:t>
      </w:r>
      <w:r w:rsidRPr="000E7AE9">
        <w:rPr>
          <w:noProof w:val="0"/>
          <w:color w:val="000000"/>
          <w:szCs w:val="22"/>
          <w:lang w:val="sv-SE"/>
        </w:rPr>
        <w:tab/>
        <w:t>Överdosering</w:t>
      </w:r>
    </w:p>
    <w:p w14:paraId="20853E2A" w14:textId="77777777" w:rsidR="00547CA2" w:rsidRPr="000E7AE9" w:rsidRDefault="00547CA2" w:rsidP="00463647">
      <w:pPr>
        <w:keepNext/>
        <w:widowControl w:val="0"/>
        <w:tabs>
          <w:tab w:val="clear" w:pos="567"/>
        </w:tabs>
        <w:spacing w:line="240" w:lineRule="auto"/>
        <w:rPr>
          <w:color w:val="000000"/>
          <w:szCs w:val="22"/>
          <w:lang w:val="sv-SE"/>
        </w:rPr>
      </w:pPr>
    </w:p>
    <w:p w14:paraId="32AEA28E" w14:textId="77777777" w:rsidR="00547CA2" w:rsidRDefault="00547CA2" w:rsidP="00463647">
      <w:pPr>
        <w:pStyle w:val="EndnoteText"/>
        <w:widowControl w:val="0"/>
        <w:tabs>
          <w:tab w:val="clear" w:pos="567"/>
        </w:tabs>
        <w:rPr>
          <w:szCs w:val="22"/>
          <w:lang w:val="sv-SE"/>
        </w:rPr>
      </w:pPr>
      <w:r>
        <w:rPr>
          <w:color w:val="000000"/>
          <w:szCs w:val="22"/>
          <w:lang w:val="sv-SE"/>
        </w:rPr>
        <w:t xml:space="preserve">Erfarenhet av doser högre än rekommenderad terapeutisk dos är begränsad. Enstaka fall av överdos med Glivec har rapporterats spontant och i litteraturen. I händelse av överdos ska patienten observeras och lämplig symptomatisk behandling ges. I allmännhet rapporterades utgången av dessa fall som </w:t>
      </w:r>
      <w:r w:rsidRPr="00817DA6">
        <w:rPr>
          <w:szCs w:val="22"/>
          <w:lang w:val="sv-SE"/>
        </w:rPr>
        <w:t>“</w:t>
      </w:r>
      <w:r>
        <w:rPr>
          <w:color w:val="000000"/>
          <w:szCs w:val="22"/>
          <w:lang w:val="sv-SE"/>
        </w:rPr>
        <w:t xml:space="preserve">förbättring” eller </w:t>
      </w:r>
      <w:r w:rsidRPr="00817DA6">
        <w:rPr>
          <w:szCs w:val="22"/>
          <w:lang w:val="sv-SE"/>
        </w:rPr>
        <w:t>“</w:t>
      </w:r>
      <w:r>
        <w:rPr>
          <w:szCs w:val="22"/>
          <w:lang w:val="sv-SE"/>
        </w:rPr>
        <w:t>återställd”. Händelser som har rapporterats vid olika dosintervall är följande:</w:t>
      </w:r>
    </w:p>
    <w:p w14:paraId="709EFE7F" w14:textId="77777777" w:rsidR="00547CA2" w:rsidRDefault="00547CA2" w:rsidP="00463647">
      <w:pPr>
        <w:pStyle w:val="EndnoteText"/>
        <w:widowControl w:val="0"/>
        <w:tabs>
          <w:tab w:val="clear" w:pos="567"/>
        </w:tabs>
        <w:rPr>
          <w:szCs w:val="22"/>
          <w:lang w:val="sv-SE"/>
        </w:rPr>
      </w:pPr>
    </w:p>
    <w:p w14:paraId="1E9630F8" w14:textId="77777777" w:rsidR="00547CA2" w:rsidRPr="00681C98" w:rsidRDefault="00547CA2" w:rsidP="00463647">
      <w:pPr>
        <w:pStyle w:val="EndnoteText"/>
        <w:keepNext/>
        <w:widowControl w:val="0"/>
        <w:tabs>
          <w:tab w:val="clear" w:pos="567"/>
        </w:tabs>
        <w:rPr>
          <w:i/>
          <w:szCs w:val="22"/>
          <w:lang w:val="sv-SE"/>
        </w:rPr>
      </w:pPr>
      <w:r w:rsidRPr="00681C98">
        <w:rPr>
          <w:i/>
          <w:szCs w:val="22"/>
          <w:lang w:val="sv-SE"/>
        </w:rPr>
        <w:t>Vuxen population</w:t>
      </w:r>
    </w:p>
    <w:p w14:paraId="02E1640D" w14:textId="77777777" w:rsidR="00547CA2" w:rsidRDefault="00547CA2" w:rsidP="00463647">
      <w:pPr>
        <w:pStyle w:val="EndnoteText"/>
        <w:widowControl w:val="0"/>
        <w:tabs>
          <w:tab w:val="clear" w:pos="567"/>
        </w:tabs>
        <w:rPr>
          <w:szCs w:val="22"/>
          <w:lang w:val="sv-SE"/>
        </w:rPr>
      </w:pPr>
      <w:r>
        <w:rPr>
          <w:color w:val="000000"/>
          <w:szCs w:val="22"/>
          <w:lang w:val="sv-SE"/>
        </w:rPr>
        <w:t>1200 till 1600</w:t>
      </w:r>
      <w:r w:rsidRPr="006D2211">
        <w:rPr>
          <w:szCs w:val="22"/>
          <w:lang w:val="sv-SE"/>
        </w:rPr>
        <w:t> </w:t>
      </w:r>
      <w:r>
        <w:rPr>
          <w:color w:val="000000"/>
          <w:szCs w:val="22"/>
          <w:lang w:val="sv-SE"/>
        </w:rPr>
        <w:t>mg (duration varierande mellan 1 till 10</w:t>
      </w:r>
      <w:r w:rsidRPr="006D2211">
        <w:rPr>
          <w:szCs w:val="22"/>
          <w:lang w:val="sv-SE"/>
        </w:rPr>
        <w:t> </w:t>
      </w:r>
      <w:r>
        <w:rPr>
          <w:szCs w:val="22"/>
          <w:lang w:val="sv-SE"/>
        </w:rPr>
        <w:t>dagar): Illamående, kräkningar, diarré, utslag, hudrodnad, ödem, svullnad, trötthet, muskelkramper, trombocytopeni, pancytopeni, buksmärta, huvudvärk, minskad aptit.</w:t>
      </w:r>
    </w:p>
    <w:p w14:paraId="1BC804EA" w14:textId="77777777" w:rsidR="00547CA2" w:rsidRDefault="00547CA2" w:rsidP="00463647">
      <w:pPr>
        <w:pStyle w:val="EndnoteText"/>
        <w:widowControl w:val="0"/>
        <w:tabs>
          <w:tab w:val="clear" w:pos="567"/>
        </w:tabs>
        <w:rPr>
          <w:szCs w:val="22"/>
          <w:lang w:val="sv-SE"/>
        </w:rPr>
      </w:pPr>
      <w:r>
        <w:rPr>
          <w:szCs w:val="22"/>
          <w:lang w:val="sv-SE"/>
        </w:rPr>
        <w:t>1800 till 3200</w:t>
      </w:r>
      <w:r w:rsidRPr="007564F8">
        <w:rPr>
          <w:szCs w:val="22"/>
          <w:lang w:val="sv-SE"/>
        </w:rPr>
        <w:t xml:space="preserve"> mg (upp till 3200 mg dagligen </w:t>
      </w:r>
      <w:r>
        <w:rPr>
          <w:szCs w:val="22"/>
          <w:lang w:val="sv-SE"/>
        </w:rPr>
        <w:t>i</w:t>
      </w:r>
      <w:r w:rsidRPr="007564F8">
        <w:rPr>
          <w:szCs w:val="22"/>
          <w:lang w:val="sv-SE"/>
        </w:rPr>
        <w:t xml:space="preserve"> 6 </w:t>
      </w:r>
      <w:r>
        <w:rPr>
          <w:szCs w:val="22"/>
          <w:lang w:val="sv-SE"/>
        </w:rPr>
        <w:t>dagar): Svaghet, myalgi, ökat kreatinfosfokinas, ökat bilirubin, magtarmsmärta.</w:t>
      </w:r>
    </w:p>
    <w:p w14:paraId="637155B5" w14:textId="77777777" w:rsidR="00547CA2" w:rsidRDefault="00547CA2" w:rsidP="00463647">
      <w:pPr>
        <w:pStyle w:val="EndnoteText"/>
        <w:widowControl w:val="0"/>
        <w:tabs>
          <w:tab w:val="clear" w:pos="567"/>
        </w:tabs>
        <w:rPr>
          <w:szCs w:val="22"/>
          <w:lang w:val="sv-SE"/>
        </w:rPr>
      </w:pPr>
      <w:r>
        <w:rPr>
          <w:szCs w:val="22"/>
          <w:lang w:val="sv-SE"/>
        </w:rPr>
        <w:t>6400</w:t>
      </w:r>
      <w:r w:rsidRPr="007564F8">
        <w:rPr>
          <w:szCs w:val="22"/>
          <w:lang w:val="sv-SE"/>
        </w:rPr>
        <w:t xml:space="preserve"> mg (singeldos): Ett fall rapporterad i </w:t>
      </w:r>
      <w:r>
        <w:rPr>
          <w:szCs w:val="22"/>
          <w:lang w:val="sv-SE"/>
        </w:rPr>
        <w:t xml:space="preserve">litteraturen om en patient som fick illamående, kräkningar, buksmärta, pyrexi, ansiktssvullnad, </w:t>
      </w:r>
      <w:r w:rsidRPr="003409A9">
        <w:rPr>
          <w:szCs w:val="22"/>
          <w:lang w:val="sv-SE"/>
        </w:rPr>
        <w:t>minskat antal neutrofiler,</w:t>
      </w:r>
      <w:r>
        <w:rPr>
          <w:szCs w:val="22"/>
          <w:lang w:val="sv-SE"/>
        </w:rPr>
        <w:t xml:space="preserve"> förhöjda transaminaser.</w:t>
      </w:r>
    </w:p>
    <w:p w14:paraId="0DF1E34A" w14:textId="77777777" w:rsidR="00547CA2" w:rsidRPr="007564F8" w:rsidRDefault="00547CA2" w:rsidP="00463647">
      <w:pPr>
        <w:pStyle w:val="EndnoteText"/>
        <w:widowControl w:val="0"/>
        <w:tabs>
          <w:tab w:val="clear" w:pos="567"/>
        </w:tabs>
        <w:rPr>
          <w:szCs w:val="22"/>
          <w:lang w:val="sv-SE"/>
        </w:rPr>
      </w:pPr>
      <w:r>
        <w:rPr>
          <w:szCs w:val="22"/>
          <w:lang w:val="sv-SE"/>
        </w:rPr>
        <w:t>8 till 10</w:t>
      </w:r>
      <w:r w:rsidRPr="007564F8">
        <w:rPr>
          <w:szCs w:val="22"/>
          <w:lang w:val="sv-SE"/>
        </w:rPr>
        <w:t xml:space="preserve"> g (singeldos): Kräkningar och </w:t>
      </w:r>
      <w:r>
        <w:rPr>
          <w:szCs w:val="22"/>
          <w:lang w:val="sv-SE"/>
        </w:rPr>
        <w:t>mag-tarm</w:t>
      </w:r>
      <w:r w:rsidRPr="007564F8">
        <w:rPr>
          <w:szCs w:val="22"/>
          <w:lang w:val="sv-SE"/>
        </w:rPr>
        <w:t>smärta har rapporterats.</w:t>
      </w:r>
    </w:p>
    <w:p w14:paraId="13A93BE4" w14:textId="77777777" w:rsidR="00547CA2" w:rsidRDefault="00547CA2" w:rsidP="00463647">
      <w:pPr>
        <w:pStyle w:val="EndnoteText"/>
        <w:widowControl w:val="0"/>
        <w:tabs>
          <w:tab w:val="clear" w:pos="567"/>
        </w:tabs>
        <w:rPr>
          <w:szCs w:val="22"/>
          <w:lang w:val="sv-SE"/>
        </w:rPr>
      </w:pPr>
    </w:p>
    <w:p w14:paraId="5E6B6188" w14:textId="77777777" w:rsidR="00547CA2" w:rsidRPr="00681C98" w:rsidRDefault="00547CA2" w:rsidP="00463647">
      <w:pPr>
        <w:pStyle w:val="EndnoteText"/>
        <w:keepNext/>
        <w:widowControl w:val="0"/>
        <w:tabs>
          <w:tab w:val="clear" w:pos="567"/>
        </w:tabs>
        <w:rPr>
          <w:i/>
          <w:szCs w:val="22"/>
          <w:lang w:val="sv-SE"/>
        </w:rPr>
      </w:pPr>
      <w:r w:rsidRPr="00681C98">
        <w:rPr>
          <w:i/>
          <w:szCs w:val="22"/>
          <w:lang w:val="sv-SE"/>
        </w:rPr>
        <w:lastRenderedPageBreak/>
        <w:t>Pediatrisk population</w:t>
      </w:r>
    </w:p>
    <w:p w14:paraId="58899817" w14:textId="77777777" w:rsidR="00547CA2" w:rsidRPr="007564F8" w:rsidRDefault="00547CA2" w:rsidP="00463647">
      <w:pPr>
        <w:pStyle w:val="EndnoteText"/>
        <w:widowControl w:val="0"/>
        <w:tabs>
          <w:tab w:val="clear" w:pos="567"/>
        </w:tabs>
        <w:rPr>
          <w:color w:val="000000"/>
          <w:szCs w:val="22"/>
          <w:lang w:val="sv-SE"/>
        </w:rPr>
      </w:pPr>
      <w:r>
        <w:rPr>
          <w:szCs w:val="22"/>
          <w:lang w:val="sv-SE"/>
        </w:rPr>
        <w:t>En 3-årig pojke exponerad för en singeldos på 400</w:t>
      </w:r>
      <w:r w:rsidRPr="008B2367">
        <w:rPr>
          <w:szCs w:val="22"/>
          <w:lang w:val="sv-SE"/>
        </w:rPr>
        <w:t> </w:t>
      </w:r>
      <w:r>
        <w:rPr>
          <w:szCs w:val="22"/>
          <w:lang w:val="sv-SE"/>
        </w:rPr>
        <w:t>mg fick kräkningar, diarré och anorexi och en annan 3-årig pojke exponerad för en singeldos på 980</w:t>
      </w:r>
      <w:r w:rsidRPr="008B2367">
        <w:rPr>
          <w:szCs w:val="22"/>
          <w:lang w:val="sv-SE"/>
        </w:rPr>
        <w:t> </w:t>
      </w:r>
      <w:r>
        <w:rPr>
          <w:szCs w:val="22"/>
          <w:lang w:val="sv-SE"/>
        </w:rPr>
        <w:t xml:space="preserve">mg fick </w:t>
      </w:r>
      <w:r w:rsidRPr="003409A9">
        <w:rPr>
          <w:szCs w:val="22"/>
          <w:lang w:val="sv-SE"/>
        </w:rPr>
        <w:t>minskat antal vita blodkroppar</w:t>
      </w:r>
      <w:r>
        <w:rPr>
          <w:szCs w:val="22"/>
          <w:lang w:val="sv-SE"/>
        </w:rPr>
        <w:t xml:space="preserve"> och diarré.</w:t>
      </w:r>
    </w:p>
    <w:p w14:paraId="319C8399" w14:textId="77777777" w:rsidR="00547CA2" w:rsidRPr="000E7AE9" w:rsidRDefault="00547CA2" w:rsidP="00463647">
      <w:pPr>
        <w:pStyle w:val="EndnoteText"/>
        <w:widowControl w:val="0"/>
        <w:tabs>
          <w:tab w:val="clear" w:pos="567"/>
        </w:tabs>
        <w:rPr>
          <w:color w:val="000000"/>
          <w:szCs w:val="22"/>
          <w:lang w:val="sv-SE"/>
        </w:rPr>
      </w:pPr>
    </w:p>
    <w:p w14:paraId="5C7144DE"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I händelse av överdos skall patienten observeras och adekvat understödjande behandling ges.</w:t>
      </w:r>
    </w:p>
    <w:p w14:paraId="006BF303" w14:textId="77777777" w:rsidR="00547CA2" w:rsidRPr="000E7AE9" w:rsidRDefault="00547CA2" w:rsidP="00463647">
      <w:pPr>
        <w:pStyle w:val="EndnoteText"/>
        <w:widowControl w:val="0"/>
        <w:tabs>
          <w:tab w:val="clear" w:pos="567"/>
        </w:tabs>
        <w:rPr>
          <w:color w:val="000000"/>
          <w:szCs w:val="22"/>
          <w:lang w:val="sv-SE"/>
        </w:rPr>
      </w:pPr>
    </w:p>
    <w:p w14:paraId="48565EF4" w14:textId="77777777" w:rsidR="00547CA2" w:rsidRPr="000E7AE9" w:rsidRDefault="00547CA2" w:rsidP="00463647">
      <w:pPr>
        <w:widowControl w:val="0"/>
        <w:tabs>
          <w:tab w:val="clear" w:pos="567"/>
        </w:tabs>
        <w:spacing w:line="240" w:lineRule="auto"/>
        <w:rPr>
          <w:color w:val="000000"/>
          <w:szCs w:val="22"/>
          <w:lang w:val="sv-SE"/>
        </w:rPr>
      </w:pPr>
    </w:p>
    <w:p w14:paraId="34859E91" w14:textId="77777777" w:rsidR="00547CA2" w:rsidRPr="000E7AE9" w:rsidRDefault="00547CA2" w:rsidP="00463647">
      <w:pPr>
        <w:pStyle w:val="Heading4"/>
        <w:widowControl w:val="0"/>
        <w:spacing w:line="240" w:lineRule="auto"/>
        <w:rPr>
          <w:noProof w:val="0"/>
          <w:color w:val="000000"/>
          <w:szCs w:val="22"/>
          <w:lang w:val="sv-SE"/>
        </w:rPr>
      </w:pPr>
      <w:r w:rsidRPr="000E7AE9">
        <w:rPr>
          <w:noProof w:val="0"/>
          <w:color w:val="000000"/>
          <w:szCs w:val="22"/>
          <w:lang w:val="sv-SE"/>
        </w:rPr>
        <w:t>5.</w:t>
      </w:r>
      <w:r w:rsidRPr="000E7AE9">
        <w:rPr>
          <w:noProof w:val="0"/>
          <w:color w:val="000000"/>
          <w:szCs w:val="22"/>
          <w:lang w:val="sv-SE"/>
        </w:rPr>
        <w:tab/>
        <w:t>FARMAKOLOGISKA EGENSKAPER</w:t>
      </w:r>
    </w:p>
    <w:p w14:paraId="05210383" w14:textId="77777777" w:rsidR="00547CA2" w:rsidRPr="000E7AE9" w:rsidRDefault="00547CA2" w:rsidP="00463647">
      <w:pPr>
        <w:keepNext/>
        <w:widowControl w:val="0"/>
        <w:tabs>
          <w:tab w:val="clear" w:pos="567"/>
        </w:tabs>
        <w:spacing w:line="240" w:lineRule="auto"/>
        <w:rPr>
          <w:color w:val="000000"/>
          <w:szCs w:val="22"/>
          <w:lang w:val="sv-SE"/>
        </w:rPr>
      </w:pPr>
    </w:p>
    <w:p w14:paraId="5E905C1B" w14:textId="77777777" w:rsidR="00547CA2" w:rsidRPr="000E7AE9" w:rsidRDefault="00547CA2" w:rsidP="00463647">
      <w:pPr>
        <w:pStyle w:val="Heading4"/>
        <w:widowControl w:val="0"/>
        <w:spacing w:line="240" w:lineRule="auto"/>
        <w:rPr>
          <w:noProof w:val="0"/>
          <w:color w:val="000000"/>
          <w:szCs w:val="22"/>
          <w:lang w:val="sv-SE"/>
        </w:rPr>
      </w:pPr>
      <w:r w:rsidRPr="000E7AE9">
        <w:rPr>
          <w:noProof w:val="0"/>
          <w:color w:val="000000"/>
          <w:szCs w:val="22"/>
          <w:lang w:val="sv-SE"/>
        </w:rPr>
        <w:t>5.1</w:t>
      </w:r>
      <w:r w:rsidRPr="000E7AE9">
        <w:rPr>
          <w:noProof w:val="0"/>
          <w:color w:val="000000"/>
          <w:szCs w:val="22"/>
          <w:lang w:val="sv-SE"/>
        </w:rPr>
        <w:tab/>
        <w:t>Farmakodynamiska egenskaper</w:t>
      </w:r>
    </w:p>
    <w:p w14:paraId="632A5564" w14:textId="77777777" w:rsidR="00547CA2" w:rsidRPr="000E7AE9" w:rsidRDefault="00547CA2" w:rsidP="00463647">
      <w:pPr>
        <w:pStyle w:val="EndnoteText"/>
        <w:keepNext/>
        <w:widowControl w:val="0"/>
        <w:tabs>
          <w:tab w:val="clear" w:pos="567"/>
        </w:tabs>
        <w:rPr>
          <w:color w:val="000000"/>
          <w:szCs w:val="22"/>
          <w:lang w:val="sv-SE"/>
        </w:rPr>
      </w:pPr>
    </w:p>
    <w:p w14:paraId="6A1AD882" w14:textId="77777777" w:rsidR="00547CA2" w:rsidRPr="000E7AE9" w:rsidRDefault="00547CA2" w:rsidP="00463647">
      <w:pPr>
        <w:keepNext/>
        <w:widowControl w:val="0"/>
        <w:tabs>
          <w:tab w:val="clear" w:pos="567"/>
        </w:tabs>
        <w:spacing w:line="240" w:lineRule="auto"/>
        <w:rPr>
          <w:color w:val="000000"/>
          <w:szCs w:val="22"/>
          <w:lang w:val="sv-SE"/>
        </w:rPr>
      </w:pPr>
      <w:r w:rsidRPr="000E7AE9">
        <w:rPr>
          <w:color w:val="000000"/>
          <w:szCs w:val="22"/>
          <w:lang w:val="sv-SE"/>
        </w:rPr>
        <w:t>Farmakoterapeutisk grupp: Protein-tyrosinkinashämmare, ATC-kod: L01XE01</w:t>
      </w:r>
    </w:p>
    <w:p w14:paraId="22F0E4BF" w14:textId="77777777" w:rsidR="00547CA2" w:rsidRPr="000E7AE9" w:rsidRDefault="00547CA2" w:rsidP="00463647">
      <w:pPr>
        <w:pStyle w:val="EndnoteText"/>
        <w:keepNext/>
        <w:widowControl w:val="0"/>
        <w:tabs>
          <w:tab w:val="clear" w:pos="567"/>
        </w:tabs>
        <w:rPr>
          <w:color w:val="000000"/>
          <w:szCs w:val="22"/>
          <w:lang w:val="sv-SE"/>
        </w:rPr>
      </w:pPr>
    </w:p>
    <w:p w14:paraId="0E842DFC" w14:textId="77777777" w:rsidR="00547CA2" w:rsidRPr="003D4D46" w:rsidRDefault="00547CA2" w:rsidP="00463647">
      <w:pPr>
        <w:pStyle w:val="EndnoteText"/>
        <w:keepNext/>
        <w:widowControl w:val="0"/>
        <w:tabs>
          <w:tab w:val="clear" w:pos="567"/>
        </w:tabs>
        <w:rPr>
          <w:color w:val="000000"/>
          <w:szCs w:val="22"/>
          <w:u w:val="single"/>
          <w:lang w:val="sv-SE"/>
        </w:rPr>
      </w:pPr>
      <w:r w:rsidRPr="003D4D46">
        <w:rPr>
          <w:color w:val="000000"/>
          <w:szCs w:val="22"/>
          <w:u w:val="single"/>
          <w:lang w:val="sv-SE"/>
        </w:rPr>
        <w:t>Verkningsmekanism</w:t>
      </w:r>
    </w:p>
    <w:p w14:paraId="7FE4D1AB" w14:textId="77777777" w:rsidR="00547CA2" w:rsidRDefault="00547CA2" w:rsidP="00463647">
      <w:pPr>
        <w:pStyle w:val="EndnoteText"/>
        <w:widowControl w:val="0"/>
        <w:tabs>
          <w:tab w:val="clear" w:pos="567"/>
        </w:tabs>
        <w:rPr>
          <w:color w:val="000000"/>
          <w:szCs w:val="22"/>
          <w:lang w:val="sv-SE"/>
        </w:rPr>
      </w:pPr>
      <w:r>
        <w:rPr>
          <w:color w:val="000000"/>
          <w:szCs w:val="22"/>
          <w:lang w:val="sv-SE"/>
        </w:rPr>
        <w:t>Imatinib är en lågmolekylär protein-tyrosinkinashämmare med kraftigt hämmande effekt på aktiviteten hos Bcr-Abl-tyrosinkinas (TK) samt flera TK-receptorer: KIT, stamcellsfaktorreceptorn (SCF) som kodas av c-Kit protoonkogen, discoidin domain receptors (DDR1 och DDR2), kolonistimulerande kofaktorreceptorn (CSF-1R) och trombocytorelaterad tillväxtfaktorreceptorerna alfa och beta (platelet-derived growth factor receptors alpha and beta, PDGFR-alpha and PDGFR-beta). Imatinib kan också hämma cellulära händelser som är medierade av aktivering av dessa receptorkinaser.</w:t>
      </w:r>
    </w:p>
    <w:p w14:paraId="084C8503" w14:textId="77777777" w:rsidR="00547CA2" w:rsidRDefault="00547CA2" w:rsidP="00463647">
      <w:pPr>
        <w:pStyle w:val="EndnoteText"/>
        <w:widowControl w:val="0"/>
        <w:tabs>
          <w:tab w:val="clear" w:pos="567"/>
          <w:tab w:val="left" w:pos="1785"/>
        </w:tabs>
        <w:rPr>
          <w:color w:val="000000"/>
          <w:szCs w:val="22"/>
          <w:lang w:val="sv-SE"/>
        </w:rPr>
      </w:pPr>
    </w:p>
    <w:p w14:paraId="7A97692D" w14:textId="77777777" w:rsidR="00547CA2" w:rsidRPr="003D4D46" w:rsidRDefault="00547CA2" w:rsidP="00463647">
      <w:pPr>
        <w:pStyle w:val="EndnoteText"/>
        <w:keepNext/>
        <w:widowControl w:val="0"/>
        <w:tabs>
          <w:tab w:val="clear" w:pos="567"/>
        </w:tabs>
        <w:rPr>
          <w:color w:val="000000"/>
          <w:szCs w:val="22"/>
          <w:u w:val="single"/>
          <w:lang w:val="sv-SE"/>
        </w:rPr>
      </w:pPr>
      <w:r w:rsidRPr="003D4D46">
        <w:rPr>
          <w:color w:val="000000"/>
          <w:szCs w:val="22"/>
          <w:u w:val="single"/>
          <w:lang w:val="sv-SE"/>
        </w:rPr>
        <w:t>Farmakodynamisk effekt</w:t>
      </w:r>
    </w:p>
    <w:p w14:paraId="1DAAE02E"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 xml:space="preserve">Imatinib är en protein-tyrosinkinashämmare med kraftigt hämmande effekt på Bcr-Abl-tyrosinkinas </w:t>
      </w:r>
      <w:r w:rsidRPr="000E7AE9">
        <w:rPr>
          <w:i/>
          <w:color w:val="000000"/>
          <w:szCs w:val="22"/>
          <w:lang w:val="sv-SE"/>
        </w:rPr>
        <w:t>in vitro,</w:t>
      </w:r>
      <w:r w:rsidRPr="000E7AE9">
        <w:rPr>
          <w:color w:val="000000"/>
          <w:szCs w:val="22"/>
          <w:lang w:val="sv-SE"/>
        </w:rPr>
        <w:t xml:space="preserve"> på cellulär nivå och </w:t>
      </w:r>
      <w:r w:rsidRPr="000E7AE9">
        <w:rPr>
          <w:i/>
          <w:color w:val="000000"/>
          <w:szCs w:val="22"/>
          <w:lang w:val="sv-SE"/>
        </w:rPr>
        <w:t>in vivo.</w:t>
      </w:r>
      <w:r w:rsidRPr="000E7AE9">
        <w:rPr>
          <w:color w:val="000000"/>
          <w:szCs w:val="22"/>
          <w:lang w:val="sv-SE"/>
        </w:rPr>
        <w:t xml:space="preserve"> Substansen hämmar proliferation selektivt och inducerar apoptos hos såväl Bcr-Abl-positiva cellinjer som hos färska leukemiska celler från patienter med Philadelphiakromosom-positiv KML och akut lymfoblastleukemi (ALL).</w:t>
      </w:r>
    </w:p>
    <w:p w14:paraId="3F670FDD" w14:textId="77777777" w:rsidR="00547CA2" w:rsidRPr="000E7AE9" w:rsidRDefault="00547CA2" w:rsidP="00463647">
      <w:pPr>
        <w:pStyle w:val="EndnoteText"/>
        <w:widowControl w:val="0"/>
        <w:tabs>
          <w:tab w:val="clear" w:pos="567"/>
        </w:tabs>
        <w:rPr>
          <w:color w:val="000000"/>
          <w:szCs w:val="22"/>
          <w:lang w:val="sv-SE"/>
        </w:rPr>
      </w:pPr>
    </w:p>
    <w:p w14:paraId="6FD8723D" w14:textId="77777777" w:rsidR="00547CA2" w:rsidRPr="000E7AE9" w:rsidRDefault="00547CA2" w:rsidP="00463647">
      <w:pPr>
        <w:pStyle w:val="EndnoteText"/>
        <w:widowControl w:val="0"/>
        <w:tabs>
          <w:tab w:val="clear" w:pos="567"/>
        </w:tabs>
        <w:rPr>
          <w:color w:val="000000"/>
          <w:szCs w:val="22"/>
          <w:lang w:val="sv-SE"/>
        </w:rPr>
      </w:pPr>
      <w:r w:rsidRPr="000E7AE9">
        <w:rPr>
          <w:i/>
          <w:color w:val="000000"/>
          <w:szCs w:val="22"/>
          <w:lang w:val="sv-SE"/>
        </w:rPr>
        <w:t>In vivo</w:t>
      </w:r>
      <w:r w:rsidRPr="000E7AE9">
        <w:rPr>
          <w:color w:val="000000"/>
          <w:szCs w:val="22"/>
          <w:lang w:val="sv-SE"/>
        </w:rPr>
        <w:t xml:space="preserve"> uppvisar ämnet anti-tumöraktivitet givet som enda agens i djurmodeller med Bcr-Abl-positiva tumörceller.</w:t>
      </w:r>
    </w:p>
    <w:p w14:paraId="5DA39002" w14:textId="77777777" w:rsidR="00547CA2" w:rsidRPr="000E7AE9" w:rsidRDefault="00547CA2" w:rsidP="00463647">
      <w:pPr>
        <w:pStyle w:val="EndnoteText"/>
        <w:widowControl w:val="0"/>
        <w:tabs>
          <w:tab w:val="clear" w:pos="567"/>
        </w:tabs>
        <w:rPr>
          <w:color w:val="000000"/>
          <w:szCs w:val="22"/>
          <w:lang w:val="sv-SE"/>
        </w:rPr>
      </w:pPr>
    </w:p>
    <w:p w14:paraId="66D894AF"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 xml:space="preserve">Imatinib är också en hämmare av receptor-tyrosinkinaserna för trombocytrelaterad tillväxtfaktor (platelet-derived growth factor, PDGF), PDGF-R och stamcellsfaktor (SCF), c-Kit och hämmar PDGF- och SCF-medierade cellhändelser. Imatinib hämmar proliferationen </w:t>
      </w:r>
      <w:r w:rsidRPr="000E7AE9">
        <w:rPr>
          <w:i/>
          <w:color w:val="000000"/>
          <w:szCs w:val="22"/>
          <w:lang w:val="sv-SE"/>
        </w:rPr>
        <w:t>in vitro</w:t>
      </w:r>
      <w:r w:rsidRPr="000E7AE9">
        <w:rPr>
          <w:color w:val="000000"/>
          <w:szCs w:val="22"/>
          <w:lang w:val="sv-SE"/>
        </w:rPr>
        <w:t xml:space="preserve"> och inducerar apoptos i gastrointestinala stromacellstumörer (GIST), som uttrycker en aktiverande </w:t>
      </w:r>
      <w:r w:rsidRPr="000E7AE9">
        <w:rPr>
          <w:i/>
          <w:color w:val="000000"/>
          <w:szCs w:val="22"/>
          <w:lang w:val="sv-SE"/>
        </w:rPr>
        <w:t>kit</w:t>
      </w:r>
      <w:r w:rsidRPr="000E7AE9">
        <w:rPr>
          <w:color w:val="000000"/>
          <w:szCs w:val="22"/>
          <w:lang w:val="sv-SE"/>
        </w:rPr>
        <w:t>-mutation. Uppkommen aktivering av PDGF-receptorn eller Abl protein-tyrosinkinaserna som en konsekvens av fusion med diverse partnerproteiner eller uppkommen produktion av PDGF har satts i samband med patogenesen av MDS/MPD, HES/CEL och DFSP. Imatinib inhiberar signalering och proliferation av celler som drivs av oreglerad PDGFR och Abl kinas-aktivitet.</w:t>
      </w:r>
    </w:p>
    <w:p w14:paraId="1DCCF65C" w14:textId="77777777" w:rsidR="00547CA2" w:rsidRPr="000E7AE9" w:rsidRDefault="00547CA2" w:rsidP="00463647">
      <w:pPr>
        <w:pStyle w:val="EndnoteText"/>
        <w:widowControl w:val="0"/>
        <w:tabs>
          <w:tab w:val="clear" w:pos="567"/>
        </w:tabs>
        <w:rPr>
          <w:color w:val="000000"/>
          <w:szCs w:val="22"/>
          <w:lang w:val="sv-SE"/>
        </w:rPr>
      </w:pPr>
    </w:p>
    <w:p w14:paraId="5B13F9C4"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u w:val="single"/>
          <w:lang w:val="sv-SE"/>
        </w:rPr>
        <w:t>Kliniska studier vid kronisk myeloisk leukemi</w:t>
      </w:r>
    </w:p>
    <w:p w14:paraId="2861C5F2" w14:textId="77777777" w:rsidR="00547CA2" w:rsidRPr="000E7AE9" w:rsidRDefault="00547CA2" w:rsidP="00463647">
      <w:pPr>
        <w:pStyle w:val="EndnoteText"/>
        <w:widowControl w:val="0"/>
        <w:tabs>
          <w:tab w:val="clear" w:pos="567"/>
        </w:tabs>
        <w:rPr>
          <w:color w:val="000000"/>
          <w:szCs w:val="22"/>
          <w:u w:val="single"/>
          <w:lang w:val="sv-SE"/>
        </w:rPr>
      </w:pPr>
      <w:r w:rsidRPr="000E7AE9">
        <w:rPr>
          <w:color w:val="000000"/>
          <w:szCs w:val="22"/>
          <w:lang w:val="sv-SE"/>
        </w:rPr>
        <w:t>Effekten av Glivec baseras på det sammantagna hematologiska och cytogenetiska svaret samt på progressionsfri överlevnad. Förutom vid nyligen diagnostiserad KML i kronisk fas finns inga kontrollerade studier som visar på en klinisk nytta, såsom förbättring av sjukdomsrelaterade symtom eller ökad överlevnad.</w:t>
      </w:r>
    </w:p>
    <w:p w14:paraId="49F3A46A" w14:textId="77777777" w:rsidR="00547CA2" w:rsidRPr="000E7AE9" w:rsidRDefault="00547CA2" w:rsidP="00463647">
      <w:pPr>
        <w:pStyle w:val="EndnoteText"/>
        <w:widowControl w:val="0"/>
        <w:tabs>
          <w:tab w:val="clear" w:pos="567"/>
        </w:tabs>
        <w:rPr>
          <w:color w:val="000000"/>
          <w:szCs w:val="22"/>
          <w:lang w:val="sv-SE"/>
        </w:rPr>
      </w:pPr>
    </w:p>
    <w:p w14:paraId="22F745A2"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Tre stora, internationella, öppna, icke-kontrollerade fas II-studier har genomförts på patienter med Philadelphiakromosom-positiv (Ph+)-KML i avancerad, blast- eller accelererad fas eller KML i kronisk fas vid terapisvikt med interferon alfa-terapi (IFN). En stor, internationell, öppen, multicenter, randomiserad fas III-studie har genomförts på patienter med nyligen diagnostiserad (Ph+)-KML. Dessutom har barn behandlats i två fas I-studier och en fas II-studie.</w:t>
      </w:r>
    </w:p>
    <w:p w14:paraId="03372A80" w14:textId="77777777" w:rsidR="00547CA2" w:rsidRPr="000E7AE9" w:rsidRDefault="00547CA2" w:rsidP="00463647">
      <w:pPr>
        <w:pStyle w:val="EndnoteText"/>
        <w:widowControl w:val="0"/>
        <w:tabs>
          <w:tab w:val="clear" w:pos="567"/>
        </w:tabs>
        <w:rPr>
          <w:color w:val="000000"/>
          <w:szCs w:val="22"/>
          <w:lang w:val="sv-SE"/>
        </w:rPr>
      </w:pPr>
    </w:p>
    <w:p w14:paraId="76663163"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I samtliga kliniska studier var 38–40</w:t>
      </w:r>
      <w:r>
        <w:rPr>
          <w:color w:val="000000"/>
          <w:szCs w:val="22"/>
          <w:lang w:val="sv-SE"/>
        </w:rPr>
        <w:t> </w:t>
      </w:r>
      <w:r w:rsidRPr="000E7AE9">
        <w:rPr>
          <w:color w:val="000000"/>
          <w:szCs w:val="22"/>
          <w:lang w:val="sv-SE"/>
        </w:rPr>
        <w:t xml:space="preserve">% av patienterna </w:t>
      </w:r>
      <w:r w:rsidRPr="000E7AE9">
        <w:rPr>
          <w:color w:val="000000"/>
          <w:szCs w:val="22"/>
          <w:lang w:val="sv-SE"/>
        </w:rPr>
        <w:sym w:font="Symbol" w:char="F0B3"/>
      </w:r>
      <w:r w:rsidRPr="000E7AE9">
        <w:rPr>
          <w:color w:val="000000"/>
          <w:szCs w:val="22"/>
          <w:lang w:val="sv-SE"/>
        </w:rPr>
        <w:t> 60 års ålder och 10–12</w:t>
      </w:r>
      <w:r>
        <w:rPr>
          <w:color w:val="000000"/>
          <w:szCs w:val="22"/>
          <w:lang w:val="sv-SE"/>
        </w:rPr>
        <w:t> </w:t>
      </w:r>
      <w:r w:rsidRPr="000E7AE9">
        <w:rPr>
          <w:color w:val="000000"/>
          <w:szCs w:val="22"/>
          <w:lang w:val="sv-SE"/>
        </w:rPr>
        <w:t xml:space="preserve">% av patienterna var </w:t>
      </w:r>
      <w:r w:rsidRPr="000E7AE9">
        <w:rPr>
          <w:color w:val="000000"/>
          <w:szCs w:val="22"/>
          <w:lang w:val="sv-SE"/>
        </w:rPr>
        <w:sym w:font="Symbol" w:char="F0B3"/>
      </w:r>
      <w:r w:rsidRPr="000E7AE9">
        <w:rPr>
          <w:color w:val="000000"/>
          <w:szCs w:val="22"/>
          <w:lang w:val="sv-SE"/>
        </w:rPr>
        <w:t> 70 års ålder.</w:t>
      </w:r>
    </w:p>
    <w:p w14:paraId="49818858" w14:textId="77777777" w:rsidR="00547CA2" w:rsidRPr="000E7AE9" w:rsidRDefault="00547CA2" w:rsidP="00463647">
      <w:pPr>
        <w:pStyle w:val="EndnoteText"/>
        <w:widowControl w:val="0"/>
        <w:tabs>
          <w:tab w:val="clear" w:pos="567"/>
        </w:tabs>
        <w:rPr>
          <w:color w:val="000000"/>
          <w:szCs w:val="22"/>
          <w:lang w:val="sv-SE"/>
        </w:rPr>
      </w:pPr>
    </w:p>
    <w:p w14:paraId="09587F99" w14:textId="77777777" w:rsidR="00547CA2" w:rsidRPr="000E7AE9" w:rsidRDefault="00547CA2" w:rsidP="00463647">
      <w:pPr>
        <w:pStyle w:val="EndnoteText"/>
        <w:widowControl w:val="0"/>
        <w:rPr>
          <w:color w:val="000000"/>
          <w:szCs w:val="22"/>
          <w:lang w:val="sv-SE"/>
        </w:rPr>
      </w:pPr>
      <w:r w:rsidRPr="000E7AE9">
        <w:rPr>
          <w:i/>
          <w:color w:val="000000"/>
          <w:szCs w:val="22"/>
          <w:lang w:val="sv-SE"/>
        </w:rPr>
        <w:t>Kronisk fas, nyligen diagnostiserade:</w:t>
      </w:r>
      <w:r w:rsidRPr="000E7AE9">
        <w:rPr>
          <w:color w:val="000000"/>
          <w:szCs w:val="22"/>
          <w:lang w:val="sv-SE"/>
        </w:rPr>
        <w:t xml:space="preserve"> Denna fas III-studie på vuxna patienter jämförde behandlingen med endera enbart Glivec eller en kombination av interferon-alfa (IFN) och cytarabin (Ara-C). </w:t>
      </w:r>
      <w:r w:rsidRPr="000E7AE9">
        <w:rPr>
          <w:color w:val="000000"/>
          <w:szCs w:val="22"/>
          <w:lang w:val="sv-SE"/>
        </w:rPr>
        <w:lastRenderedPageBreak/>
        <w:t>Patienter som uppvisade bristande respons på behandlingen (brist på fullständigt hematologiskt svar (FHS) efter 6 månader, ökande antal vita blodkroppar, inget betydande cytogenetiskt svar (BCyS) efter 24 månader), utebliven respons (förlust av FHS eller BCyS) eller allvarlig intolerans för behandlingen tilläts övergå till den alternativa behandlingsarmen. I Glivec-armen behandlades patienterna med 400 mg dagligen. I IFN-armen behandlades patienterna med en måldos av IFN på 5 MIE/m</w:t>
      </w:r>
      <w:r w:rsidRPr="000E7AE9">
        <w:rPr>
          <w:color w:val="000000"/>
          <w:szCs w:val="22"/>
          <w:vertAlign w:val="superscript"/>
          <w:lang w:val="sv-SE"/>
        </w:rPr>
        <w:t>2</w:t>
      </w:r>
      <w:r w:rsidRPr="000E7AE9">
        <w:rPr>
          <w:color w:val="000000"/>
          <w:szCs w:val="22"/>
          <w:lang w:val="sv-SE"/>
        </w:rPr>
        <w:t>/dag subkutant i kombination med subkutant Ara-C 20 mg/m</w:t>
      </w:r>
      <w:r w:rsidRPr="000E7AE9">
        <w:rPr>
          <w:color w:val="000000"/>
          <w:szCs w:val="22"/>
          <w:vertAlign w:val="superscript"/>
          <w:lang w:val="sv-SE"/>
        </w:rPr>
        <w:t>2</w:t>
      </w:r>
      <w:r w:rsidRPr="000E7AE9">
        <w:rPr>
          <w:color w:val="000000"/>
          <w:szCs w:val="22"/>
          <w:lang w:val="sv-SE"/>
        </w:rPr>
        <w:t>/dag under 10 dagar/månad.</w:t>
      </w:r>
    </w:p>
    <w:p w14:paraId="2323CC14" w14:textId="77777777" w:rsidR="00547CA2" w:rsidRPr="000E7AE9" w:rsidRDefault="00547CA2" w:rsidP="00463647">
      <w:pPr>
        <w:pStyle w:val="EndnoteText"/>
        <w:widowControl w:val="0"/>
        <w:rPr>
          <w:color w:val="000000"/>
          <w:szCs w:val="22"/>
          <w:lang w:val="sv-SE"/>
        </w:rPr>
      </w:pPr>
    </w:p>
    <w:p w14:paraId="2F58D749" w14:textId="77777777" w:rsidR="00547CA2" w:rsidRPr="000E7AE9" w:rsidRDefault="00547CA2" w:rsidP="00463647">
      <w:pPr>
        <w:pStyle w:val="EndnoteText"/>
        <w:widowControl w:val="0"/>
        <w:rPr>
          <w:color w:val="000000"/>
          <w:szCs w:val="22"/>
          <w:lang w:val="sv-SE"/>
        </w:rPr>
      </w:pPr>
      <w:r w:rsidRPr="000E7AE9">
        <w:rPr>
          <w:color w:val="000000"/>
          <w:szCs w:val="22"/>
          <w:lang w:val="sv-SE"/>
        </w:rPr>
        <w:t>Totalt 1 106 patienter randomiserades, 553 i vardera armen. Karakteristika vid baslinjen var väl balanserade mellan de båda armarna. Medianåldern var 51 år (18–70 år), varav 21,9</w:t>
      </w:r>
      <w:r>
        <w:rPr>
          <w:color w:val="000000"/>
          <w:szCs w:val="22"/>
          <w:lang w:val="sv-SE"/>
        </w:rPr>
        <w:t> </w:t>
      </w:r>
      <w:r w:rsidRPr="000E7AE9">
        <w:rPr>
          <w:color w:val="000000"/>
          <w:szCs w:val="22"/>
          <w:lang w:val="sv-SE"/>
        </w:rPr>
        <w:t>% av patienterna ≥ 60 års ålder. Det fanns 59</w:t>
      </w:r>
      <w:r>
        <w:rPr>
          <w:color w:val="000000"/>
          <w:szCs w:val="22"/>
          <w:lang w:val="sv-SE"/>
        </w:rPr>
        <w:t> </w:t>
      </w:r>
      <w:r w:rsidRPr="000E7AE9">
        <w:rPr>
          <w:color w:val="000000"/>
          <w:szCs w:val="22"/>
          <w:lang w:val="sv-SE"/>
        </w:rPr>
        <w:t>% män och 41</w:t>
      </w:r>
      <w:r>
        <w:rPr>
          <w:color w:val="000000"/>
          <w:szCs w:val="22"/>
          <w:lang w:val="sv-SE"/>
        </w:rPr>
        <w:t> </w:t>
      </w:r>
      <w:r w:rsidRPr="000E7AE9">
        <w:rPr>
          <w:color w:val="000000"/>
          <w:szCs w:val="22"/>
          <w:lang w:val="sv-SE"/>
        </w:rPr>
        <w:t>% kvinnor; 89,9</w:t>
      </w:r>
      <w:r>
        <w:rPr>
          <w:color w:val="000000"/>
          <w:szCs w:val="22"/>
          <w:lang w:val="sv-SE"/>
        </w:rPr>
        <w:t> </w:t>
      </w:r>
      <w:r w:rsidRPr="000E7AE9">
        <w:rPr>
          <w:color w:val="000000"/>
          <w:szCs w:val="22"/>
          <w:lang w:val="sv-SE"/>
        </w:rPr>
        <w:t>% kaukasiska och 4,7</w:t>
      </w:r>
      <w:r>
        <w:rPr>
          <w:color w:val="000000"/>
          <w:szCs w:val="22"/>
          <w:lang w:val="sv-SE"/>
        </w:rPr>
        <w:t> </w:t>
      </w:r>
      <w:r w:rsidRPr="000E7AE9">
        <w:rPr>
          <w:color w:val="000000"/>
          <w:szCs w:val="22"/>
          <w:lang w:val="sv-SE"/>
        </w:rPr>
        <w:t xml:space="preserve">% svarta patienter. </w:t>
      </w:r>
      <w:r>
        <w:rPr>
          <w:color w:val="000000"/>
          <w:szCs w:val="22"/>
          <w:lang w:val="sv-SE"/>
        </w:rPr>
        <w:t>Sju</w:t>
      </w:r>
      <w:r w:rsidRPr="000E7AE9">
        <w:rPr>
          <w:color w:val="000000"/>
          <w:szCs w:val="22"/>
          <w:lang w:val="sv-SE"/>
        </w:rPr>
        <w:t xml:space="preserve"> år efter rekrytering av den sista patienten var mediandurationen för förstahandsbehandling </w:t>
      </w:r>
      <w:r>
        <w:rPr>
          <w:color w:val="000000"/>
          <w:szCs w:val="22"/>
          <w:lang w:val="sv-SE"/>
        </w:rPr>
        <w:t>82</w:t>
      </w:r>
      <w:r w:rsidRPr="000E7AE9">
        <w:rPr>
          <w:color w:val="000000"/>
          <w:szCs w:val="22"/>
          <w:lang w:val="sv-SE"/>
        </w:rPr>
        <w:t xml:space="preserve"> respektive 8 månader för Glivec- respektive IFN-armarna. Medianduration för andrahandsbehandling med Glivec var </w:t>
      </w:r>
      <w:r>
        <w:rPr>
          <w:color w:val="000000"/>
          <w:szCs w:val="22"/>
          <w:lang w:val="sv-SE"/>
        </w:rPr>
        <w:t>64</w:t>
      </w:r>
      <w:r w:rsidRPr="000E7AE9">
        <w:rPr>
          <w:color w:val="000000"/>
          <w:szCs w:val="22"/>
          <w:lang w:val="sv-SE"/>
        </w:rPr>
        <w:t xml:space="preserve"> månader. Totalt sett var den genomsnittliga administrerade dygnsdosen </w:t>
      </w:r>
      <w:r>
        <w:rPr>
          <w:color w:val="000000"/>
          <w:szCs w:val="22"/>
          <w:lang w:val="sv-SE"/>
        </w:rPr>
        <w:t>406</w:t>
      </w:r>
      <w:r w:rsidRPr="000E7AE9">
        <w:rPr>
          <w:color w:val="000000"/>
          <w:szCs w:val="22"/>
          <w:lang w:val="sv-SE"/>
        </w:rPr>
        <w:t> ± </w:t>
      </w:r>
      <w:r>
        <w:rPr>
          <w:color w:val="000000"/>
          <w:szCs w:val="22"/>
          <w:lang w:val="sv-SE"/>
        </w:rPr>
        <w:t>76</w:t>
      </w:r>
      <w:r w:rsidRPr="000E7AE9">
        <w:rPr>
          <w:color w:val="000000"/>
          <w:szCs w:val="22"/>
          <w:lang w:val="sv-SE"/>
        </w:rPr>
        <w:t> mg för alla patienter som fick Glivec som försthands</w:t>
      </w:r>
      <w:r w:rsidRPr="000E7AE9">
        <w:rPr>
          <w:color w:val="000000"/>
          <w:szCs w:val="22"/>
          <w:lang w:val="sv-SE"/>
        </w:rPr>
        <w:softHyphen/>
        <w:t>behandling. Det primära effektmåttet i denna studie är progressionsfri överlevnad. Progression definierades som någon av följande händelser: progression till accelererad fas eller blastkris, död, brist på FHS eller BCyS eller hos patienter som inte uppnådde FHS, ett ökande antal vita blodkroppar trots tillbörlig behandling. Betydande cytogenetiskt svar, hematologiskt svar, molekylärt svar (evaluering av minimal kvarvarande sjukdom) tid till accelererad fas eller blastkris och överlevnad är de huvudsakliga sekundära effektmåtten. Behandlingssvar redovisas i Tabell </w:t>
      </w:r>
      <w:r w:rsidR="00BA7C65">
        <w:rPr>
          <w:color w:val="000000"/>
          <w:szCs w:val="22"/>
          <w:lang w:val="sv-SE"/>
        </w:rPr>
        <w:t>2</w:t>
      </w:r>
      <w:r w:rsidRPr="000E7AE9">
        <w:rPr>
          <w:color w:val="000000"/>
          <w:szCs w:val="22"/>
          <w:lang w:val="sv-SE"/>
        </w:rPr>
        <w:t>.</w:t>
      </w:r>
    </w:p>
    <w:p w14:paraId="7E47D1F3" w14:textId="77777777" w:rsidR="00547CA2" w:rsidRPr="000E7AE9" w:rsidRDefault="00547CA2" w:rsidP="00463647">
      <w:pPr>
        <w:pStyle w:val="EndnoteText"/>
        <w:widowControl w:val="0"/>
        <w:rPr>
          <w:color w:val="000000"/>
          <w:szCs w:val="22"/>
          <w:lang w:val="sv-SE"/>
        </w:rPr>
      </w:pPr>
    </w:p>
    <w:p w14:paraId="244E4D97" w14:textId="77777777" w:rsidR="00547CA2" w:rsidRPr="000E7AE9" w:rsidRDefault="00547CA2" w:rsidP="00463647">
      <w:pPr>
        <w:keepNext/>
        <w:keepLines/>
        <w:widowControl w:val="0"/>
        <w:autoSpaceDE w:val="0"/>
        <w:autoSpaceDN w:val="0"/>
        <w:adjustRightInd w:val="0"/>
        <w:spacing w:line="240" w:lineRule="auto"/>
        <w:rPr>
          <w:b/>
          <w:bCs/>
          <w:color w:val="000000"/>
          <w:szCs w:val="22"/>
          <w:lang w:val="sv-SE"/>
        </w:rPr>
      </w:pPr>
      <w:r w:rsidRPr="000E7AE9">
        <w:rPr>
          <w:b/>
          <w:bCs/>
          <w:color w:val="000000"/>
          <w:szCs w:val="22"/>
          <w:lang w:val="sv-SE"/>
        </w:rPr>
        <w:t>Tabell </w:t>
      </w:r>
      <w:r w:rsidR="00BA7C65">
        <w:rPr>
          <w:b/>
          <w:bCs/>
          <w:color w:val="000000"/>
          <w:szCs w:val="22"/>
          <w:lang w:val="sv-SE"/>
        </w:rPr>
        <w:t>2</w:t>
      </w:r>
      <w:r w:rsidRPr="000E7AE9">
        <w:rPr>
          <w:b/>
          <w:bCs/>
          <w:color w:val="000000"/>
          <w:szCs w:val="22"/>
          <w:lang w:val="sv-SE"/>
        </w:rPr>
        <w:tab/>
        <w:t xml:space="preserve">Svar i studie av nyligen diagnostiserad KML (data vid </w:t>
      </w:r>
      <w:r>
        <w:rPr>
          <w:b/>
          <w:bCs/>
          <w:color w:val="000000"/>
          <w:szCs w:val="22"/>
          <w:lang w:val="sv-SE"/>
        </w:rPr>
        <w:t>84</w:t>
      </w:r>
      <w:r w:rsidRPr="000E7AE9">
        <w:rPr>
          <w:b/>
          <w:bCs/>
          <w:color w:val="000000"/>
          <w:szCs w:val="22"/>
          <w:lang w:val="sv-SE"/>
        </w:rPr>
        <w:t> månader)</w:t>
      </w:r>
    </w:p>
    <w:p w14:paraId="6B036C80" w14:textId="77777777" w:rsidR="00547CA2" w:rsidRPr="000E7AE9" w:rsidRDefault="00547CA2" w:rsidP="00463647">
      <w:pPr>
        <w:pStyle w:val="EndnoteText"/>
        <w:keepNext/>
        <w:keepLines/>
        <w:widowControl w:val="0"/>
        <w:rPr>
          <w:color w:val="000000"/>
          <w:szCs w:val="22"/>
          <w:lang w:val="sv-SE"/>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693"/>
      </w:tblGrid>
      <w:tr w:rsidR="00547CA2" w:rsidRPr="000E7AE9" w14:paraId="4131513F" w14:textId="77777777" w:rsidTr="0040304A">
        <w:trPr>
          <w:cantSplit/>
        </w:trPr>
        <w:tc>
          <w:tcPr>
            <w:tcW w:w="3794" w:type="dxa"/>
            <w:tcBorders>
              <w:top w:val="single" w:sz="4" w:space="0" w:color="auto"/>
              <w:left w:val="single" w:sz="4" w:space="0" w:color="auto"/>
              <w:bottom w:val="nil"/>
            </w:tcBorders>
          </w:tcPr>
          <w:p w14:paraId="7D6651BF"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c>
          <w:tcPr>
            <w:tcW w:w="2693" w:type="dxa"/>
            <w:tcBorders>
              <w:top w:val="single" w:sz="4" w:space="0" w:color="auto"/>
              <w:bottom w:val="nil"/>
            </w:tcBorders>
          </w:tcPr>
          <w:p w14:paraId="595B1847" w14:textId="77777777" w:rsidR="00547CA2" w:rsidRPr="000E7AE9" w:rsidRDefault="00547CA2" w:rsidP="00463647">
            <w:pPr>
              <w:pStyle w:val="Table"/>
              <w:widowControl w:val="0"/>
              <w:spacing w:before="0" w:after="0"/>
              <w:jc w:val="center"/>
              <w:rPr>
                <w:rFonts w:ascii="Times New Roman" w:hAnsi="Times New Roman"/>
                <w:b/>
                <w:color w:val="000000"/>
                <w:sz w:val="22"/>
                <w:szCs w:val="22"/>
                <w:lang w:val="sv-SE"/>
              </w:rPr>
            </w:pPr>
            <w:r w:rsidRPr="000E7AE9">
              <w:rPr>
                <w:rFonts w:ascii="Times New Roman" w:hAnsi="Times New Roman"/>
                <w:b/>
                <w:color w:val="000000"/>
                <w:sz w:val="22"/>
                <w:szCs w:val="22"/>
                <w:lang w:val="sv-SE"/>
              </w:rPr>
              <w:t>Glivec</w:t>
            </w:r>
          </w:p>
        </w:tc>
        <w:tc>
          <w:tcPr>
            <w:tcW w:w="2693" w:type="dxa"/>
            <w:tcBorders>
              <w:top w:val="single" w:sz="4" w:space="0" w:color="auto"/>
              <w:bottom w:val="nil"/>
              <w:right w:val="single" w:sz="4" w:space="0" w:color="auto"/>
            </w:tcBorders>
          </w:tcPr>
          <w:p w14:paraId="16BF3A6E" w14:textId="77777777" w:rsidR="00547CA2" w:rsidRPr="000E7AE9" w:rsidRDefault="00547CA2" w:rsidP="00463647">
            <w:pPr>
              <w:pStyle w:val="Table"/>
              <w:widowControl w:val="0"/>
              <w:spacing w:before="0" w:after="0"/>
              <w:jc w:val="center"/>
              <w:rPr>
                <w:rFonts w:ascii="Times New Roman" w:hAnsi="Times New Roman"/>
                <w:b/>
                <w:color w:val="000000"/>
                <w:sz w:val="22"/>
                <w:szCs w:val="22"/>
                <w:lang w:val="sv-SE"/>
              </w:rPr>
            </w:pPr>
            <w:r w:rsidRPr="000E7AE9">
              <w:rPr>
                <w:rFonts w:ascii="Times New Roman" w:hAnsi="Times New Roman"/>
                <w:b/>
                <w:color w:val="000000"/>
                <w:sz w:val="22"/>
                <w:szCs w:val="22"/>
                <w:lang w:val="sv-SE"/>
              </w:rPr>
              <w:t>IFN+Ara-C</w:t>
            </w:r>
          </w:p>
        </w:tc>
      </w:tr>
      <w:tr w:rsidR="00547CA2" w:rsidRPr="000E7AE9" w14:paraId="07704DFF" w14:textId="77777777" w:rsidTr="0040304A">
        <w:trPr>
          <w:cantSplit/>
        </w:trPr>
        <w:tc>
          <w:tcPr>
            <w:tcW w:w="3794" w:type="dxa"/>
            <w:tcBorders>
              <w:top w:val="nil"/>
              <w:left w:val="single" w:sz="4" w:space="0" w:color="auto"/>
              <w:bottom w:val="single" w:sz="4" w:space="0" w:color="auto"/>
            </w:tcBorders>
          </w:tcPr>
          <w:p w14:paraId="1C06BC13" w14:textId="77777777" w:rsidR="00547CA2" w:rsidRPr="000E7AE9" w:rsidRDefault="00547CA2" w:rsidP="00463647">
            <w:pPr>
              <w:pStyle w:val="Table"/>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(Bästa behandlingssvar)</w:t>
            </w:r>
          </w:p>
        </w:tc>
        <w:tc>
          <w:tcPr>
            <w:tcW w:w="2693" w:type="dxa"/>
            <w:tcBorders>
              <w:top w:val="nil"/>
              <w:bottom w:val="single" w:sz="4" w:space="0" w:color="auto"/>
            </w:tcBorders>
          </w:tcPr>
          <w:p w14:paraId="4969E4BE"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n=553</w:t>
            </w:r>
          </w:p>
        </w:tc>
        <w:tc>
          <w:tcPr>
            <w:tcW w:w="2693" w:type="dxa"/>
            <w:tcBorders>
              <w:top w:val="nil"/>
              <w:bottom w:val="single" w:sz="4" w:space="0" w:color="auto"/>
              <w:right w:val="single" w:sz="4" w:space="0" w:color="auto"/>
            </w:tcBorders>
          </w:tcPr>
          <w:p w14:paraId="7E791D91"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n=553</w:t>
            </w:r>
          </w:p>
        </w:tc>
      </w:tr>
      <w:tr w:rsidR="00547CA2" w:rsidRPr="000E7AE9" w14:paraId="685B3359" w14:textId="77777777" w:rsidTr="0040304A">
        <w:trPr>
          <w:cantSplit/>
        </w:trPr>
        <w:tc>
          <w:tcPr>
            <w:tcW w:w="3794" w:type="dxa"/>
            <w:tcBorders>
              <w:top w:val="nil"/>
              <w:left w:val="single" w:sz="4" w:space="0" w:color="auto"/>
            </w:tcBorders>
          </w:tcPr>
          <w:p w14:paraId="7A6CEF19" w14:textId="77777777" w:rsidR="00547CA2" w:rsidRPr="000E7AE9" w:rsidRDefault="00547CA2" w:rsidP="00463647">
            <w:pPr>
              <w:pStyle w:val="Table"/>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Hematologiskt svar</w:t>
            </w:r>
          </w:p>
        </w:tc>
        <w:tc>
          <w:tcPr>
            <w:tcW w:w="2693" w:type="dxa"/>
            <w:tcBorders>
              <w:top w:val="nil"/>
            </w:tcBorders>
          </w:tcPr>
          <w:p w14:paraId="401D8C84" w14:textId="77777777" w:rsidR="00547CA2" w:rsidRPr="000E7AE9" w:rsidRDefault="00547CA2" w:rsidP="00463647">
            <w:pPr>
              <w:pStyle w:val="Table"/>
              <w:widowControl w:val="0"/>
              <w:spacing w:before="0" w:after="0"/>
              <w:jc w:val="center"/>
              <w:rPr>
                <w:rFonts w:ascii="Times New Roman" w:hAnsi="Times New Roman"/>
                <w:b/>
                <w:color w:val="000000"/>
                <w:sz w:val="22"/>
                <w:szCs w:val="22"/>
                <w:lang w:val="sv-SE"/>
              </w:rPr>
            </w:pPr>
          </w:p>
        </w:tc>
        <w:tc>
          <w:tcPr>
            <w:tcW w:w="2693" w:type="dxa"/>
            <w:tcBorders>
              <w:top w:val="nil"/>
              <w:right w:val="single" w:sz="4" w:space="0" w:color="auto"/>
            </w:tcBorders>
          </w:tcPr>
          <w:p w14:paraId="48A4764D" w14:textId="77777777" w:rsidR="00547CA2" w:rsidRPr="000E7AE9" w:rsidRDefault="00547CA2" w:rsidP="00463647">
            <w:pPr>
              <w:pStyle w:val="Table"/>
              <w:widowControl w:val="0"/>
              <w:spacing w:before="0" w:after="0"/>
              <w:jc w:val="center"/>
              <w:rPr>
                <w:rFonts w:ascii="Times New Roman" w:hAnsi="Times New Roman"/>
                <w:b/>
                <w:color w:val="000000"/>
                <w:sz w:val="22"/>
                <w:szCs w:val="22"/>
                <w:lang w:val="sv-SE"/>
              </w:rPr>
            </w:pPr>
          </w:p>
        </w:tc>
      </w:tr>
      <w:tr w:rsidR="00547CA2" w:rsidRPr="000E7AE9" w14:paraId="2D0D5B4C" w14:textId="77777777" w:rsidTr="0040304A">
        <w:trPr>
          <w:cantSplit/>
        </w:trPr>
        <w:tc>
          <w:tcPr>
            <w:tcW w:w="3794" w:type="dxa"/>
            <w:tcBorders>
              <w:top w:val="nil"/>
              <w:left w:val="single" w:sz="4" w:space="0" w:color="auto"/>
            </w:tcBorders>
          </w:tcPr>
          <w:p w14:paraId="0DCDD333"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FHS n (%)</w:t>
            </w:r>
          </w:p>
        </w:tc>
        <w:tc>
          <w:tcPr>
            <w:tcW w:w="2693" w:type="dxa"/>
            <w:tcBorders>
              <w:top w:val="nil"/>
            </w:tcBorders>
          </w:tcPr>
          <w:p w14:paraId="2C2BF44A"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534 (96,6</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c>
          <w:tcPr>
            <w:tcW w:w="2693" w:type="dxa"/>
            <w:tcBorders>
              <w:top w:val="nil"/>
              <w:right w:val="single" w:sz="4" w:space="0" w:color="auto"/>
            </w:tcBorders>
          </w:tcPr>
          <w:p w14:paraId="2D478D88"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313 (56,6</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547CA2" w:rsidRPr="000E7AE9" w14:paraId="423D6942" w14:textId="77777777" w:rsidTr="0040304A">
        <w:trPr>
          <w:cantSplit/>
        </w:trPr>
        <w:tc>
          <w:tcPr>
            <w:tcW w:w="3794" w:type="dxa"/>
            <w:tcBorders>
              <w:left w:val="single" w:sz="4" w:space="0" w:color="auto"/>
            </w:tcBorders>
          </w:tcPr>
          <w:p w14:paraId="7474319F"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b/>
              <w:t>[95</w:t>
            </w:r>
            <w:r>
              <w:rPr>
                <w:rFonts w:ascii="Times New Roman" w:hAnsi="Times New Roman"/>
                <w:color w:val="000000"/>
                <w:sz w:val="22"/>
                <w:szCs w:val="22"/>
                <w:lang w:val="sv-SE"/>
              </w:rPr>
              <w:t> </w:t>
            </w:r>
            <w:r w:rsidRPr="000E7AE9">
              <w:rPr>
                <w:rFonts w:ascii="Times New Roman" w:hAnsi="Times New Roman"/>
                <w:color w:val="000000"/>
                <w:sz w:val="22"/>
                <w:szCs w:val="22"/>
                <w:lang w:val="sv-SE"/>
              </w:rPr>
              <w:t xml:space="preserve">% </w:t>
            </w:r>
            <w:r>
              <w:rPr>
                <w:rFonts w:ascii="Times New Roman" w:hAnsi="Times New Roman"/>
                <w:color w:val="000000"/>
                <w:sz w:val="22"/>
                <w:szCs w:val="22"/>
                <w:lang w:val="sv-SE"/>
              </w:rPr>
              <w:t>K</w:t>
            </w:r>
            <w:r w:rsidRPr="000E7AE9">
              <w:rPr>
                <w:rFonts w:ascii="Times New Roman" w:hAnsi="Times New Roman"/>
                <w:color w:val="000000"/>
                <w:sz w:val="22"/>
                <w:szCs w:val="22"/>
                <w:lang w:val="sv-SE"/>
              </w:rPr>
              <w:t>I]</w:t>
            </w:r>
          </w:p>
        </w:tc>
        <w:tc>
          <w:tcPr>
            <w:tcW w:w="2693" w:type="dxa"/>
          </w:tcPr>
          <w:p w14:paraId="28A097C0"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[94,7</w:t>
            </w:r>
            <w:r>
              <w:rPr>
                <w:rFonts w:ascii="Times New Roman" w:hAnsi="Times New Roman"/>
                <w:color w:val="000000"/>
                <w:sz w:val="22"/>
                <w:szCs w:val="22"/>
                <w:lang w:val="sv-SE"/>
              </w:rPr>
              <w:t> </w:t>
            </w:r>
            <w:r w:rsidRPr="000E7AE9">
              <w:rPr>
                <w:rFonts w:ascii="Times New Roman" w:hAnsi="Times New Roman"/>
                <w:color w:val="000000"/>
                <w:sz w:val="22"/>
                <w:szCs w:val="22"/>
                <w:lang w:val="sv-SE"/>
              </w:rPr>
              <w:t>%, 97,9</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c>
          <w:tcPr>
            <w:tcW w:w="2693" w:type="dxa"/>
            <w:tcBorders>
              <w:right w:val="single" w:sz="4" w:space="0" w:color="auto"/>
            </w:tcBorders>
          </w:tcPr>
          <w:p w14:paraId="33EA654F"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[52,4</w:t>
            </w:r>
            <w:r>
              <w:rPr>
                <w:rFonts w:ascii="Times New Roman" w:hAnsi="Times New Roman"/>
                <w:color w:val="000000"/>
                <w:sz w:val="22"/>
                <w:szCs w:val="22"/>
                <w:lang w:val="sv-SE"/>
              </w:rPr>
              <w:t> </w:t>
            </w:r>
            <w:r w:rsidRPr="000E7AE9">
              <w:rPr>
                <w:rFonts w:ascii="Times New Roman" w:hAnsi="Times New Roman"/>
                <w:color w:val="000000"/>
                <w:sz w:val="22"/>
                <w:szCs w:val="22"/>
                <w:lang w:val="sv-SE"/>
              </w:rPr>
              <w:t>%, 60,8</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547CA2" w:rsidRPr="000E7AE9" w14:paraId="77A61D71" w14:textId="77777777" w:rsidTr="0040304A">
        <w:trPr>
          <w:cantSplit/>
        </w:trPr>
        <w:tc>
          <w:tcPr>
            <w:tcW w:w="3794" w:type="dxa"/>
            <w:tcBorders>
              <w:left w:val="single" w:sz="4" w:space="0" w:color="auto"/>
            </w:tcBorders>
          </w:tcPr>
          <w:p w14:paraId="48FBCF7C"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c>
          <w:tcPr>
            <w:tcW w:w="2693" w:type="dxa"/>
          </w:tcPr>
          <w:p w14:paraId="7F539EF6"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c>
          <w:tcPr>
            <w:tcW w:w="2693" w:type="dxa"/>
            <w:tcBorders>
              <w:right w:val="single" w:sz="4" w:space="0" w:color="auto"/>
            </w:tcBorders>
          </w:tcPr>
          <w:p w14:paraId="4606382E"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r>
      <w:tr w:rsidR="00547CA2" w:rsidRPr="000E7AE9" w14:paraId="3079AC8B" w14:textId="77777777" w:rsidTr="0040304A">
        <w:trPr>
          <w:cantSplit/>
        </w:trPr>
        <w:tc>
          <w:tcPr>
            <w:tcW w:w="3794" w:type="dxa"/>
            <w:tcBorders>
              <w:left w:val="single" w:sz="4" w:space="0" w:color="auto"/>
            </w:tcBorders>
          </w:tcPr>
          <w:p w14:paraId="3AC464FF" w14:textId="77777777" w:rsidR="00547CA2" w:rsidRPr="000E7AE9" w:rsidRDefault="00547CA2" w:rsidP="00463647">
            <w:pPr>
              <w:pStyle w:val="Table"/>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Cytogenetiskt svar</w:t>
            </w:r>
          </w:p>
        </w:tc>
        <w:tc>
          <w:tcPr>
            <w:tcW w:w="2693" w:type="dxa"/>
          </w:tcPr>
          <w:p w14:paraId="1B6368AD" w14:textId="77777777" w:rsidR="00547CA2" w:rsidRPr="000E7AE9" w:rsidRDefault="00547CA2" w:rsidP="00463647">
            <w:pPr>
              <w:pStyle w:val="Table"/>
              <w:widowControl w:val="0"/>
              <w:spacing w:before="0" w:after="0"/>
              <w:rPr>
                <w:rFonts w:ascii="Times New Roman" w:hAnsi="Times New Roman"/>
                <w:b/>
                <w:color w:val="000000"/>
                <w:sz w:val="22"/>
                <w:szCs w:val="22"/>
                <w:lang w:val="sv-SE"/>
              </w:rPr>
            </w:pPr>
          </w:p>
        </w:tc>
        <w:tc>
          <w:tcPr>
            <w:tcW w:w="2693" w:type="dxa"/>
            <w:tcBorders>
              <w:right w:val="single" w:sz="4" w:space="0" w:color="auto"/>
            </w:tcBorders>
          </w:tcPr>
          <w:p w14:paraId="4FB366C0" w14:textId="77777777" w:rsidR="00547CA2" w:rsidRPr="000E7AE9" w:rsidRDefault="00547CA2" w:rsidP="00463647">
            <w:pPr>
              <w:pStyle w:val="Table"/>
              <w:widowControl w:val="0"/>
              <w:spacing w:before="0" w:after="0"/>
              <w:rPr>
                <w:rFonts w:ascii="Times New Roman" w:hAnsi="Times New Roman"/>
                <w:b/>
                <w:color w:val="000000"/>
                <w:sz w:val="22"/>
                <w:szCs w:val="22"/>
                <w:lang w:val="sv-SE"/>
              </w:rPr>
            </w:pPr>
          </w:p>
        </w:tc>
      </w:tr>
      <w:tr w:rsidR="00547CA2" w:rsidRPr="000E7AE9" w14:paraId="721700CE" w14:textId="77777777" w:rsidTr="0040304A">
        <w:trPr>
          <w:cantSplit/>
        </w:trPr>
        <w:tc>
          <w:tcPr>
            <w:tcW w:w="3794" w:type="dxa"/>
            <w:tcBorders>
              <w:left w:val="single" w:sz="4" w:space="0" w:color="auto"/>
            </w:tcBorders>
          </w:tcPr>
          <w:p w14:paraId="46DD0D56"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Betydande svar n (%)</w:t>
            </w:r>
          </w:p>
        </w:tc>
        <w:tc>
          <w:tcPr>
            <w:tcW w:w="2693" w:type="dxa"/>
          </w:tcPr>
          <w:p w14:paraId="295588F7"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490 (88,6</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c>
          <w:tcPr>
            <w:tcW w:w="2693" w:type="dxa"/>
            <w:tcBorders>
              <w:right w:val="single" w:sz="4" w:space="0" w:color="auto"/>
            </w:tcBorders>
          </w:tcPr>
          <w:p w14:paraId="517434B6"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129 (23,3</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547CA2" w:rsidRPr="000E7AE9" w14:paraId="6275A717" w14:textId="77777777" w:rsidTr="0040304A">
        <w:trPr>
          <w:cantSplit/>
        </w:trPr>
        <w:tc>
          <w:tcPr>
            <w:tcW w:w="3794" w:type="dxa"/>
            <w:tcBorders>
              <w:left w:val="single" w:sz="4" w:space="0" w:color="auto"/>
            </w:tcBorders>
          </w:tcPr>
          <w:p w14:paraId="7786E51B"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b/>
              <w:t>[95</w:t>
            </w:r>
            <w:r>
              <w:rPr>
                <w:rFonts w:ascii="Times New Roman" w:hAnsi="Times New Roman"/>
                <w:color w:val="000000"/>
                <w:sz w:val="22"/>
                <w:szCs w:val="22"/>
                <w:lang w:val="sv-SE"/>
              </w:rPr>
              <w:t> </w:t>
            </w:r>
            <w:r w:rsidRPr="000E7AE9">
              <w:rPr>
                <w:rFonts w:ascii="Times New Roman" w:hAnsi="Times New Roman"/>
                <w:color w:val="000000"/>
                <w:sz w:val="22"/>
                <w:szCs w:val="22"/>
                <w:lang w:val="sv-SE"/>
              </w:rPr>
              <w:t xml:space="preserve">% </w:t>
            </w:r>
            <w:r>
              <w:rPr>
                <w:rFonts w:ascii="Times New Roman" w:hAnsi="Times New Roman"/>
                <w:color w:val="000000"/>
                <w:sz w:val="22"/>
                <w:szCs w:val="22"/>
                <w:lang w:val="sv-SE"/>
              </w:rPr>
              <w:t>K</w:t>
            </w:r>
            <w:r w:rsidRPr="000E7AE9">
              <w:rPr>
                <w:rFonts w:ascii="Times New Roman" w:hAnsi="Times New Roman"/>
                <w:color w:val="000000"/>
                <w:sz w:val="22"/>
                <w:szCs w:val="22"/>
                <w:lang w:val="sv-SE"/>
              </w:rPr>
              <w:t>I]</w:t>
            </w:r>
          </w:p>
        </w:tc>
        <w:tc>
          <w:tcPr>
            <w:tcW w:w="2693" w:type="dxa"/>
          </w:tcPr>
          <w:p w14:paraId="0D1029D5"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[85,7</w:t>
            </w:r>
            <w:r>
              <w:rPr>
                <w:rFonts w:ascii="Times New Roman" w:hAnsi="Times New Roman"/>
                <w:color w:val="000000"/>
                <w:sz w:val="22"/>
                <w:szCs w:val="22"/>
                <w:lang w:val="sv-SE"/>
              </w:rPr>
              <w:t> </w:t>
            </w:r>
            <w:r w:rsidRPr="000E7AE9">
              <w:rPr>
                <w:rFonts w:ascii="Times New Roman" w:hAnsi="Times New Roman"/>
                <w:color w:val="000000"/>
                <w:sz w:val="22"/>
                <w:szCs w:val="22"/>
                <w:lang w:val="sv-SE"/>
              </w:rPr>
              <w:t>%, 91,1</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c>
          <w:tcPr>
            <w:tcW w:w="2693" w:type="dxa"/>
            <w:tcBorders>
              <w:right w:val="single" w:sz="4" w:space="0" w:color="auto"/>
            </w:tcBorders>
          </w:tcPr>
          <w:p w14:paraId="40218EF2"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[19,9</w:t>
            </w:r>
            <w:r>
              <w:rPr>
                <w:rFonts w:ascii="Times New Roman" w:hAnsi="Times New Roman"/>
                <w:color w:val="000000"/>
                <w:sz w:val="22"/>
                <w:szCs w:val="22"/>
                <w:lang w:val="sv-SE"/>
              </w:rPr>
              <w:t> </w:t>
            </w:r>
            <w:r w:rsidRPr="000E7AE9">
              <w:rPr>
                <w:rFonts w:ascii="Times New Roman" w:hAnsi="Times New Roman"/>
                <w:color w:val="000000"/>
                <w:sz w:val="22"/>
                <w:szCs w:val="22"/>
                <w:lang w:val="sv-SE"/>
              </w:rPr>
              <w:t>%, 27,1</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547CA2" w:rsidRPr="000E7AE9" w14:paraId="6E3088E7" w14:textId="77777777" w:rsidTr="0040304A">
        <w:trPr>
          <w:cantSplit/>
        </w:trPr>
        <w:tc>
          <w:tcPr>
            <w:tcW w:w="3794" w:type="dxa"/>
            <w:tcBorders>
              <w:left w:val="single" w:sz="4" w:space="0" w:color="auto"/>
            </w:tcBorders>
          </w:tcPr>
          <w:p w14:paraId="5697FAA4"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b/>
              <w:t>Fullständigt CyS n (%)</w:t>
            </w:r>
          </w:p>
        </w:tc>
        <w:tc>
          <w:tcPr>
            <w:tcW w:w="2693" w:type="dxa"/>
          </w:tcPr>
          <w:p w14:paraId="1F7744E4"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Pr>
                <w:rFonts w:ascii="Times New Roman" w:hAnsi="Times New Roman"/>
                <w:color w:val="000000"/>
                <w:sz w:val="22"/>
                <w:szCs w:val="22"/>
                <w:lang w:val="en-GB"/>
              </w:rPr>
              <w:t>456</w:t>
            </w:r>
            <w:r w:rsidRPr="0021220C">
              <w:rPr>
                <w:rFonts w:ascii="Times New Roman" w:hAnsi="Times New Roman"/>
                <w:color w:val="000000"/>
                <w:sz w:val="22"/>
                <w:szCs w:val="22"/>
                <w:lang w:val="en-GB"/>
              </w:rPr>
              <w:t xml:space="preserve"> (</w:t>
            </w:r>
            <w:r>
              <w:rPr>
                <w:rFonts w:ascii="Times New Roman" w:hAnsi="Times New Roman"/>
                <w:color w:val="000000"/>
                <w:sz w:val="22"/>
                <w:szCs w:val="22"/>
                <w:lang w:val="en-GB"/>
              </w:rPr>
              <w:t>82,5 </w:t>
            </w:r>
            <w:r w:rsidRPr="0021220C">
              <w:rPr>
                <w:rFonts w:ascii="Times New Roman" w:hAnsi="Times New Roman"/>
                <w:color w:val="000000"/>
                <w:sz w:val="22"/>
                <w:szCs w:val="22"/>
                <w:lang w:val="en-GB"/>
              </w:rPr>
              <w:t>%)*</w:t>
            </w:r>
          </w:p>
        </w:tc>
        <w:tc>
          <w:tcPr>
            <w:tcW w:w="2693" w:type="dxa"/>
            <w:tcBorders>
              <w:right w:val="single" w:sz="4" w:space="0" w:color="auto"/>
            </w:tcBorders>
          </w:tcPr>
          <w:p w14:paraId="3D9A941A"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64 (11,6</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547CA2" w:rsidRPr="000E7AE9" w14:paraId="5FC75EDC" w14:textId="77777777" w:rsidTr="0040304A">
        <w:trPr>
          <w:cantSplit/>
        </w:trPr>
        <w:tc>
          <w:tcPr>
            <w:tcW w:w="3794" w:type="dxa"/>
            <w:tcBorders>
              <w:left w:val="single" w:sz="4" w:space="0" w:color="auto"/>
            </w:tcBorders>
          </w:tcPr>
          <w:p w14:paraId="5700EF7E"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b/>
              <w:t>Partiellt CyS n (%)</w:t>
            </w:r>
          </w:p>
        </w:tc>
        <w:tc>
          <w:tcPr>
            <w:tcW w:w="2693" w:type="dxa"/>
          </w:tcPr>
          <w:p w14:paraId="59F08C10"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Pr>
                <w:rFonts w:ascii="Times New Roman" w:hAnsi="Times New Roman"/>
                <w:color w:val="000000"/>
                <w:sz w:val="22"/>
                <w:szCs w:val="22"/>
                <w:lang w:val="en-GB"/>
              </w:rPr>
              <w:t>34</w:t>
            </w:r>
            <w:r w:rsidRPr="0021220C">
              <w:rPr>
                <w:rFonts w:ascii="Times New Roman" w:hAnsi="Times New Roman"/>
                <w:color w:val="000000"/>
                <w:sz w:val="22"/>
                <w:szCs w:val="22"/>
                <w:lang w:val="en-GB"/>
              </w:rPr>
              <w:t xml:space="preserve"> (</w:t>
            </w:r>
            <w:r>
              <w:rPr>
                <w:rFonts w:ascii="Times New Roman" w:hAnsi="Times New Roman"/>
                <w:color w:val="000000"/>
                <w:sz w:val="22"/>
                <w:szCs w:val="22"/>
                <w:lang w:val="en-GB"/>
              </w:rPr>
              <w:t>6,1 </w:t>
            </w:r>
            <w:r w:rsidRPr="0021220C">
              <w:rPr>
                <w:rFonts w:ascii="Times New Roman" w:hAnsi="Times New Roman"/>
                <w:color w:val="000000"/>
                <w:sz w:val="22"/>
                <w:szCs w:val="22"/>
                <w:lang w:val="en-GB"/>
              </w:rPr>
              <w:t>%)</w:t>
            </w:r>
          </w:p>
        </w:tc>
        <w:tc>
          <w:tcPr>
            <w:tcW w:w="2693" w:type="dxa"/>
            <w:tcBorders>
              <w:right w:val="single" w:sz="4" w:space="0" w:color="auto"/>
            </w:tcBorders>
          </w:tcPr>
          <w:p w14:paraId="7C3A331A"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0E7AE9">
              <w:rPr>
                <w:rFonts w:ascii="Times New Roman" w:hAnsi="Times New Roman"/>
                <w:color w:val="000000"/>
                <w:sz w:val="22"/>
                <w:szCs w:val="22"/>
                <w:lang w:val="sv-SE"/>
              </w:rPr>
              <w:t>65 (11,8</w:t>
            </w:r>
            <w:r>
              <w:rPr>
                <w:rFonts w:ascii="Times New Roman" w:hAnsi="Times New Roman"/>
                <w:color w:val="000000"/>
                <w:sz w:val="22"/>
                <w:szCs w:val="22"/>
                <w:lang w:val="sv-SE"/>
              </w:rPr>
              <w:t> </w:t>
            </w:r>
            <w:r w:rsidRPr="000E7AE9">
              <w:rPr>
                <w:rFonts w:ascii="Times New Roman" w:hAnsi="Times New Roman"/>
                <w:color w:val="000000"/>
                <w:sz w:val="22"/>
                <w:szCs w:val="22"/>
                <w:lang w:val="sv-SE"/>
              </w:rPr>
              <w:t>%)</w:t>
            </w:r>
          </w:p>
        </w:tc>
      </w:tr>
      <w:tr w:rsidR="00547CA2" w:rsidRPr="000E7AE9" w14:paraId="46521045" w14:textId="77777777" w:rsidTr="0040304A">
        <w:trPr>
          <w:cantSplit/>
        </w:trPr>
        <w:tc>
          <w:tcPr>
            <w:tcW w:w="3794" w:type="dxa"/>
            <w:tcBorders>
              <w:left w:val="single" w:sz="4" w:space="0" w:color="auto"/>
            </w:tcBorders>
          </w:tcPr>
          <w:p w14:paraId="7E8F05D8"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c>
          <w:tcPr>
            <w:tcW w:w="2693" w:type="dxa"/>
          </w:tcPr>
          <w:p w14:paraId="4FE02D33" w14:textId="77777777" w:rsidR="00547CA2" w:rsidRPr="000E7AE9" w:rsidDel="009B538A" w:rsidRDefault="00547CA2" w:rsidP="00463647">
            <w:pPr>
              <w:pStyle w:val="Table"/>
              <w:widowControl w:val="0"/>
              <w:spacing w:before="0" w:after="0"/>
              <w:jc w:val="center"/>
              <w:rPr>
                <w:rFonts w:ascii="Times New Roman" w:hAnsi="Times New Roman"/>
                <w:color w:val="000000"/>
                <w:sz w:val="22"/>
                <w:szCs w:val="22"/>
                <w:lang w:val="sv-SE"/>
              </w:rPr>
            </w:pPr>
          </w:p>
        </w:tc>
        <w:tc>
          <w:tcPr>
            <w:tcW w:w="2693" w:type="dxa"/>
            <w:tcBorders>
              <w:right w:val="single" w:sz="4" w:space="0" w:color="auto"/>
            </w:tcBorders>
          </w:tcPr>
          <w:p w14:paraId="6632CF92" w14:textId="77777777" w:rsidR="00547CA2" w:rsidRPr="000E7AE9" w:rsidDel="009B538A" w:rsidRDefault="00547CA2" w:rsidP="00463647">
            <w:pPr>
              <w:pStyle w:val="Table"/>
              <w:widowControl w:val="0"/>
              <w:spacing w:before="0" w:after="0"/>
              <w:jc w:val="center"/>
              <w:rPr>
                <w:rFonts w:ascii="Times New Roman" w:hAnsi="Times New Roman"/>
                <w:color w:val="000000"/>
                <w:sz w:val="22"/>
                <w:szCs w:val="22"/>
                <w:lang w:val="sv-SE"/>
              </w:rPr>
            </w:pPr>
          </w:p>
        </w:tc>
      </w:tr>
      <w:tr w:rsidR="00547CA2" w:rsidRPr="000E7AE9" w14:paraId="26EF30C3" w14:textId="77777777" w:rsidTr="0040304A">
        <w:trPr>
          <w:cantSplit/>
        </w:trPr>
        <w:tc>
          <w:tcPr>
            <w:tcW w:w="3794" w:type="dxa"/>
            <w:tcBorders>
              <w:left w:val="single" w:sz="4" w:space="0" w:color="auto"/>
              <w:bottom w:val="nil"/>
            </w:tcBorders>
          </w:tcPr>
          <w:p w14:paraId="5547070C"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b/>
                <w:color w:val="000000"/>
                <w:sz w:val="22"/>
                <w:szCs w:val="22"/>
                <w:lang w:val="sv-SE"/>
              </w:rPr>
              <w:t>Molekylärt svar</w:t>
            </w:r>
            <w:r w:rsidRPr="0043610C">
              <w:rPr>
                <w:rFonts w:ascii="Times New Roman" w:hAnsi="Times New Roman"/>
                <w:color w:val="000000"/>
                <w:sz w:val="22"/>
                <w:szCs w:val="22"/>
                <w:lang w:val="sv-SE"/>
              </w:rPr>
              <w:t>**</w:t>
            </w:r>
          </w:p>
        </w:tc>
        <w:tc>
          <w:tcPr>
            <w:tcW w:w="2693" w:type="dxa"/>
            <w:tcBorders>
              <w:bottom w:val="nil"/>
            </w:tcBorders>
          </w:tcPr>
          <w:p w14:paraId="20E64B5A"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c>
          <w:tcPr>
            <w:tcW w:w="2692" w:type="dxa"/>
            <w:tcBorders>
              <w:bottom w:val="nil"/>
              <w:right w:val="single" w:sz="4" w:space="0" w:color="auto"/>
            </w:tcBorders>
          </w:tcPr>
          <w:p w14:paraId="3DE57611"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r>
      <w:tr w:rsidR="00547CA2" w:rsidRPr="000E7AE9" w14:paraId="69103C21" w14:textId="77777777" w:rsidTr="0040304A">
        <w:trPr>
          <w:cantSplit/>
        </w:trPr>
        <w:tc>
          <w:tcPr>
            <w:tcW w:w="3794" w:type="dxa"/>
            <w:tcBorders>
              <w:left w:val="single" w:sz="4" w:space="0" w:color="auto"/>
              <w:bottom w:val="nil"/>
            </w:tcBorders>
          </w:tcPr>
          <w:p w14:paraId="412E605D"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Betydande svar vid 12 månader (%)</w:t>
            </w:r>
          </w:p>
        </w:tc>
        <w:tc>
          <w:tcPr>
            <w:tcW w:w="2693" w:type="dxa"/>
            <w:tcBorders>
              <w:top w:val="nil"/>
              <w:bottom w:val="nil"/>
            </w:tcBorders>
          </w:tcPr>
          <w:p w14:paraId="2B339A1E"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4A25EC">
              <w:rPr>
                <w:rFonts w:ascii="Times New Roman" w:hAnsi="Times New Roman"/>
                <w:sz w:val="22"/>
                <w:szCs w:val="22"/>
                <w:lang w:val="en-GB"/>
              </w:rPr>
              <w:t>153/305=50</w:t>
            </w:r>
            <w:r>
              <w:rPr>
                <w:rFonts w:ascii="Times New Roman" w:hAnsi="Times New Roman"/>
                <w:sz w:val="22"/>
                <w:szCs w:val="22"/>
                <w:lang w:val="en-GB"/>
              </w:rPr>
              <w:t>,</w:t>
            </w:r>
            <w:r w:rsidRPr="004A25EC">
              <w:rPr>
                <w:rFonts w:ascii="Times New Roman" w:hAnsi="Times New Roman"/>
                <w:sz w:val="22"/>
                <w:szCs w:val="22"/>
                <w:lang w:val="en-GB"/>
              </w:rPr>
              <w:t>2</w:t>
            </w:r>
            <w:r>
              <w:rPr>
                <w:rFonts w:ascii="Times New Roman" w:hAnsi="Times New Roman"/>
                <w:sz w:val="22"/>
                <w:szCs w:val="22"/>
                <w:lang w:val="en-GB"/>
              </w:rPr>
              <w:t> </w:t>
            </w:r>
            <w:r w:rsidRPr="004A25EC">
              <w:rPr>
                <w:rFonts w:ascii="Times New Roman" w:hAnsi="Times New Roman"/>
                <w:sz w:val="22"/>
                <w:szCs w:val="22"/>
                <w:lang w:val="en-GB"/>
              </w:rPr>
              <w:t>%</w:t>
            </w:r>
          </w:p>
        </w:tc>
        <w:tc>
          <w:tcPr>
            <w:tcW w:w="2692" w:type="dxa"/>
            <w:tcBorders>
              <w:bottom w:val="nil"/>
              <w:right w:val="single" w:sz="4" w:space="0" w:color="auto"/>
            </w:tcBorders>
          </w:tcPr>
          <w:p w14:paraId="75AC2B90"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4A25EC">
              <w:rPr>
                <w:rFonts w:ascii="Times New Roman" w:hAnsi="Times New Roman"/>
                <w:sz w:val="22"/>
                <w:szCs w:val="22"/>
                <w:lang w:val="en-GB"/>
              </w:rPr>
              <w:t>8/83=9</w:t>
            </w:r>
            <w:r>
              <w:rPr>
                <w:rFonts w:ascii="Times New Roman" w:hAnsi="Times New Roman"/>
                <w:sz w:val="22"/>
                <w:szCs w:val="22"/>
                <w:lang w:val="en-GB"/>
              </w:rPr>
              <w:t>,</w:t>
            </w:r>
            <w:r w:rsidRPr="004A25EC">
              <w:rPr>
                <w:rFonts w:ascii="Times New Roman" w:hAnsi="Times New Roman"/>
                <w:sz w:val="22"/>
                <w:szCs w:val="22"/>
                <w:lang w:val="en-GB"/>
              </w:rPr>
              <w:t>6</w:t>
            </w:r>
            <w:r>
              <w:rPr>
                <w:rFonts w:ascii="Times New Roman" w:hAnsi="Times New Roman"/>
                <w:sz w:val="22"/>
                <w:szCs w:val="22"/>
                <w:lang w:val="en-GB"/>
              </w:rPr>
              <w:t> </w:t>
            </w:r>
            <w:r w:rsidRPr="004A25EC">
              <w:rPr>
                <w:rFonts w:ascii="Times New Roman" w:hAnsi="Times New Roman"/>
                <w:sz w:val="22"/>
                <w:szCs w:val="22"/>
                <w:lang w:val="en-GB"/>
              </w:rPr>
              <w:t>%</w:t>
            </w:r>
          </w:p>
        </w:tc>
      </w:tr>
      <w:tr w:rsidR="00547CA2" w:rsidRPr="000E7AE9" w14:paraId="7EA1D94D" w14:textId="77777777" w:rsidTr="0040304A">
        <w:trPr>
          <w:cantSplit/>
        </w:trPr>
        <w:tc>
          <w:tcPr>
            <w:tcW w:w="3794" w:type="dxa"/>
            <w:tcBorders>
              <w:left w:val="single" w:sz="4" w:space="0" w:color="auto"/>
              <w:bottom w:val="nil"/>
            </w:tcBorders>
          </w:tcPr>
          <w:p w14:paraId="2EDFB1E7"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Betydande svar vid 24 månader (%)</w:t>
            </w:r>
          </w:p>
        </w:tc>
        <w:tc>
          <w:tcPr>
            <w:tcW w:w="2693" w:type="dxa"/>
            <w:tcBorders>
              <w:bottom w:val="nil"/>
            </w:tcBorders>
          </w:tcPr>
          <w:p w14:paraId="56B8C4AE"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4A25EC">
              <w:rPr>
                <w:rFonts w:ascii="Times New Roman" w:hAnsi="Times New Roman"/>
                <w:sz w:val="22"/>
                <w:szCs w:val="22"/>
                <w:lang w:val="en-GB"/>
              </w:rPr>
              <w:t>73/104=70</w:t>
            </w:r>
            <w:r>
              <w:rPr>
                <w:rFonts w:ascii="Times New Roman" w:hAnsi="Times New Roman"/>
                <w:sz w:val="22"/>
                <w:szCs w:val="22"/>
                <w:lang w:val="en-GB"/>
              </w:rPr>
              <w:t>,</w:t>
            </w:r>
            <w:r w:rsidRPr="004A25EC">
              <w:rPr>
                <w:rFonts w:ascii="Times New Roman" w:hAnsi="Times New Roman"/>
                <w:sz w:val="22"/>
                <w:szCs w:val="22"/>
                <w:lang w:val="en-GB"/>
              </w:rPr>
              <w:t>2</w:t>
            </w:r>
            <w:r>
              <w:rPr>
                <w:rFonts w:ascii="Times New Roman" w:hAnsi="Times New Roman"/>
                <w:sz w:val="22"/>
                <w:szCs w:val="22"/>
                <w:lang w:val="en-GB"/>
              </w:rPr>
              <w:t> </w:t>
            </w:r>
            <w:r w:rsidRPr="004A25EC">
              <w:rPr>
                <w:rFonts w:ascii="Times New Roman" w:hAnsi="Times New Roman"/>
                <w:sz w:val="22"/>
                <w:szCs w:val="22"/>
                <w:lang w:val="en-GB"/>
              </w:rPr>
              <w:t>%</w:t>
            </w:r>
          </w:p>
        </w:tc>
        <w:tc>
          <w:tcPr>
            <w:tcW w:w="2692" w:type="dxa"/>
            <w:tcBorders>
              <w:bottom w:val="nil"/>
              <w:right w:val="single" w:sz="4" w:space="0" w:color="auto"/>
            </w:tcBorders>
          </w:tcPr>
          <w:p w14:paraId="095E3848" w14:textId="77777777" w:rsidR="00547CA2" w:rsidRPr="000E7AE9" w:rsidRDefault="00547CA2" w:rsidP="00463647">
            <w:pPr>
              <w:pStyle w:val="Table"/>
              <w:widowControl w:val="0"/>
              <w:spacing w:before="0" w:after="0"/>
              <w:jc w:val="center"/>
              <w:rPr>
                <w:rFonts w:ascii="Times New Roman" w:hAnsi="Times New Roman"/>
                <w:color w:val="000000"/>
                <w:sz w:val="22"/>
                <w:szCs w:val="22"/>
                <w:lang w:val="sv-SE"/>
              </w:rPr>
            </w:pPr>
            <w:r w:rsidRPr="004A25EC">
              <w:rPr>
                <w:rFonts w:ascii="Times New Roman" w:hAnsi="Times New Roman"/>
                <w:sz w:val="22"/>
                <w:szCs w:val="22"/>
                <w:lang w:val="en-GB"/>
              </w:rPr>
              <w:t>3/12=25</w:t>
            </w:r>
            <w:r>
              <w:rPr>
                <w:rFonts w:ascii="Times New Roman" w:hAnsi="Times New Roman"/>
                <w:sz w:val="22"/>
                <w:szCs w:val="22"/>
                <w:lang w:val="en-GB"/>
              </w:rPr>
              <w:t> </w:t>
            </w:r>
            <w:r w:rsidRPr="004A25EC">
              <w:rPr>
                <w:rFonts w:ascii="Times New Roman" w:hAnsi="Times New Roman"/>
                <w:sz w:val="22"/>
                <w:szCs w:val="22"/>
                <w:lang w:val="en-GB"/>
              </w:rPr>
              <w:t>%</w:t>
            </w:r>
          </w:p>
        </w:tc>
      </w:tr>
      <w:tr w:rsidR="00547CA2" w:rsidRPr="000E7AE9" w14:paraId="07B788EE" w14:textId="77777777" w:rsidTr="0040304A">
        <w:trPr>
          <w:cantSplit/>
        </w:trPr>
        <w:tc>
          <w:tcPr>
            <w:tcW w:w="3794" w:type="dxa"/>
            <w:tcBorders>
              <w:left w:val="single" w:sz="4" w:space="0" w:color="auto"/>
              <w:bottom w:val="nil"/>
            </w:tcBorders>
          </w:tcPr>
          <w:p w14:paraId="221A5330"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Betydande svar vid 84</w:t>
            </w:r>
            <w:r w:rsidRPr="000E7AE9">
              <w:rPr>
                <w:rFonts w:ascii="Times New Roman" w:hAnsi="Times New Roman"/>
                <w:color w:val="000000"/>
                <w:sz w:val="22"/>
                <w:szCs w:val="22"/>
                <w:lang w:val="sv-SE"/>
              </w:rPr>
              <w:t> </w:t>
            </w:r>
            <w:r>
              <w:rPr>
                <w:rFonts w:ascii="Times New Roman" w:hAnsi="Times New Roman"/>
                <w:color w:val="000000"/>
                <w:sz w:val="22"/>
                <w:szCs w:val="22"/>
                <w:lang w:val="sv-SE"/>
              </w:rPr>
              <w:t>månader (%)</w:t>
            </w:r>
          </w:p>
        </w:tc>
        <w:tc>
          <w:tcPr>
            <w:tcW w:w="2693" w:type="dxa"/>
            <w:tcBorders>
              <w:bottom w:val="nil"/>
            </w:tcBorders>
          </w:tcPr>
          <w:p w14:paraId="66F627C9" w14:textId="77777777" w:rsidR="00547CA2" w:rsidRPr="004A25EC" w:rsidRDefault="00547CA2" w:rsidP="00463647">
            <w:pPr>
              <w:pStyle w:val="Table"/>
              <w:widowControl w:val="0"/>
              <w:spacing w:before="0" w:after="0"/>
              <w:jc w:val="center"/>
              <w:rPr>
                <w:rFonts w:ascii="Times New Roman" w:hAnsi="Times New Roman"/>
                <w:sz w:val="22"/>
                <w:szCs w:val="22"/>
                <w:lang w:val="en-GB"/>
              </w:rPr>
            </w:pPr>
            <w:r w:rsidRPr="004A25EC">
              <w:rPr>
                <w:rFonts w:ascii="Times New Roman" w:hAnsi="Times New Roman"/>
                <w:sz w:val="22"/>
                <w:szCs w:val="22"/>
                <w:lang w:val="en-GB"/>
              </w:rPr>
              <w:t>102/116=87</w:t>
            </w:r>
            <w:r>
              <w:rPr>
                <w:rFonts w:ascii="Times New Roman" w:hAnsi="Times New Roman"/>
                <w:sz w:val="22"/>
                <w:szCs w:val="22"/>
                <w:lang w:val="en-GB"/>
              </w:rPr>
              <w:t>,</w:t>
            </w:r>
            <w:r w:rsidRPr="004A25EC">
              <w:rPr>
                <w:rFonts w:ascii="Times New Roman" w:hAnsi="Times New Roman"/>
                <w:sz w:val="22"/>
                <w:szCs w:val="22"/>
                <w:lang w:val="en-GB"/>
              </w:rPr>
              <w:t>9</w:t>
            </w:r>
            <w:r>
              <w:rPr>
                <w:rFonts w:ascii="Times New Roman" w:hAnsi="Times New Roman"/>
                <w:sz w:val="22"/>
                <w:szCs w:val="22"/>
                <w:lang w:val="en-GB"/>
              </w:rPr>
              <w:t> </w:t>
            </w:r>
            <w:r w:rsidRPr="004A25EC">
              <w:rPr>
                <w:rFonts w:ascii="Times New Roman" w:hAnsi="Times New Roman"/>
                <w:sz w:val="22"/>
                <w:szCs w:val="22"/>
                <w:lang w:val="en-GB"/>
              </w:rPr>
              <w:t>%</w:t>
            </w:r>
          </w:p>
        </w:tc>
        <w:tc>
          <w:tcPr>
            <w:tcW w:w="2692" w:type="dxa"/>
            <w:tcBorders>
              <w:bottom w:val="nil"/>
              <w:right w:val="single" w:sz="4" w:space="0" w:color="auto"/>
            </w:tcBorders>
          </w:tcPr>
          <w:p w14:paraId="0C613193" w14:textId="77777777" w:rsidR="00547CA2" w:rsidRPr="004A25EC" w:rsidRDefault="00547CA2" w:rsidP="00463647">
            <w:pPr>
              <w:pStyle w:val="Table"/>
              <w:widowControl w:val="0"/>
              <w:spacing w:before="0" w:after="0"/>
              <w:jc w:val="center"/>
              <w:rPr>
                <w:rFonts w:ascii="Times New Roman" w:hAnsi="Times New Roman"/>
                <w:sz w:val="22"/>
                <w:szCs w:val="22"/>
                <w:lang w:val="en-GB"/>
              </w:rPr>
            </w:pPr>
            <w:r w:rsidRPr="004A25EC">
              <w:rPr>
                <w:rFonts w:ascii="Times New Roman" w:hAnsi="Times New Roman"/>
                <w:sz w:val="22"/>
                <w:szCs w:val="22"/>
                <w:lang w:val="en-GB"/>
              </w:rPr>
              <w:t>3/4=75</w:t>
            </w:r>
            <w:r>
              <w:rPr>
                <w:rFonts w:ascii="Times New Roman" w:hAnsi="Times New Roman"/>
                <w:sz w:val="22"/>
                <w:szCs w:val="22"/>
                <w:lang w:val="en-GB"/>
              </w:rPr>
              <w:t> </w:t>
            </w:r>
            <w:r w:rsidRPr="004A25EC">
              <w:rPr>
                <w:rFonts w:ascii="Times New Roman" w:hAnsi="Times New Roman"/>
                <w:sz w:val="22"/>
                <w:szCs w:val="22"/>
                <w:lang w:val="en-GB"/>
              </w:rPr>
              <w:t>%</w:t>
            </w:r>
          </w:p>
        </w:tc>
      </w:tr>
      <w:tr w:rsidR="00547CA2" w:rsidRPr="00644A2E" w14:paraId="334836CA" w14:textId="77777777" w:rsidTr="0040304A">
        <w:trPr>
          <w:cantSplit/>
        </w:trPr>
        <w:tc>
          <w:tcPr>
            <w:tcW w:w="9180" w:type="dxa"/>
            <w:gridSpan w:val="3"/>
            <w:tcBorders>
              <w:top w:val="single" w:sz="4" w:space="0" w:color="auto"/>
              <w:left w:val="single" w:sz="4" w:space="0" w:color="auto"/>
              <w:bottom w:val="single" w:sz="4" w:space="0" w:color="auto"/>
              <w:right w:val="single" w:sz="4" w:space="0" w:color="auto"/>
            </w:tcBorders>
          </w:tcPr>
          <w:p w14:paraId="270CD29A" w14:textId="77777777" w:rsidR="00547CA2" w:rsidRPr="00D537D1" w:rsidRDefault="00547CA2" w:rsidP="00463647">
            <w:pPr>
              <w:pStyle w:val="Table"/>
              <w:widowControl w:val="0"/>
              <w:spacing w:before="0" w:after="0"/>
              <w:rPr>
                <w:rFonts w:ascii="Times New Roman" w:hAnsi="Times New Roman"/>
                <w:color w:val="000000"/>
                <w:sz w:val="22"/>
                <w:szCs w:val="22"/>
                <w:lang w:val="sv-SE"/>
              </w:rPr>
            </w:pPr>
            <w:r w:rsidRPr="00D537D1">
              <w:rPr>
                <w:rFonts w:ascii="Times New Roman" w:hAnsi="Times New Roman"/>
                <w:color w:val="000000"/>
                <w:sz w:val="22"/>
                <w:szCs w:val="22"/>
                <w:lang w:val="sv-SE"/>
              </w:rPr>
              <w:t>* p&lt;0,001, Fischer’s exact test</w:t>
            </w:r>
          </w:p>
          <w:p w14:paraId="31F82401" w14:textId="77777777" w:rsidR="00547CA2" w:rsidRPr="00D7631D" w:rsidRDefault="00547CA2" w:rsidP="00463647">
            <w:pPr>
              <w:keepNext/>
              <w:keepLines/>
              <w:widowControl w:val="0"/>
              <w:tabs>
                <w:tab w:val="left" w:pos="284"/>
              </w:tabs>
              <w:autoSpaceDE w:val="0"/>
              <w:autoSpaceDN w:val="0"/>
              <w:adjustRightInd w:val="0"/>
              <w:spacing w:line="240" w:lineRule="auto"/>
              <w:rPr>
                <w:color w:val="000000"/>
                <w:szCs w:val="22"/>
                <w:lang w:val="sv-SE"/>
              </w:rPr>
            </w:pPr>
            <w:r w:rsidRPr="00D7631D">
              <w:rPr>
                <w:color w:val="000000"/>
                <w:szCs w:val="22"/>
                <w:lang w:val="sv-SE"/>
              </w:rPr>
              <w:t xml:space="preserve">** </w:t>
            </w:r>
            <w:r>
              <w:rPr>
                <w:color w:val="000000"/>
                <w:szCs w:val="22"/>
                <w:lang w:val="sv-SE"/>
              </w:rPr>
              <w:t>procenttal för molekylärt svar baseras på tillgängliga prover</w:t>
            </w:r>
            <w:r w:rsidRPr="00D7631D">
              <w:rPr>
                <w:color w:val="000000"/>
                <w:szCs w:val="22"/>
                <w:lang w:val="sv-SE"/>
              </w:rPr>
              <w:t>.</w:t>
            </w:r>
          </w:p>
          <w:p w14:paraId="178A0DD6" w14:textId="77777777" w:rsidR="00547CA2" w:rsidRPr="000E7AE9" w:rsidRDefault="00547CA2" w:rsidP="00463647">
            <w:pPr>
              <w:keepNext/>
              <w:keepLines/>
              <w:widowControl w:val="0"/>
              <w:tabs>
                <w:tab w:val="left" w:pos="284"/>
              </w:tabs>
              <w:autoSpaceDE w:val="0"/>
              <w:autoSpaceDN w:val="0"/>
              <w:adjustRightInd w:val="0"/>
              <w:spacing w:line="240" w:lineRule="auto"/>
              <w:rPr>
                <w:b/>
                <w:bCs/>
                <w:color w:val="000000"/>
                <w:szCs w:val="22"/>
                <w:lang w:val="sv-SE"/>
              </w:rPr>
            </w:pPr>
            <w:r w:rsidRPr="000E7AE9">
              <w:rPr>
                <w:b/>
                <w:bCs/>
                <w:color w:val="000000"/>
                <w:szCs w:val="22"/>
                <w:lang w:val="sv-SE"/>
              </w:rPr>
              <w:t xml:space="preserve">Hematologiska svarskriterier (alla svar skall bekräftas efter </w:t>
            </w:r>
            <w:r w:rsidRPr="000E7AE9">
              <w:rPr>
                <w:b/>
                <w:color w:val="000000"/>
                <w:szCs w:val="22"/>
              </w:rPr>
              <w:sym w:font="Symbol" w:char="F0B3"/>
            </w:r>
            <w:r w:rsidRPr="000E7AE9">
              <w:rPr>
                <w:b/>
                <w:bCs/>
                <w:color w:val="000000"/>
                <w:szCs w:val="22"/>
                <w:lang w:val="sv-SE"/>
              </w:rPr>
              <w:t> 4 veckor):</w:t>
            </w:r>
          </w:p>
          <w:p w14:paraId="26418B8F" w14:textId="77777777" w:rsidR="00547CA2" w:rsidRPr="000E7AE9" w:rsidRDefault="00547CA2" w:rsidP="00463647">
            <w:pPr>
              <w:keepNext/>
              <w:keepLines/>
              <w:widowControl w:val="0"/>
              <w:tabs>
                <w:tab w:val="left" w:pos="284"/>
              </w:tabs>
              <w:autoSpaceDE w:val="0"/>
              <w:autoSpaceDN w:val="0"/>
              <w:adjustRightInd w:val="0"/>
              <w:spacing w:line="240" w:lineRule="auto"/>
              <w:rPr>
                <w:color w:val="000000"/>
                <w:szCs w:val="22"/>
                <w:lang w:val="sv-SE"/>
              </w:rPr>
            </w:pPr>
            <w:r w:rsidRPr="000E7AE9">
              <w:rPr>
                <w:color w:val="000000"/>
                <w:szCs w:val="22"/>
                <w:lang w:val="sv-SE"/>
              </w:rPr>
              <w:t>WBC &lt; 10 x 10</w:t>
            </w:r>
            <w:r w:rsidRPr="000E7AE9">
              <w:rPr>
                <w:color w:val="000000"/>
                <w:szCs w:val="22"/>
                <w:vertAlign w:val="superscript"/>
                <w:lang w:val="sv-SE"/>
              </w:rPr>
              <w:t>9</w:t>
            </w:r>
            <w:r w:rsidRPr="000E7AE9">
              <w:rPr>
                <w:color w:val="000000"/>
                <w:szCs w:val="22"/>
                <w:lang w:val="sv-SE"/>
              </w:rPr>
              <w:t>/l, trombocyter &lt; 450 x 10</w:t>
            </w:r>
            <w:r w:rsidRPr="000E7AE9">
              <w:rPr>
                <w:color w:val="000000"/>
                <w:szCs w:val="22"/>
                <w:vertAlign w:val="superscript"/>
                <w:lang w:val="sv-SE"/>
              </w:rPr>
              <w:t>9</w:t>
            </w:r>
            <w:r w:rsidRPr="000E7AE9">
              <w:rPr>
                <w:color w:val="000000"/>
                <w:szCs w:val="22"/>
                <w:lang w:val="sv-SE"/>
              </w:rPr>
              <w:t>/l, myelocyter+metamyelocyter &lt; 5</w:t>
            </w:r>
            <w:r>
              <w:rPr>
                <w:color w:val="000000"/>
                <w:szCs w:val="22"/>
                <w:lang w:val="sv-SE"/>
              </w:rPr>
              <w:t> </w:t>
            </w:r>
            <w:r w:rsidRPr="000E7AE9">
              <w:rPr>
                <w:color w:val="000000"/>
                <w:szCs w:val="22"/>
                <w:lang w:val="sv-SE"/>
              </w:rPr>
              <w:t>% i blod, inga blaster eller promyelocyter i blod, basofiler &lt; 20</w:t>
            </w:r>
            <w:r>
              <w:rPr>
                <w:color w:val="000000"/>
                <w:szCs w:val="22"/>
                <w:lang w:val="sv-SE"/>
              </w:rPr>
              <w:t> </w:t>
            </w:r>
            <w:r w:rsidRPr="000E7AE9">
              <w:rPr>
                <w:color w:val="000000"/>
                <w:szCs w:val="22"/>
                <w:lang w:val="sv-SE"/>
              </w:rPr>
              <w:t>%, inget extramedullärt engagemang.</w:t>
            </w:r>
          </w:p>
          <w:p w14:paraId="3B93A4FF" w14:textId="77777777" w:rsidR="00547CA2" w:rsidRPr="000E7AE9" w:rsidRDefault="00547CA2" w:rsidP="00463647">
            <w:pPr>
              <w:keepNext/>
              <w:keepLines/>
              <w:widowControl w:val="0"/>
              <w:tabs>
                <w:tab w:val="left" w:pos="284"/>
              </w:tabs>
              <w:autoSpaceDE w:val="0"/>
              <w:autoSpaceDN w:val="0"/>
              <w:adjustRightInd w:val="0"/>
              <w:spacing w:line="240" w:lineRule="auto"/>
              <w:rPr>
                <w:color w:val="000000"/>
                <w:szCs w:val="22"/>
                <w:lang w:val="sv-SE"/>
              </w:rPr>
            </w:pPr>
            <w:r w:rsidRPr="000E7AE9">
              <w:rPr>
                <w:b/>
                <w:bCs/>
                <w:color w:val="000000"/>
                <w:szCs w:val="22"/>
                <w:lang w:val="sv-SE"/>
              </w:rPr>
              <w:t xml:space="preserve">Kriterier för cytogenetiskt svar: </w:t>
            </w:r>
            <w:r w:rsidRPr="000E7AE9">
              <w:rPr>
                <w:color w:val="000000"/>
                <w:szCs w:val="22"/>
                <w:lang w:val="sv-SE"/>
              </w:rPr>
              <w:t>Fullständigt (0</w:t>
            </w:r>
            <w:r>
              <w:rPr>
                <w:color w:val="000000"/>
                <w:szCs w:val="22"/>
                <w:lang w:val="sv-SE"/>
              </w:rPr>
              <w:t> </w:t>
            </w:r>
            <w:r w:rsidRPr="000E7AE9">
              <w:rPr>
                <w:color w:val="000000"/>
                <w:szCs w:val="22"/>
                <w:lang w:val="sv-SE"/>
              </w:rPr>
              <w:t>% Ph+ metafaser), partiellt (1–35</w:t>
            </w:r>
            <w:r>
              <w:rPr>
                <w:color w:val="000000"/>
                <w:szCs w:val="22"/>
                <w:lang w:val="sv-SE"/>
              </w:rPr>
              <w:t> </w:t>
            </w:r>
            <w:r w:rsidRPr="000E7AE9">
              <w:rPr>
                <w:color w:val="000000"/>
                <w:szCs w:val="22"/>
                <w:lang w:val="sv-SE"/>
              </w:rPr>
              <w:t>%), litet (36–65</w:t>
            </w:r>
            <w:r>
              <w:rPr>
                <w:color w:val="000000"/>
                <w:szCs w:val="22"/>
                <w:lang w:val="sv-SE"/>
              </w:rPr>
              <w:t> </w:t>
            </w:r>
            <w:r w:rsidRPr="000E7AE9">
              <w:rPr>
                <w:color w:val="000000"/>
                <w:szCs w:val="22"/>
                <w:lang w:val="sv-SE"/>
              </w:rPr>
              <w:t>%) eller minimalt (66–95</w:t>
            </w:r>
            <w:r>
              <w:rPr>
                <w:color w:val="000000"/>
                <w:szCs w:val="22"/>
                <w:lang w:val="sv-SE"/>
              </w:rPr>
              <w:t> </w:t>
            </w:r>
            <w:r w:rsidRPr="000E7AE9">
              <w:rPr>
                <w:color w:val="000000"/>
                <w:szCs w:val="22"/>
                <w:lang w:val="sv-SE"/>
              </w:rPr>
              <w:t>%). Betydande svar (0–35</w:t>
            </w:r>
            <w:r>
              <w:rPr>
                <w:color w:val="000000"/>
                <w:szCs w:val="22"/>
                <w:lang w:val="sv-SE"/>
              </w:rPr>
              <w:t> </w:t>
            </w:r>
            <w:r w:rsidRPr="000E7AE9">
              <w:rPr>
                <w:color w:val="000000"/>
                <w:szCs w:val="22"/>
                <w:lang w:val="sv-SE"/>
              </w:rPr>
              <w:t>%) innefattar både fullständiga och partiella svar.</w:t>
            </w:r>
          </w:p>
          <w:p w14:paraId="2A2D9F62" w14:textId="77777777" w:rsidR="00547CA2" w:rsidRPr="000E7AE9" w:rsidRDefault="00547CA2" w:rsidP="00463647">
            <w:pPr>
              <w:keepNext/>
              <w:keepLines/>
              <w:widowControl w:val="0"/>
              <w:spacing w:line="240" w:lineRule="auto"/>
              <w:rPr>
                <w:color w:val="000000"/>
                <w:szCs w:val="22"/>
                <w:lang w:val="sv-SE"/>
              </w:rPr>
            </w:pPr>
            <w:r w:rsidRPr="000E7AE9">
              <w:rPr>
                <w:b/>
                <w:bCs/>
                <w:color w:val="000000"/>
                <w:szCs w:val="22"/>
                <w:lang w:val="sv-SE"/>
              </w:rPr>
              <w:t>Kriterier för betydande molekylärt svar</w:t>
            </w:r>
            <w:r w:rsidRPr="000E7AE9">
              <w:rPr>
                <w:color w:val="000000"/>
                <w:szCs w:val="22"/>
                <w:lang w:val="sv-SE"/>
              </w:rPr>
              <w:t>: minskning med ≥ 3 logaritmer av mängden Bcr-Abl-transkript (mätt med PCR-analys i realtid av kvantitativ omvänd transkriptas) i perifert blod över en standardiserad baseline.</w:t>
            </w:r>
          </w:p>
        </w:tc>
      </w:tr>
    </w:tbl>
    <w:p w14:paraId="746AA218" w14:textId="77777777" w:rsidR="00547CA2" w:rsidRPr="000E7AE9" w:rsidRDefault="00547CA2" w:rsidP="00463647">
      <w:pPr>
        <w:widowControl w:val="0"/>
        <w:autoSpaceDE w:val="0"/>
        <w:autoSpaceDN w:val="0"/>
        <w:adjustRightInd w:val="0"/>
        <w:spacing w:line="240" w:lineRule="auto"/>
        <w:rPr>
          <w:color w:val="000000"/>
          <w:szCs w:val="22"/>
          <w:lang w:val="sv-SE"/>
        </w:rPr>
      </w:pPr>
    </w:p>
    <w:p w14:paraId="39D97432" w14:textId="77777777" w:rsidR="00547CA2" w:rsidRPr="000E7AE9" w:rsidRDefault="00547CA2" w:rsidP="00463647">
      <w:pPr>
        <w:widowControl w:val="0"/>
        <w:autoSpaceDE w:val="0"/>
        <w:autoSpaceDN w:val="0"/>
        <w:adjustRightInd w:val="0"/>
        <w:spacing w:line="240" w:lineRule="auto"/>
        <w:rPr>
          <w:color w:val="000000"/>
          <w:szCs w:val="22"/>
          <w:lang w:val="sv-SE"/>
        </w:rPr>
      </w:pPr>
      <w:r w:rsidRPr="000E7AE9">
        <w:rPr>
          <w:color w:val="000000"/>
          <w:szCs w:val="22"/>
          <w:lang w:val="sv-SE"/>
        </w:rPr>
        <w:t xml:space="preserve">Frekvenser för fullständigt hematologiskt svar, betydande cytogenetiskt svar och fullständigt cytogenetiskt svar vid förstahandsbehandling uppskattades med Kaplan-Meier-analys där patienter som inte svarade på behandling uteslöts vid datum för sista undersökningen. Uppskattade kumulativa frekvenser enligt Kaplan-Meier för förstahandsbehandling med Glivec förbättrades från 12 månaders behandling till </w:t>
      </w:r>
      <w:r>
        <w:rPr>
          <w:color w:val="000000"/>
          <w:szCs w:val="22"/>
          <w:lang w:val="sv-SE"/>
        </w:rPr>
        <w:t>84</w:t>
      </w:r>
      <w:r w:rsidRPr="000E7AE9">
        <w:rPr>
          <w:color w:val="000000"/>
          <w:szCs w:val="22"/>
          <w:lang w:val="sv-SE"/>
        </w:rPr>
        <w:t> månaders behandling enligt följande: FHS från 96,4</w:t>
      </w:r>
      <w:r>
        <w:rPr>
          <w:color w:val="000000"/>
          <w:szCs w:val="22"/>
          <w:lang w:val="sv-SE"/>
        </w:rPr>
        <w:t> </w:t>
      </w:r>
      <w:r w:rsidRPr="000E7AE9">
        <w:rPr>
          <w:color w:val="000000"/>
          <w:szCs w:val="22"/>
          <w:lang w:val="sv-SE"/>
        </w:rPr>
        <w:t>% till 98,4</w:t>
      </w:r>
      <w:r>
        <w:rPr>
          <w:color w:val="000000"/>
          <w:szCs w:val="22"/>
          <w:lang w:val="sv-SE"/>
        </w:rPr>
        <w:t> </w:t>
      </w:r>
      <w:r w:rsidRPr="000E7AE9">
        <w:rPr>
          <w:color w:val="000000"/>
          <w:szCs w:val="22"/>
          <w:lang w:val="sv-SE"/>
        </w:rPr>
        <w:t>% respektive FCyS från 69,5</w:t>
      </w:r>
      <w:r>
        <w:rPr>
          <w:color w:val="000000"/>
          <w:szCs w:val="22"/>
          <w:lang w:val="sv-SE"/>
        </w:rPr>
        <w:t> </w:t>
      </w:r>
      <w:r w:rsidRPr="000E7AE9">
        <w:rPr>
          <w:color w:val="000000"/>
          <w:szCs w:val="22"/>
          <w:lang w:val="sv-SE"/>
        </w:rPr>
        <w:t xml:space="preserve">% till </w:t>
      </w:r>
      <w:r>
        <w:rPr>
          <w:color w:val="000000"/>
          <w:szCs w:val="22"/>
          <w:lang w:val="sv-SE"/>
        </w:rPr>
        <w:t>87,2 </w:t>
      </w:r>
      <w:r w:rsidRPr="000E7AE9">
        <w:rPr>
          <w:color w:val="000000"/>
          <w:szCs w:val="22"/>
          <w:lang w:val="sv-SE"/>
        </w:rPr>
        <w:t>%.</w:t>
      </w:r>
    </w:p>
    <w:p w14:paraId="664B7735" w14:textId="77777777" w:rsidR="00547CA2" w:rsidRPr="000E7AE9" w:rsidRDefault="00547CA2" w:rsidP="00463647">
      <w:pPr>
        <w:widowControl w:val="0"/>
        <w:autoSpaceDE w:val="0"/>
        <w:autoSpaceDN w:val="0"/>
        <w:adjustRightInd w:val="0"/>
        <w:spacing w:line="240" w:lineRule="auto"/>
        <w:rPr>
          <w:color w:val="000000"/>
          <w:szCs w:val="22"/>
          <w:lang w:val="sv-SE"/>
        </w:rPr>
      </w:pPr>
    </w:p>
    <w:p w14:paraId="78290C4F" w14:textId="77777777" w:rsidR="00547CA2" w:rsidRPr="000E7AE9" w:rsidRDefault="00547CA2" w:rsidP="00463647">
      <w:pPr>
        <w:pStyle w:val="EndnoteText"/>
        <w:widowControl w:val="0"/>
        <w:rPr>
          <w:color w:val="000000"/>
          <w:szCs w:val="22"/>
          <w:lang w:val="sv-SE"/>
        </w:rPr>
      </w:pPr>
      <w:r w:rsidRPr="000E7AE9">
        <w:rPr>
          <w:color w:val="000000"/>
          <w:szCs w:val="22"/>
          <w:lang w:val="sv-SE"/>
        </w:rPr>
        <w:t xml:space="preserve">Efter </w:t>
      </w:r>
      <w:r>
        <w:rPr>
          <w:color w:val="000000"/>
          <w:szCs w:val="22"/>
          <w:lang w:val="sv-SE"/>
        </w:rPr>
        <w:t>7</w:t>
      </w:r>
      <w:r w:rsidRPr="000E7AE9">
        <w:rPr>
          <w:color w:val="000000"/>
          <w:szCs w:val="22"/>
          <w:lang w:val="sv-SE"/>
        </w:rPr>
        <w:t xml:space="preserve"> års uppföljning sågs </w:t>
      </w:r>
      <w:r>
        <w:rPr>
          <w:color w:val="000000"/>
          <w:szCs w:val="22"/>
          <w:lang w:val="sv-SE"/>
        </w:rPr>
        <w:t>93</w:t>
      </w:r>
      <w:r w:rsidRPr="000E7AE9">
        <w:rPr>
          <w:color w:val="000000"/>
          <w:szCs w:val="22"/>
          <w:lang w:val="sv-SE"/>
        </w:rPr>
        <w:t xml:space="preserve"> (</w:t>
      </w:r>
      <w:r>
        <w:rPr>
          <w:color w:val="000000"/>
          <w:szCs w:val="22"/>
          <w:lang w:val="sv-SE"/>
        </w:rPr>
        <w:t>16,8 </w:t>
      </w:r>
      <w:r w:rsidRPr="000E7AE9">
        <w:rPr>
          <w:color w:val="000000"/>
          <w:szCs w:val="22"/>
          <w:lang w:val="sv-SE"/>
        </w:rPr>
        <w:t xml:space="preserve">%) progressionshändelser i Glivec-armen, av vilka progression till accelererad fas/blastkris sågs i </w:t>
      </w:r>
      <w:r>
        <w:rPr>
          <w:color w:val="000000"/>
          <w:szCs w:val="22"/>
          <w:lang w:val="sv-SE"/>
        </w:rPr>
        <w:t>37</w:t>
      </w:r>
      <w:r w:rsidRPr="000E7AE9">
        <w:rPr>
          <w:color w:val="000000"/>
          <w:szCs w:val="22"/>
          <w:lang w:val="sv-SE"/>
        </w:rPr>
        <w:t xml:space="preserve"> fall (</w:t>
      </w:r>
      <w:r>
        <w:rPr>
          <w:color w:val="000000"/>
          <w:szCs w:val="22"/>
          <w:lang w:val="sv-SE"/>
        </w:rPr>
        <w:t>6,7 </w:t>
      </w:r>
      <w:r w:rsidRPr="000E7AE9">
        <w:rPr>
          <w:color w:val="000000"/>
          <w:szCs w:val="22"/>
          <w:lang w:val="sv-SE"/>
        </w:rPr>
        <w:t xml:space="preserve">%), uteblivet betydande CyS i </w:t>
      </w:r>
      <w:r>
        <w:rPr>
          <w:color w:val="000000"/>
          <w:szCs w:val="22"/>
          <w:lang w:val="sv-SE"/>
        </w:rPr>
        <w:t>31</w:t>
      </w:r>
      <w:r w:rsidRPr="000E7AE9">
        <w:rPr>
          <w:color w:val="000000"/>
          <w:szCs w:val="22"/>
          <w:lang w:val="sv-SE"/>
        </w:rPr>
        <w:t xml:space="preserve"> fall (</w:t>
      </w:r>
      <w:r>
        <w:rPr>
          <w:color w:val="000000"/>
          <w:szCs w:val="22"/>
          <w:lang w:val="sv-SE"/>
        </w:rPr>
        <w:t>5,6 </w:t>
      </w:r>
      <w:r w:rsidRPr="000E7AE9">
        <w:rPr>
          <w:color w:val="000000"/>
          <w:szCs w:val="22"/>
          <w:lang w:val="sv-SE"/>
        </w:rPr>
        <w:t xml:space="preserve">%), uteblivet FHS eller ökning av antalet vita blodkroppar i </w:t>
      </w:r>
      <w:r>
        <w:rPr>
          <w:color w:val="000000"/>
          <w:szCs w:val="22"/>
          <w:lang w:val="sv-SE"/>
        </w:rPr>
        <w:t>15</w:t>
      </w:r>
      <w:r w:rsidRPr="000E7AE9">
        <w:rPr>
          <w:color w:val="000000"/>
          <w:szCs w:val="22"/>
          <w:lang w:val="sv-SE"/>
        </w:rPr>
        <w:t xml:space="preserve"> fall (</w:t>
      </w:r>
      <w:r>
        <w:rPr>
          <w:color w:val="000000"/>
          <w:szCs w:val="22"/>
          <w:lang w:val="sv-SE"/>
        </w:rPr>
        <w:t>2,7 </w:t>
      </w:r>
      <w:r w:rsidRPr="000E7AE9">
        <w:rPr>
          <w:color w:val="000000"/>
          <w:szCs w:val="22"/>
          <w:lang w:val="sv-SE"/>
        </w:rPr>
        <w:t xml:space="preserve">%) och död som inte var KML-relaterad i </w:t>
      </w:r>
      <w:r>
        <w:rPr>
          <w:color w:val="000000"/>
          <w:szCs w:val="22"/>
          <w:lang w:val="sv-SE"/>
        </w:rPr>
        <w:t>10</w:t>
      </w:r>
      <w:r w:rsidRPr="000E7AE9">
        <w:rPr>
          <w:color w:val="000000"/>
          <w:szCs w:val="22"/>
          <w:lang w:val="sv-SE"/>
        </w:rPr>
        <w:t xml:space="preserve"> fall (</w:t>
      </w:r>
      <w:r>
        <w:rPr>
          <w:color w:val="000000"/>
          <w:szCs w:val="22"/>
          <w:lang w:val="sv-SE"/>
        </w:rPr>
        <w:t>1,8 </w:t>
      </w:r>
      <w:r w:rsidRPr="000E7AE9">
        <w:rPr>
          <w:color w:val="000000"/>
          <w:szCs w:val="22"/>
          <w:lang w:val="sv-SE"/>
        </w:rPr>
        <w:t xml:space="preserve">%). I IFN-AraC-armen sågs </w:t>
      </w:r>
      <w:r>
        <w:rPr>
          <w:color w:val="000000"/>
          <w:szCs w:val="22"/>
          <w:lang w:val="sv-SE"/>
        </w:rPr>
        <w:t>165</w:t>
      </w:r>
      <w:r w:rsidRPr="000E7AE9">
        <w:rPr>
          <w:color w:val="000000"/>
          <w:szCs w:val="22"/>
          <w:lang w:val="sv-SE"/>
        </w:rPr>
        <w:t xml:space="preserve"> (</w:t>
      </w:r>
      <w:r>
        <w:rPr>
          <w:color w:val="000000"/>
          <w:szCs w:val="22"/>
          <w:lang w:val="sv-SE"/>
        </w:rPr>
        <w:t>29,8 </w:t>
      </w:r>
      <w:r w:rsidRPr="000E7AE9">
        <w:rPr>
          <w:color w:val="000000"/>
          <w:szCs w:val="22"/>
          <w:lang w:val="sv-SE"/>
        </w:rPr>
        <w:t xml:space="preserve">%) händelser, av vilka </w:t>
      </w:r>
      <w:r>
        <w:rPr>
          <w:color w:val="000000"/>
          <w:szCs w:val="22"/>
          <w:lang w:val="sv-SE"/>
        </w:rPr>
        <w:t>130</w:t>
      </w:r>
      <w:r w:rsidRPr="000E7AE9">
        <w:rPr>
          <w:color w:val="000000"/>
          <w:szCs w:val="22"/>
          <w:lang w:val="sv-SE"/>
        </w:rPr>
        <w:t> uppträdde under förstahandsbehandling med IFN+Ara-C.</w:t>
      </w:r>
    </w:p>
    <w:p w14:paraId="59CA2DA8" w14:textId="77777777" w:rsidR="00547CA2" w:rsidRPr="000E7AE9" w:rsidRDefault="00547CA2" w:rsidP="00463647">
      <w:pPr>
        <w:pStyle w:val="EndnoteText"/>
        <w:widowControl w:val="0"/>
        <w:rPr>
          <w:color w:val="000000"/>
          <w:szCs w:val="22"/>
          <w:lang w:val="sv-SE"/>
        </w:rPr>
      </w:pPr>
    </w:p>
    <w:p w14:paraId="3C4662B8" w14:textId="77777777" w:rsidR="00547CA2" w:rsidRPr="000E7AE9" w:rsidRDefault="00547CA2" w:rsidP="00463647">
      <w:pPr>
        <w:pStyle w:val="EndnoteText"/>
        <w:widowControl w:val="0"/>
        <w:rPr>
          <w:color w:val="000000"/>
          <w:szCs w:val="22"/>
          <w:lang w:val="sv-SE"/>
        </w:rPr>
      </w:pPr>
      <w:r w:rsidRPr="000E7AE9">
        <w:rPr>
          <w:color w:val="000000"/>
          <w:szCs w:val="22"/>
          <w:lang w:val="sv-SE"/>
        </w:rPr>
        <w:t xml:space="preserve">Den uppskattade andelen patienter som är fria från progression till accelererad fas eller blastkris efter </w:t>
      </w:r>
      <w:r>
        <w:rPr>
          <w:color w:val="000000"/>
          <w:szCs w:val="22"/>
          <w:lang w:val="sv-SE"/>
        </w:rPr>
        <w:t>84</w:t>
      </w:r>
      <w:r w:rsidRPr="000E7AE9">
        <w:rPr>
          <w:color w:val="000000"/>
          <w:szCs w:val="22"/>
          <w:lang w:val="sv-SE"/>
        </w:rPr>
        <w:t> månader var signifikant högre i Glivec-armen jämfört med i IFN-armen (</w:t>
      </w:r>
      <w:r>
        <w:rPr>
          <w:color w:val="000000"/>
          <w:szCs w:val="22"/>
          <w:lang w:val="sv-SE"/>
        </w:rPr>
        <w:t>92,5 </w:t>
      </w:r>
      <w:r w:rsidRPr="000E7AE9">
        <w:rPr>
          <w:color w:val="000000"/>
          <w:szCs w:val="22"/>
          <w:lang w:val="sv-SE"/>
        </w:rPr>
        <w:t xml:space="preserve">% mot </w:t>
      </w:r>
      <w:r>
        <w:rPr>
          <w:color w:val="000000"/>
          <w:szCs w:val="22"/>
          <w:lang w:val="sv-SE"/>
        </w:rPr>
        <w:t>85,1 </w:t>
      </w:r>
      <w:r w:rsidRPr="000E7AE9">
        <w:rPr>
          <w:color w:val="000000"/>
          <w:szCs w:val="22"/>
          <w:lang w:val="sv-SE"/>
        </w:rPr>
        <w:t>%), (p&lt;0,001). Progressionsfrekvensen/år till accelererad fas eller blastkris minskade med behandlingstidens längd och var mindre än 1</w:t>
      </w:r>
      <w:r>
        <w:rPr>
          <w:color w:val="000000"/>
          <w:szCs w:val="22"/>
          <w:lang w:val="sv-SE"/>
        </w:rPr>
        <w:t> </w:t>
      </w:r>
      <w:r w:rsidRPr="000E7AE9">
        <w:rPr>
          <w:color w:val="000000"/>
          <w:szCs w:val="22"/>
          <w:lang w:val="sv-SE"/>
        </w:rPr>
        <w:t xml:space="preserve">% årligen under det fjärde och femte året. Den uppskattade andelen progressionsfri överlevnad vid </w:t>
      </w:r>
      <w:r>
        <w:rPr>
          <w:color w:val="000000"/>
          <w:szCs w:val="22"/>
          <w:lang w:val="sv-SE"/>
        </w:rPr>
        <w:t>84</w:t>
      </w:r>
      <w:r w:rsidRPr="000E7AE9">
        <w:rPr>
          <w:color w:val="000000"/>
          <w:szCs w:val="22"/>
          <w:lang w:val="sv-SE"/>
        </w:rPr>
        <w:t xml:space="preserve"> månader var </w:t>
      </w:r>
      <w:r>
        <w:rPr>
          <w:color w:val="000000"/>
          <w:szCs w:val="22"/>
          <w:lang w:val="sv-SE"/>
        </w:rPr>
        <w:t>81,2 </w:t>
      </w:r>
      <w:r w:rsidRPr="000E7AE9">
        <w:rPr>
          <w:color w:val="000000"/>
          <w:szCs w:val="22"/>
          <w:lang w:val="sv-SE"/>
        </w:rPr>
        <w:t xml:space="preserve">% i Glivec-armen och </w:t>
      </w:r>
      <w:r>
        <w:rPr>
          <w:color w:val="000000"/>
          <w:szCs w:val="22"/>
          <w:lang w:val="sv-SE"/>
        </w:rPr>
        <w:t>60,6 </w:t>
      </w:r>
      <w:r w:rsidRPr="000E7AE9">
        <w:rPr>
          <w:color w:val="000000"/>
          <w:szCs w:val="22"/>
          <w:lang w:val="sv-SE"/>
        </w:rPr>
        <w:t>% i kontrollarmen (p&lt;0,001). Progressionsfrekvensen per år för någon typ med Glivec minskade också över tiden.</w:t>
      </w:r>
    </w:p>
    <w:p w14:paraId="7345FAC4" w14:textId="77777777" w:rsidR="00547CA2" w:rsidRPr="000E7AE9" w:rsidRDefault="00547CA2" w:rsidP="00463647">
      <w:pPr>
        <w:pStyle w:val="EndnoteText"/>
        <w:widowControl w:val="0"/>
        <w:rPr>
          <w:color w:val="000000"/>
          <w:szCs w:val="22"/>
          <w:lang w:val="sv-SE"/>
        </w:rPr>
      </w:pPr>
    </w:p>
    <w:p w14:paraId="5EB22DCF" w14:textId="77777777" w:rsidR="00547CA2" w:rsidRPr="000E7AE9" w:rsidRDefault="00547CA2" w:rsidP="00463647">
      <w:pPr>
        <w:pStyle w:val="EndnoteText"/>
        <w:widowControl w:val="0"/>
        <w:rPr>
          <w:color w:val="000000"/>
          <w:szCs w:val="22"/>
          <w:lang w:val="sv-SE"/>
        </w:rPr>
      </w:pPr>
      <w:r w:rsidRPr="000E7AE9">
        <w:rPr>
          <w:color w:val="000000"/>
          <w:szCs w:val="22"/>
          <w:lang w:val="sv-SE"/>
        </w:rPr>
        <w:t xml:space="preserve">Totalt avled </w:t>
      </w:r>
      <w:r>
        <w:rPr>
          <w:color w:val="000000"/>
          <w:szCs w:val="22"/>
          <w:lang w:val="sv-SE"/>
        </w:rPr>
        <w:t>71</w:t>
      </w:r>
      <w:r w:rsidRPr="000E7AE9">
        <w:rPr>
          <w:color w:val="000000"/>
          <w:szCs w:val="22"/>
          <w:lang w:val="sv-SE"/>
        </w:rPr>
        <w:t xml:space="preserve"> (</w:t>
      </w:r>
      <w:r>
        <w:rPr>
          <w:color w:val="000000"/>
          <w:szCs w:val="22"/>
          <w:lang w:val="sv-SE"/>
        </w:rPr>
        <w:t>12,8 </w:t>
      </w:r>
      <w:r w:rsidRPr="000E7AE9">
        <w:rPr>
          <w:color w:val="000000"/>
          <w:szCs w:val="22"/>
          <w:lang w:val="sv-SE"/>
        </w:rPr>
        <w:t xml:space="preserve">%) respektive </w:t>
      </w:r>
      <w:r>
        <w:rPr>
          <w:color w:val="000000"/>
          <w:szCs w:val="22"/>
          <w:lang w:val="sv-SE"/>
        </w:rPr>
        <w:t>85</w:t>
      </w:r>
      <w:r w:rsidRPr="000E7AE9">
        <w:rPr>
          <w:color w:val="000000"/>
          <w:szCs w:val="22"/>
          <w:lang w:val="sv-SE"/>
        </w:rPr>
        <w:t xml:space="preserve"> (</w:t>
      </w:r>
      <w:r>
        <w:rPr>
          <w:color w:val="000000"/>
          <w:szCs w:val="22"/>
          <w:lang w:val="sv-SE"/>
        </w:rPr>
        <w:t>15,4 </w:t>
      </w:r>
      <w:r w:rsidRPr="000E7AE9">
        <w:rPr>
          <w:color w:val="000000"/>
          <w:szCs w:val="22"/>
          <w:lang w:val="sv-SE"/>
        </w:rPr>
        <w:t xml:space="preserve">%) patienter i Glivec- respektive IFN+Ara-C-grupperna. Vid </w:t>
      </w:r>
      <w:r>
        <w:rPr>
          <w:color w:val="000000"/>
          <w:szCs w:val="22"/>
          <w:lang w:val="sv-SE"/>
        </w:rPr>
        <w:t>84</w:t>
      </w:r>
      <w:r w:rsidRPr="000E7AE9">
        <w:rPr>
          <w:color w:val="000000"/>
          <w:szCs w:val="22"/>
          <w:lang w:val="sv-SE"/>
        </w:rPr>
        <w:t xml:space="preserve"> månader var total uppskattad överlevnad </w:t>
      </w:r>
      <w:r>
        <w:rPr>
          <w:color w:val="000000"/>
          <w:szCs w:val="22"/>
          <w:lang w:val="sv-SE"/>
        </w:rPr>
        <w:t>86,4 </w:t>
      </w:r>
      <w:r w:rsidRPr="000E7AE9">
        <w:rPr>
          <w:color w:val="000000"/>
          <w:szCs w:val="22"/>
          <w:lang w:val="sv-SE"/>
        </w:rPr>
        <w:t>% (</w:t>
      </w:r>
      <w:r>
        <w:rPr>
          <w:color w:val="000000"/>
          <w:szCs w:val="22"/>
          <w:lang w:val="sv-SE"/>
        </w:rPr>
        <w:t>83</w:t>
      </w:r>
      <w:r w:rsidRPr="000E7AE9">
        <w:rPr>
          <w:color w:val="000000"/>
          <w:szCs w:val="22"/>
          <w:lang w:val="sv-SE"/>
        </w:rPr>
        <w:t xml:space="preserve">, </w:t>
      </w:r>
      <w:r>
        <w:rPr>
          <w:color w:val="000000"/>
          <w:szCs w:val="22"/>
          <w:lang w:val="sv-SE"/>
        </w:rPr>
        <w:t>90</w:t>
      </w:r>
      <w:r w:rsidRPr="000E7AE9">
        <w:rPr>
          <w:color w:val="000000"/>
          <w:szCs w:val="22"/>
          <w:lang w:val="sv-SE"/>
        </w:rPr>
        <w:t xml:space="preserve">) respektive </w:t>
      </w:r>
      <w:r>
        <w:rPr>
          <w:color w:val="000000"/>
          <w:szCs w:val="22"/>
          <w:lang w:val="sv-SE"/>
        </w:rPr>
        <w:t>83,3 </w:t>
      </w:r>
      <w:r w:rsidRPr="000E7AE9">
        <w:rPr>
          <w:color w:val="000000"/>
          <w:szCs w:val="22"/>
          <w:lang w:val="sv-SE"/>
        </w:rPr>
        <w:t>% (</w:t>
      </w:r>
      <w:r>
        <w:rPr>
          <w:color w:val="000000"/>
          <w:szCs w:val="22"/>
          <w:lang w:val="sv-SE"/>
        </w:rPr>
        <w:t>80</w:t>
      </w:r>
      <w:r w:rsidRPr="000E7AE9">
        <w:rPr>
          <w:color w:val="000000"/>
          <w:szCs w:val="22"/>
          <w:lang w:val="sv-SE"/>
        </w:rPr>
        <w:t xml:space="preserve">, </w:t>
      </w:r>
      <w:r>
        <w:rPr>
          <w:color w:val="000000"/>
          <w:szCs w:val="22"/>
          <w:lang w:val="sv-SE"/>
        </w:rPr>
        <w:t>87</w:t>
      </w:r>
      <w:r w:rsidRPr="000E7AE9">
        <w:rPr>
          <w:color w:val="000000"/>
          <w:szCs w:val="22"/>
          <w:lang w:val="sv-SE"/>
        </w:rPr>
        <w:t>) i de randomiserade Glivec- och IFN+Ara-C-grupperna (p=0,0</w:t>
      </w:r>
      <w:r>
        <w:rPr>
          <w:color w:val="000000"/>
          <w:szCs w:val="22"/>
          <w:lang w:val="sv-SE"/>
        </w:rPr>
        <w:t>73</w:t>
      </w:r>
      <w:r w:rsidRPr="000E7AE9">
        <w:rPr>
          <w:color w:val="000000"/>
          <w:szCs w:val="22"/>
          <w:lang w:val="sv-SE"/>
        </w:rPr>
        <w:t>, log-rank-test). Detta effektmått, tid till händelse, är i hög grad påverkat av den höga andelen patienter som korsades över från IFN+Ara-C till Glivec. Effekten av Glivec-behandling på överlevnad vid nyligen diagnostiserad KML i kronisk fas har undersökts ytterligare i en retrospektiv analys av ovan rapporterade Glivec-data med primärdata från en annan fas III-studie med IFN+Ara-C (n=325) i en identisk behandlingsregim. I denna retrospektiva analys visades Glivecs överlägsenhet över IFN+Ara-C med avseende på total överlevnad (p&lt;0,001). Inom 42 månader hade 47 (8,5</w:t>
      </w:r>
      <w:r>
        <w:rPr>
          <w:color w:val="000000"/>
          <w:szCs w:val="22"/>
          <w:lang w:val="sv-SE"/>
        </w:rPr>
        <w:t> </w:t>
      </w:r>
      <w:r w:rsidRPr="000E7AE9">
        <w:rPr>
          <w:color w:val="000000"/>
          <w:szCs w:val="22"/>
          <w:lang w:val="sv-SE"/>
        </w:rPr>
        <w:t>%) av Glivec-patienterna och 63 (19,4</w:t>
      </w:r>
      <w:r>
        <w:rPr>
          <w:color w:val="000000"/>
          <w:szCs w:val="22"/>
          <w:lang w:val="sv-SE"/>
        </w:rPr>
        <w:t> </w:t>
      </w:r>
      <w:r w:rsidRPr="000E7AE9">
        <w:rPr>
          <w:color w:val="000000"/>
          <w:szCs w:val="22"/>
          <w:lang w:val="sv-SE"/>
        </w:rPr>
        <w:t>%) av IFN+Ara-C-patienterna avlidit.</w:t>
      </w:r>
    </w:p>
    <w:p w14:paraId="74943ABC" w14:textId="77777777" w:rsidR="00547CA2" w:rsidRPr="000E7AE9" w:rsidRDefault="00547CA2" w:rsidP="00463647">
      <w:pPr>
        <w:pStyle w:val="EndnoteText"/>
        <w:widowControl w:val="0"/>
        <w:rPr>
          <w:color w:val="000000"/>
          <w:szCs w:val="22"/>
          <w:lang w:val="sv-SE"/>
        </w:rPr>
      </w:pPr>
    </w:p>
    <w:p w14:paraId="759E24A5" w14:textId="77777777" w:rsidR="00547CA2" w:rsidRPr="000E7AE9" w:rsidRDefault="00547CA2" w:rsidP="00463647">
      <w:pPr>
        <w:pStyle w:val="EndnoteText"/>
        <w:widowControl w:val="0"/>
        <w:rPr>
          <w:color w:val="000000"/>
          <w:lang w:val="sv-SE"/>
        </w:rPr>
      </w:pPr>
      <w:r w:rsidRPr="000E7AE9">
        <w:rPr>
          <w:color w:val="000000"/>
          <w:szCs w:val="22"/>
          <w:lang w:val="sv-SE"/>
        </w:rPr>
        <w:t xml:space="preserve">Graden av cytogenetiskt svar och molekylärt svar hade en tydlig effekt på långtidsresultatet för patienter på Glivec. Medan uppskattningsvis </w:t>
      </w:r>
      <w:r>
        <w:rPr>
          <w:color w:val="000000"/>
          <w:szCs w:val="22"/>
          <w:lang w:val="sv-SE"/>
        </w:rPr>
        <w:t>96 </w:t>
      </w:r>
      <w:r w:rsidRPr="000E7AE9">
        <w:rPr>
          <w:color w:val="000000"/>
          <w:szCs w:val="22"/>
          <w:lang w:val="sv-SE"/>
        </w:rPr>
        <w:t>% (93</w:t>
      </w:r>
      <w:r>
        <w:rPr>
          <w:color w:val="000000"/>
          <w:szCs w:val="22"/>
          <w:lang w:val="sv-SE"/>
        </w:rPr>
        <w:t> </w:t>
      </w:r>
      <w:r w:rsidRPr="000E7AE9">
        <w:rPr>
          <w:color w:val="000000"/>
          <w:szCs w:val="22"/>
          <w:lang w:val="sv-SE"/>
        </w:rPr>
        <w:t xml:space="preserve">%) av patienterna med fullständigt CyS (partiellt Cys) vid 12 månader inte hade genomgått progression till accelererad fas/blastkris vid </w:t>
      </w:r>
      <w:r>
        <w:rPr>
          <w:color w:val="000000"/>
          <w:szCs w:val="22"/>
          <w:lang w:val="sv-SE"/>
        </w:rPr>
        <w:t>84 </w:t>
      </w:r>
      <w:r w:rsidRPr="000E7AE9">
        <w:rPr>
          <w:color w:val="000000"/>
          <w:szCs w:val="22"/>
          <w:lang w:val="sv-SE"/>
        </w:rPr>
        <w:t>månader var bara 81</w:t>
      </w:r>
      <w:r>
        <w:rPr>
          <w:color w:val="000000"/>
          <w:szCs w:val="22"/>
          <w:lang w:val="sv-SE"/>
        </w:rPr>
        <w:t> </w:t>
      </w:r>
      <w:r w:rsidRPr="000E7AE9">
        <w:rPr>
          <w:color w:val="000000"/>
          <w:szCs w:val="22"/>
          <w:lang w:val="sv-SE"/>
        </w:rPr>
        <w:t xml:space="preserve">% av patienterna utan betydande CyS vid 12 månader fria från progression till avancerad KML vid </w:t>
      </w:r>
      <w:r>
        <w:rPr>
          <w:color w:val="000000"/>
          <w:szCs w:val="22"/>
          <w:lang w:val="sv-SE"/>
        </w:rPr>
        <w:t>84</w:t>
      </w:r>
      <w:r w:rsidRPr="000E7AE9">
        <w:rPr>
          <w:color w:val="000000"/>
          <w:szCs w:val="22"/>
          <w:lang w:val="sv-SE"/>
        </w:rPr>
        <w:t> månader (p&lt;0,001 totalt, p=0,2</w:t>
      </w:r>
      <w:r>
        <w:rPr>
          <w:color w:val="000000"/>
          <w:szCs w:val="22"/>
          <w:lang w:val="sv-SE"/>
        </w:rPr>
        <w:t>5</w:t>
      </w:r>
      <w:r w:rsidRPr="000E7AE9">
        <w:rPr>
          <w:color w:val="000000"/>
          <w:szCs w:val="22"/>
          <w:lang w:val="sv-SE"/>
        </w:rPr>
        <w:t xml:space="preserve"> mellan FCyS och PCyS). För patienter med minskning i Bcr-Abl-transkript med minst 3 logaritmer vid 12 månader, uppskattades sannolikheten för fortsatt progressionsfrihet till accelererad fas/blastkris till </w:t>
      </w:r>
      <w:r>
        <w:rPr>
          <w:color w:val="000000"/>
          <w:szCs w:val="22"/>
          <w:lang w:val="sv-SE"/>
        </w:rPr>
        <w:t>99 </w:t>
      </w:r>
      <w:r w:rsidRPr="000E7AE9">
        <w:rPr>
          <w:color w:val="000000"/>
          <w:szCs w:val="22"/>
          <w:lang w:val="sv-SE"/>
        </w:rPr>
        <w:t xml:space="preserve">% vid </w:t>
      </w:r>
      <w:r>
        <w:rPr>
          <w:color w:val="000000"/>
          <w:szCs w:val="22"/>
          <w:lang w:val="sv-SE"/>
        </w:rPr>
        <w:t>84</w:t>
      </w:r>
      <w:r w:rsidRPr="000E7AE9">
        <w:rPr>
          <w:color w:val="000000"/>
          <w:lang w:val="sv-SE"/>
        </w:rPr>
        <w:t> månader. Liknande resultat sågs vid en riktmärkesanalys efter 18 månader.</w:t>
      </w:r>
    </w:p>
    <w:p w14:paraId="4EF0D2F0" w14:textId="77777777" w:rsidR="00547CA2" w:rsidRPr="000E7AE9" w:rsidRDefault="00547CA2" w:rsidP="00463647">
      <w:pPr>
        <w:pStyle w:val="EndnoteText"/>
        <w:widowControl w:val="0"/>
        <w:rPr>
          <w:color w:val="000000"/>
          <w:szCs w:val="22"/>
          <w:lang w:val="sv-SE"/>
        </w:rPr>
      </w:pPr>
    </w:p>
    <w:p w14:paraId="07D92AEA" w14:textId="77777777" w:rsidR="00547CA2" w:rsidRPr="000E7AE9" w:rsidRDefault="00547CA2" w:rsidP="00463647">
      <w:pPr>
        <w:pStyle w:val="EndnoteText"/>
        <w:widowControl w:val="0"/>
        <w:rPr>
          <w:color w:val="000000"/>
          <w:szCs w:val="22"/>
          <w:lang w:val="sv-SE"/>
        </w:rPr>
      </w:pPr>
      <w:r w:rsidRPr="000E7AE9">
        <w:rPr>
          <w:color w:val="000000"/>
          <w:szCs w:val="22"/>
          <w:lang w:val="sv-SE"/>
        </w:rPr>
        <w:t>I denna studie tilläts dosökningar från 400 mg dagligen till 600 mg dagligen och sedan från 600 mg dagligen till 800 mg dagligen. Efter 42 månaders uppföljning, hade 11 patienter en bekräftad (inom 4 veckor) förlust av sitt cytogenetiska svar. Av dessa 11 patienter upptitrerades 4 patienter till 800 mg dagligen och 2 av dessa återfick sitt cytogenetiska svar (1 partiellt och 1 komplett, den senare uppnådde även ett molekylärt svar), medan av de 7 patienterna som inte upptitrerades återfick endast en komplett cytogenetisk svar. Procenttalet för vissa biverkningar var högre hos de 40 patienterna som upptitrerades till 800 mg dagligen jämfört med patientpopulationen före dosökningen (n=551). De mer frekventa biverkningarna inkluderade gastrointestinala blödningar, konjuktivit och förhöjning av transaminaser eller bilirubin. Andra biverkningar rapporterades med lägre eller lika frekvens.</w:t>
      </w:r>
    </w:p>
    <w:p w14:paraId="315011CD" w14:textId="77777777" w:rsidR="00547CA2" w:rsidRPr="000E7AE9" w:rsidRDefault="00547CA2" w:rsidP="00463647">
      <w:pPr>
        <w:pStyle w:val="EndnoteText"/>
        <w:widowControl w:val="0"/>
        <w:tabs>
          <w:tab w:val="clear" w:pos="567"/>
        </w:tabs>
        <w:rPr>
          <w:color w:val="000000"/>
          <w:szCs w:val="22"/>
          <w:lang w:val="sv-SE"/>
        </w:rPr>
      </w:pPr>
    </w:p>
    <w:p w14:paraId="67C7A130" w14:textId="77777777" w:rsidR="00547CA2" w:rsidRPr="000E7AE9" w:rsidRDefault="00547CA2" w:rsidP="00463647">
      <w:pPr>
        <w:pStyle w:val="EndnoteText"/>
        <w:widowControl w:val="0"/>
        <w:tabs>
          <w:tab w:val="clear" w:pos="567"/>
        </w:tabs>
        <w:rPr>
          <w:color w:val="000000"/>
          <w:szCs w:val="22"/>
          <w:lang w:val="sv-SE"/>
        </w:rPr>
      </w:pPr>
      <w:r w:rsidRPr="000E7AE9">
        <w:rPr>
          <w:i/>
          <w:color w:val="000000"/>
          <w:szCs w:val="22"/>
          <w:lang w:val="sv-SE"/>
        </w:rPr>
        <w:t xml:space="preserve">Kronisk fas, behandlingssvikt med interferonbehandling: </w:t>
      </w:r>
      <w:r w:rsidRPr="000E7AE9">
        <w:rPr>
          <w:color w:val="000000"/>
          <w:szCs w:val="22"/>
          <w:lang w:val="sv-SE"/>
        </w:rPr>
        <w:t>532 vuxna patienter behandlades med en startdos på 400 mg. Patienterna fördelades på tre huvudkategorier: behandlingssvikt hematologiskt (29</w:t>
      </w:r>
      <w:r>
        <w:rPr>
          <w:color w:val="000000"/>
          <w:szCs w:val="22"/>
          <w:lang w:val="sv-SE"/>
        </w:rPr>
        <w:t> </w:t>
      </w:r>
      <w:r w:rsidRPr="000E7AE9">
        <w:rPr>
          <w:color w:val="000000"/>
          <w:szCs w:val="22"/>
          <w:lang w:val="sv-SE"/>
        </w:rPr>
        <w:t>%), cytogenetiskt (35</w:t>
      </w:r>
      <w:r>
        <w:rPr>
          <w:color w:val="000000"/>
          <w:szCs w:val="22"/>
          <w:lang w:val="sv-SE"/>
        </w:rPr>
        <w:t> </w:t>
      </w:r>
      <w:r w:rsidRPr="000E7AE9">
        <w:rPr>
          <w:color w:val="000000"/>
          <w:szCs w:val="22"/>
          <w:lang w:val="sv-SE"/>
        </w:rPr>
        <w:t>%) och intolerans mot interferon (36</w:t>
      </w:r>
      <w:r>
        <w:rPr>
          <w:color w:val="000000"/>
          <w:szCs w:val="22"/>
          <w:lang w:val="sv-SE"/>
        </w:rPr>
        <w:t> </w:t>
      </w:r>
      <w:r w:rsidRPr="000E7AE9">
        <w:rPr>
          <w:color w:val="000000"/>
          <w:szCs w:val="22"/>
          <w:lang w:val="sv-SE"/>
        </w:rPr>
        <w:t xml:space="preserve">%). Patienterna hade tidigare fått IFN-behandling (medianlängd på behandlingen 14 månader) i doser </w:t>
      </w:r>
      <w:r w:rsidRPr="000E7AE9">
        <w:rPr>
          <w:color w:val="000000"/>
          <w:szCs w:val="22"/>
          <w:lang w:val="sv-SE"/>
        </w:rPr>
        <w:sym w:font="Symbol" w:char="F0B3"/>
      </w:r>
      <w:r w:rsidRPr="000E7AE9">
        <w:rPr>
          <w:color w:val="000000"/>
          <w:szCs w:val="22"/>
          <w:lang w:val="sv-SE"/>
        </w:rPr>
        <w:t> 25 x 10</w:t>
      </w:r>
      <w:r w:rsidRPr="000E7AE9">
        <w:rPr>
          <w:color w:val="000000"/>
          <w:szCs w:val="22"/>
          <w:vertAlign w:val="superscript"/>
          <w:lang w:val="sv-SE"/>
        </w:rPr>
        <w:t>6</w:t>
      </w:r>
      <w:r w:rsidRPr="000E7AE9">
        <w:rPr>
          <w:color w:val="000000"/>
          <w:szCs w:val="22"/>
          <w:lang w:val="sv-SE"/>
        </w:rPr>
        <w:t xml:space="preserve"> IE/vecka och var alla i sen kronisk fas med en mediantid från diagnos på 32 månader. Den primära effektvariabeln i studien var andelen patienter med betydande cytogenetiskt svar (fullständigt plus partiellt svar, 0 till 35</w:t>
      </w:r>
      <w:r>
        <w:rPr>
          <w:color w:val="000000"/>
          <w:szCs w:val="22"/>
          <w:lang w:val="sv-SE"/>
        </w:rPr>
        <w:t> </w:t>
      </w:r>
      <w:r w:rsidRPr="000E7AE9">
        <w:rPr>
          <w:color w:val="000000"/>
          <w:szCs w:val="22"/>
          <w:lang w:val="sv-SE"/>
        </w:rPr>
        <w:t>% (Ph+)-metafas i benmärgen).</w:t>
      </w:r>
    </w:p>
    <w:p w14:paraId="707FA5B9" w14:textId="77777777" w:rsidR="00547CA2" w:rsidRPr="000E7AE9" w:rsidRDefault="00547CA2" w:rsidP="00463647">
      <w:pPr>
        <w:pStyle w:val="EndnoteText"/>
        <w:widowControl w:val="0"/>
        <w:tabs>
          <w:tab w:val="clear" w:pos="567"/>
        </w:tabs>
        <w:rPr>
          <w:color w:val="000000"/>
          <w:szCs w:val="22"/>
          <w:lang w:val="sv-SE"/>
        </w:rPr>
      </w:pPr>
    </w:p>
    <w:p w14:paraId="6C058AA3"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I denna studie uppvisade 65</w:t>
      </w:r>
      <w:r>
        <w:rPr>
          <w:color w:val="000000"/>
          <w:szCs w:val="22"/>
          <w:lang w:val="sv-SE"/>
        </w:rPr>
        <w:t> </w:t>
      </w:r>
      <w:r w:rsidRPr="000E7AE9">
        <w:rPr>
          <w:color w:val="000000"/>
          <w:szCs w:val="22"/>
          <w:lang w:val="sv-SE"/>
        </w:rPr>
        <w:t>% av patienterna ett betydande cytogenetiskt svar som var fullständigt hos 53</w:t>
      </w:r>
      <w:r>
        <w:rPr>
          <w:color w:val="000000"/>
          <w:szCs w:val="22"/>
          <w:lang w:val="sv-SE"/>
        </w:rPr>
        <w:t> </w:t>
      </w:r>
      <w:r w:rsidRPr="000E7AE9">
        <w:rPr>
          <w:color w:val="000000"/>
          <w:szCs w:val="22"/>
          <w:lang w:val="sv-SE"/>
        </w:rPr>
        <w:t>% (43</w:t>
      </w:r>
      <w:r>
        <w:rPr>
          <w:color w:val="000000"/>
          <w:szCs w:val="22"/>
          <w:lang w:val="sv-SE"/>
        </w:rPr>
        <w:t> </w:t>
      </w:r>
      <w:r w:rsidRPr="000E7AE9">
        <w:rPr>
          <w:color w:val="000000"/>
          <w:szCs w:val="22"/>
          <w:lang w:val="sv-SE"/>
        </w:rPr>
        <w:t>% bekräftade) av patienterna (Tabell </w:t>
      </w:r>
      <w:r w:rsidR="00BA7C65">
        <w:rPr>
          <w:color w:val="000000"/>
          <w:szCs w:val="22"/>
          <w:lang w:val="sv-SE"/>
        </w:rPr>
        <w:t>3</w:t>
      </w:r>
      <w:r w:rsidRPr="000E7AE9">
        <w:rPr>
          <w:color w:val="000000"/>
          <w:szCs w:val="22"/>
          <w:lang w:val="sv-SE"/>
        </w:rPr>
        <w:t>). Fullständigt hematologiskt svar erhölls hos 95</w:t>
      </w:r>
      <w:r>
        <w:rPr>
          <w:color w:val="000000"/>
          <w:szCs w:val="22"/>
          <w:lang w:val="sv-SE"/>
        </w:rPr>
        <w:t> </w:t>
      </w:r>
      <w:r w:rsidRPr="000E7AE9">
        <w:rPr>
          <w:color w:val="000000"/>
          <w:szCs w:val="22"/>
          <w:lang w:val="sv-SE"/>
        </w:rPr>
        <w:t>% av patienterna.</w:t>
      </w:r>
    </w:p>
    <w:p w14:paraId="2BA486BA" w14:textId="77777777" w:rsidR="00547CA2" w:rsidRPr="000E7AE9" w:rsidRDefault="00547CA2" w:rsidP="00463647">
      <w:pPr>
        <w:pStyle w:val="EndnoteText"/>
        <w:widowControl w:val="0"/>
        <w:tabs>
          <w:tab w:val="clear" w:pos="567"/>
        </w:tabs>
        <w:rPr>
          <w:color w:val="000000"/>
          <w:szCs w:val="22"/>
          <w:lang w:val="sv-SE"/>
        </w:rPr>
      </w:pPr>
    </w:p>
    <w:p w14:paraId="61D15C9E" w14:textId="77777777" w:rsidR="00547CA2" w:rsidRPr="000E7AE9" w:rsidRDefault="00547CA2" w:rsidP="00463647">
      <w:pPr>
        <w:pStyle w:val="EndnoteText"/>
        <w:widowControl w:val="0"/>
        <w:tabs>
          <w:tab w:val="clear" w:pos="567"/>
        </w:tabs>
        <w:rPr>
          <w:color w:val="000000"/>
          <w:szCs w:val="22"/>
          <w:lang w:val="sv-SE"/>
        </w:rPr>
      </w:pPr>
      <w:r w:rsidRPr="000E7AE9">
        <w:rPr>
          <w:i/>
          <w:color w:val="000000"/>
          <w:szCs w:val="22"/>
          <w:lang w:val="sv-SE"/>
        </w:rPr>
        <w:lastRenderedPageBreak/>
        <w:t xml:space="preserve">Accelererad fas: </w:t>
      </w:r>
      <w:r w:rsidRPr="000E7AE9">
        <w:rPr>
          <w:color w:val="000000"/>
          <w:szCs w:val="22"/>
          <w:lang w:val="sv-SE"/>
        </w:rPr>
        <w:t>235 vuxna patienter med sjukdom i accelererad fas inkluderades. De första 77 patienterna inledde behandlingen med 400 mg varefter protokollet ändrades för att medge högre dosering och de återstående 158 patienterna började med 600 mg.</w:t>
      </w:r>
    </w:p>
    <w:p w14:paraId="37DB0B71" w14:textId="77777777" w:rsidR="00547CA2" w:rsidRPr="000E7AE9" w:rsidRDefault="00547CA2" w:rsidP="00463647">
      <w:pPr>
        <w:pStyle w:val="EndnoteText"/>
        <w:widowControl w:val="0"/>
        <w:tabs>
          <w:tab w:val="clear" w:pos="567"/>
        </w:tabs>
        <w:rPr>
          <w:color w:val="000000"/>
          <w:szCs w:val="22"/>
          <w:lang w:val="sv-SE"/>
        </w:rPr>
      </w:pPr>
    </w:p>
    <w:p w14:paraId="6952B30F" w14:textId="77777777" w:rsidR="00547CA2" w:rsidRPr="000E7AE9" w:rsidRDefault="00547CA2" w:rsidP="00463647">
      <w:pPr>
        <w:widowControl w:val="0"/>
        <w:spacing w:line="240" w:lineRule="auto"/>
        <w:rPr>
          <w:color w:val="000000"/>
          <w:szCs w:val="22"/>
          <w:lang w:val="sv-SE"/>
        </w:rPr>
      </w:pPr>
      <w:r w:rsidRPr="000E7AE9">
        <w:rPr>
          <w:color w:val="000000"/>
          <w:szCs w:val="22"/>
          <w:lang w:val="sv-SE"/>
        </w:rPr>
        <w:t>Den primära effektvariabeln var andelen patienter med hematologiskt svar, rapporterat antingen som fullständigt hematologiskt svar, inga tecken på leukemi (dvs. frånvaro av blaster i märg och perifert blod men utan fullständig remission i perifert blod som vid fullständigt svar) eller återgång till kronisk fas av KML. Bekräftat hematologiskt svar erhölls hos 71,5</w:t>
      </w:r>
      <w:r>
        <w:rPr>
          <w:color w:val="000000"/>
          <w:szCs w:val="22"/>
          <w:lang w:val="sv-SE"/>
        </w:rPr>
        <w:t> </w:t>
      </w:r>
      <w:r w:rsidRPr="000E7AE9">
        <w:rPr>
          <w:color w:val="000000"/>
          <w:szCs w:val="22"/>
          <w:lang w:val="sv-SE"/>
        </w:rPr>
        <w:t>% av patienterna (Tabell </w:t>
      </w:r>
      <w:r w:rsidR="00BA7C65">
        <w:rPr>
          <w:color w:val="000000"/>
          <w:szCs w:val="22"/>
          <w:lang w:val="sv-SE"/>
        </w:rPr>
        <w:t>3</w:t>
      </w:r>
      <w:r w:rsidRPr="000E7AE9">
        <w:rPr>
          <w:color w:val="000000"/>
          <w:szCs w:val="22"/>
          <w:lang w:val="sv-SE"/>
        </w:rPr>
        <w:t>). Det är också viktigt att påpeka att 27,7</w:t>
      </w:r>
      <w:r>
        <w:rPr>
          <w:color w:val="000000"/>
          <w:szCs w:val="22"/>
          <w:lang w:val="sv-SE"/>
        </w:rPr>
        <w:t> </w:t>
      </w:r>
      <w:r w:rsidRPr="000E7AE9">
        <w:rPr>
          <w:color w:val="000000"/>
          <w:szCs w:val="22"/>
          <w:lang w:val="sv-SE"/>
        </w:rPr>
        <w:t>% av patienterna dessutom uppvisade ett betydande cytogenetiskt svar som var fullständigt hos 20,4</w:t>
      </w:r>
      <w:r>
        <w:rPr>
          <w:color w:val="000000"/>
          <w:szCs w:val="22"/>
          <w:lang w:val="sv-SE"/>
        </w:rPr>
        <w:t> </w:t>
      </w:r>
      <w:r w:rsidRPr="000E7AE9">
        <w:rPr>
          <w:color w:val="000000"/>
          <w:szCs w:val="22"/>
          <w:lang w:val="sv-SE"/>
        </w:rPr>
        <w:t>% (16</w:t>
      </w:r>
      <w:r>
        <w:rPr>
          <w:color w:val="000000"/>
          <w:szCs w:val="22"/>
          <w:lang w:val="sv-SE"/>
        </w:rPr>
        <w:t> </w:t>
      </w:r>
      <w:r w:rsidRPr="000E7AE9">
        <w:rPr>
          <w:color w:val="000000"/>
          <w:szCs w:val="22"/>
          <w:lang w:val="sv-SE"/>
        </w:rPr>
        <w:t>% bekräftade) av patienterna. För de patienter som behandlades med 600 mg var den nuvarande uppskattade graden av medianöverlevnad utan sjukdomsprogression och överlevnad totalt 22,9 respektive 42,5 månader.</w:t>
      </w:r>
    </w:p>
    <w:p w14:paraId="24AC2B74" w14:textId="77777777" w:rsidR="00547CA2" w:rsidRPr="000E7AE9" w:rsidRDefault="00547CA2" w:rsidP="00463647">
      <w:pPr>
        <w:pStyle w:val="EndnoteText"/>
        <w:widowControl w:val="0"/>
        <w:tabs>
          <w:tab w:val="clear" w:pos="567"/>
        </w:tabs>
        <w:rPr>
          <w:color w:val="000000"/>
          <w:szCs w:val="22"/>
          <w:lang w:val="sv-SE"/>
        </w:rPr>
      </w:pPr>
    </w:p>
    <w:p w14:paraId="7C0BD548" w14:textId="77777777" w:rsidR="00547CA2" w:rsidRPr="000E7AE9" w:rsidRDefault="00547CA2" w:rsidP="00463647">
      <w:pPr>
        <w:pStyle w:val="EndnoteText"/>
        <w:widowControl w:val="0"/>
        <w:tabs>
          <w:tab w:val="clear" w:pos="567"/>
        </w:tabs>
        <w:rPr>
          <w:color w:val="000000"/>
          <w:szCs w:val="22"/>
          <w:lang w:val="sv-SE"/>
        </w:rPr>
      </w:pPr>
      <w:r w:rsidRPr="000E7AE9">
        <w:rPr>
          <w:i/>
          <w:color w:val="000000"/>
          <w:szCs w:val="22"/>
          <w:lang w:val="sv-SE"/>
        </w:rPr>
        <w:t xml:space="preserve">Myeloisk blastkris: </w:t>
      </w:r>
      <w:r w:rsidRPr="000E7AE9">
        <w:rPr>
          <w:color w:val="000000"/>
          <w:szCs w:val="22"/>
          <w:lang w:val="sv-SE"/>
        </w:rPr>
        <w:t>260 patienter med myeloisk blastkris inkluderades. 95 (37</w:t>
      </w:r>
      <w:r>
        <w:rPr>
          <w:color w:val="000000"/>
          <w:szCs w:val="22"/>
          <w:lang w:val="sv-SE"/>
        </w:rPr>
        <w:t> </w:t>
      </w:r>
      <w:r w:rsidRPr="000E7AE9">
        <w:rPr>
          <w:color w:val="000000"/>
          <w:szCs w:val="22"/>
          <w:lang w:val="sv-SE"/>
        </w:rPr>
        <w:t>%) hade tidigare fått kemoterapi för behandling av antingen accelererad fas eller blastkris (”förbehandlade patienter”), medan 165 (63</w:t>
      </w:r>
      <w:r>
        <w:rPr>
          <w:color w:val="000000"/>
          <w:szCs w:val="22"/>
          <w:lang w:val="sv-SE"/>
        </w:rPr>
        <w:t> </w:t>
      </w:r>
      <w:r w:rsidRPr="000E7AE9">
        <w:rPr>
          <w:color w:val="000000"/>
          <w:szCs w:val="22"/>
          <w:lang w:val="sv-SE"/>
        </w:rPr>
        <w:t>%) inte hade fått detta (”obehandlade patienter”). De första 37 patienterna inledde behandlingen med en dos om 400 mg varefter protokollet ändrades för att medge högre dosering och de återstående 223 patienterna började med 600 mg.</w:t>
      </w:r>
    </w:p>
    <w:p w14:paraId="6D022AAF" w14:textId="77777777" w:rsidR="00547CA2" w:rsidRPr="000E7AE9" w:rsidRDefault="00547CA2" w:rsidP="00463647">
      <w:pPr>
        <w:pStyle w:val="EndnoteText"/>
        <w:widowControl w:val="0"/>
        <w:tabs>
          <w:tab w:val="clear" w:pos="567"/>
        </w:tabs>
        <w:rPr>
          <w:color w:val="000000"/>
          <w:szCs w:val="22"/>
          <w:lang w:val="sv-SE"/>
        </w:rPr>
      </w:pPr>
    </w:p>
    <w:p w14:paraId="072C5B69"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Den primära effektvariabeln var graden av hematologiskt svar, rapporterat antingen som fullständigt hematologisk remission, inga tecken till leukemi, eller återgång till KML i kronisk fas enligt samma kriterier som studien avseende accelererad fas. I denna studie uppvisade 31</w:t>
      </w:r>
      <w:r>
        <w:rPr>
          <w:color w:val="000000"/>
          <w:szCs w:val="22"/>
          <w:lang w:val="sv-SE"/>
        </w:rPr>
        <w:t> </w:t>
      </w:r>
      <w:r w:rsidRPr="000E7AE9">
        <w:rPr>
          <w:color w:val="000000"/>
          <w:szCs w:val="22"/>
          <w:lang w:val="sv-SE"/>
        </w:rPr>
        <w:t>% av patienterna ett hematologiskt svar (36</w:t>
      </w:r>
      <w:r>
        <w:rPr>
          <w:color w:val="000000"/>
          <w:szCs w:val="22"/>
          <w:lang w:val="sv-SE"/>
        </w:rPr>
        <w:t> </w:t>
      </w:r>
      <w:r w:rsidRPr="000E7AE9">
        <w:rPr>
          <w:color w:val="000000"/>
          <w:szCs w:val="22"/>
          <w:lang w:val="sv-SE"/>
        </w:rPr>
        <w:t>% hos tidigare obehandlade patienter och 22</w:t>
      </w:r>
      <w:r>
        <w:rPr>
          <w:color w:val="000000"/>
          <w:szCs w:val="22"/>
          <w:lang w:val="sv-SE"/>
        </w:rPr>
        <w:t> </w:t>
      </w:r>
      <w:r w:rsidRPr="000E7AE9">
        <w:rPr>
          <w:color w:val="000000"/>
          <w:szCs w:val="22"/>
          <w:lang w:val="sv-SE"/>
        </w:rPr>
        <w:t>% hos tidigare behandlade patienter). Svarsfrekvensen var också högre hos patienter som behandlades med 600 mg (33</w:t>
      </w:r>
      <w:r>
        <w:rPr>
          <w:color w:val="000000"/>
          <w:szCs w:val="22"/>
          <w:lang w:val="sv-SE"/>
        </w:rPr>
        <w:t> </w:t>
      </w:r>
      <w:r w:rsidRPr="000E7AE9">
        <w:rPr>
          <w:color w:val="000000"/>
          <w:szCs w:val="22"/>
          <w:lang w:val="sv-SE"/>
        </w:rPr>
        <w:t>%) än hos patienter som fick 400 mg (16</w:t>
      </w:r>
      <w:r>
        <w:rPr>
          <w:color w:val="000000"/>
          <w:szCs w:val="22"/>
          <w:lang w:val="sv-SE"/>
        </w:rPr>
        <w:t> </w:t>
      </w:r>
      <w:r w:rsidRPr="000E7AE9">
        <w:rPr>
          <w:color w:val="000000"/>
          <w:szCs w:val="22"/>
          <w:lang w:val="sv-SE"/>
        </w:rPr>
        <w:t>%, p=0,0220). Den aktuella uppskattningen av medianöverlevnad för tidigare obehandlade och behandlade patienter är 7,7 respektive 4,7 månader.</w:t>
      </w:r>
    </w:p>
    <w:p w14:paraId="4BBB8AE8" w14:textId="77777777" w:rsidR="00547CA2" w:rsidRPr="000E7AE9" w:rsidRDefault="00547CA2" w:rsidP="00463647">
      <w:pPr>
        <w:pStyle w:val="EndnoteText"/>
        <w:widowControl w:val="0"/>
        <w:tabs>
          <w:tab w:val="clear" w:pos="567"/>
        </w:tabs>
        <w:rPr>
          <w:color w:val="000000"/>
          <w:szCs w:val="22"/>
          <w:lang w:val="sv-SE"/>
        </w:rPr>
      </w:pPr>
    </w:p>
    <w:p w14:paraId="74CCD639" w14:textId="77777777" w:rsidR="00547CA2" w:rsidRPr="000E7AE9" w:rsidRDefault="00547CA2" w:rsidP="00463647">
      <w:pPr>
        <w:pStyle w:val="BodyText"/>
        <w:widowControl w:val="0"/>
        <w:spacing w:line="240" w:lineRule="auto"/>
        <w:rPr>
          <w:b w:val="0"/>
          <w:i w:val="0"/>
          <w:color w:val="000000"/>
          <w:szCs w:val="22"/>
          <w:lang w:val="sv-SE"/>
        </w:rPr>
      </w:pPr>
      <w:r w:rsidRPr="000E7AE9">
        <w:rPr>
          <w:b w:val="0"/>
          <w:color w:val="000000"/>
          <w:szCs w:val="22"/>
          <w:lang w:val="sv-SE"/>
        </w:rPr>
        <w:t>Lymfoid blastkris</w:t>
      </w:r>
      <w:r w:rsidRPr="000E7AE9">
        <w:rPr>
          <w:b w:val="0"/>
          <w:i w:val="0"/>
          <w:color w:val="000000"/>
          <w:szCs w:val="22"/>
          <w:lang w:val="sv-SE"/>
        </w:rPr>
        <w:t>: ett begränsat antal patienter rekryterades i fas I-studier (n=10). Det hematologiska svaret var 70</w:t>
      </w:r>
      <w:r>
        <w:rPr>
          <w:b w:val="0"/>
          <w:i w:val="0"/>
          <w:color w:val="000000"/>
          <w:szCs w:val="22"/>
          <w:lang w:val="sv-SE"/>
        </w:rPr>
        <w:t> </w:t>
      </w:r>
      <w:r w:rsidRPr="000E7AE9">
        <w:rPr>
          <w:b w:val="0"/>
          <w:i w:val="0"/>
          <w:color w:val="000000"/>
          <w:szCs w:val="22"/>
          <w:lang w:val="sv-SE"/>
        </w:rPr>
        <w:t>% med en duration på 2</w:t>
      </w:r>
      <w:r w:rsidRPr="000E7AE9">
        <w:rPr>
          <w:color w:val="000000"/>
          <w:szCs w:val="22"/>
          <w:lang w:val="sv-SE"/>
        </w:rPr>
        <w:t>–</w:t>
      </w:r>
      <w:r w:rsidRPr="000E7AE9">
        <w:rPr>
          <w:b w:val="0"/>
          <w:i w:val="0"/>
          <w:color w:val="000000"/>
          <w:szCs w:val="22"/>
          <w:lang w:val="sv-SE"/>
        </w:rPr>
        <w:t>3 månader.</w:t>
      </w:r>
    </w:p>
    <w:p w14:paraId="714330C8" w14:textId="77777777" w:rsidR="00547CA2" w:rsidRPr="000E7AE9" w:rsidRDefault="00547CA2" w:rsidP="00463647">
      <w:pPr>
        <w:pStyle w:val="EndnoteText"/>
        <w:widowControl w:val="0"/>
        <w:tabs>
          <w:tab w:val="clear" w:pos="567"/>
        </w:tabs>
        <w:rPr>
          <w:color w:val="000000"/>
          <w:szCs w:val="22"/>
          <w:lang w:val="sv-SE"/>
        </w:rPr>
      </w:pPr>
    </w:p>
    <w:p w14:paraId="39B34E09" w14:textId="77777777" w:rsidR="00547CA2" w:rsidRPr="000E7AE9" w:rsidRDefault="00547CA2" w:rsidP="00463647">
      <w:pPr>
        <w:pStyle w:val="EndnoteText"/>
        <w:keepNext/>
        <w:keepLines/>
        <w:widowControl w:val="0"/>
        <w:tabs>
          <w:tab w:val="clear" w:pos="567"/>
          <w:tab w:val="left" w:pos="1134"/>
        </w:tabs>
        <w:rPr>
          <w:color w:val="000000"/>
          <w:szCs w:val="22"/>
          <w:lang w:val="sv-SE"/>
        </w:rPr>
      </w:pPr>
      <w:r w:rsidRPr="000E7AE9">
        <w:rPr>
          <w:b/>
          <w:color w:val="000000"/>
          <w:szCs w:val="22"/>
          <w:lang w:val="sv-SE"/>
        </w:rPr>
        <w:lastRenderedPageBreak/>
        <w:t>Tabell </w:t>
      </w:r>
      <w:r w:rsidR="00BA7C65">
        <w:rPr>
          <w:b/>
          <w:color w:val="000000"/>
          <w:szCs w:val="22"/>
          <w:lang w:val="sv-SE"/>
        </w:rPr>
        <w:t>3</w:t>
      </w:r>
      <w:r w:rsidRPr="000E7AE9">
        <w:rPr>
          <w:b/>
          <w:color w:val="000000"/>
          <w:szCs w:val="22"/>
          <w:lang w:val="sv-SE"/>
        </w:rPr>
        <w:tab/>
        <w:t>Behandlingssvar i KML- studier på vuxna</w:t>
      </w:r>
    </w:p>
    <w:p w14:paraId="2EC57FF8" w14:textId="77777777" w:rsidR="00547CA2" w:rsidRPr="000E7AE9" w:rsidRDefault="00547CA2" w:rsidP="00463647">
      <w:pPr>
        <w:pStyle w:val="EndnoteText"/>
        <w:keepNext/>
        <w:keepLines/>
        <w:widowControl w:val="0"/>
        <w:tabs>
          <w:tab w:val="clear" w:pos="567"/>
        </w:tabs>
        <w:rPr>
          <w:color w:val="000000"/>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98"/>
        <w:gridCol w:w="1985"/>
        <w:gridCol w:w="1929"/>
      </w:tblGrid>
      <w:tr w:rsidR="00547CA2" w:rsidRPr="00F60A89" w14:paraId="53ABECAB" w14:textId="77777777" w:rsidTr="0040304A">
        <w:trPr>
          <w:cantSplit/>
        </w:trPr>
        <w:tc>
          <w:tcPr>
            <w:tcW w:w="3227" w:type="dxa"/>
            <w:tcBorders>
              <w:bottom w:val="nil"/>
            </w:tcBorders>
          </w:tcPr>
          <w:p w14:paraId="69CB189F" w14:textId="77777777" w:rsidR="00547CA2" w:rsidRPr="000E7AE9" w:rsidRDefault="00547CA2" w:rsidP="00463647">
            <w:pPr>
              <w:pStyle w:val="EndnoteText"/>
              <w:keepNext/>
              <w:keepLines/>
              <w:widowControl w:val="0"/>
              <w:tabs>
                <w:tab w:val="clear" w:pos="567"/>
              </w:tabs>
              <w:rPr>
                <w:color w:val="000000"/>
                <w:szCs w:val="22"/>
                <w:lang w:val="sv-SE"/>
              </w:rPr>
            </w:pPr>
          </w:p>
        </w:tc>
        <w:tc>
          <w:tcPr>
            <w:tcW w:w="1898" w:type="dxa"/>
            <w:tcBorders>
              <w:bottom w:val="nil"/>
            </w:tcBorders>
          </w:tcPr>
          <w:p w14:paraId="2F7C6933"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Studie 0110</w:t>
            </w:r>
          </w:p>
          <w:p w14:paraId="52DC9069"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37-månaders data</w:t>
            </w:r>
          </w:p>
          <w:p w14:paraId="729CDF89"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Kronisk fas, Misslyckad IFN-behandling</w:t>
            </w:r>
          </w:p>
          <w:p w14:paraId="07389158"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(n=532)</w:t>
            </w:r>
          </w:p>
        </w:tc>
        <w:tc>
          <w:tcPr>
            <w:tcW w:w="1985" w:type="dxa"/>
            <w:tcBorders>
              <w:bottom w:val="nil"/>
            </w:tcBorders>
          </w:tcPr>
          <w:p w14:paraId="202C9923"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Studie 0109</w:t>
            </w:r>
          </w:p>
          <w:p w14:paraId="69FBA815"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40,5-månaders data</w:t>
            </w:r>
          </w:p>
          <w:p w14:paraId="766C1BB2"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Accelererad fas</w:t>
            </w:r>
          </w:p>
          <w:p w14:paraId="2C6F7559"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(n=235)</w:t>
            </w:r>
          </w:p>
        </w:tc>
        <w:tc>
          <w:tcPr>
            <w:tcW w:w="1929" w:type="dxa"/>
            <w:tcBorders>
              <w:bottom w:val="nil"/>
            </w:tcBorders>
          </w:tcPr>
          <w:p w14:paraId="4AF5B092"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Studie 0102</w:t>
            </w:r>
          </w:p>
          <w:p w14:paraId="4E83B7B1"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38-månaders data</w:t>
            </w:r>
          </w:p>
          <w:p w14:paraId="2E2AD54C"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Myeloisk blastkris</w:t>
            </w:r>
          </w:p>
          <w:p w14:paraId="3C458FD7"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(n=260)</w:t>
            </w:r>
          </w:p>
        </w:tc>
      </w:tr>
      <w:tr w:rsidR="00547CA2" w:rsidRPr="000E7AE9" w14:paraId="60FB144E" w14:textId="77777777" w:rsidTr="0040304A">
        <w:trPr>
          <w:cantSplit/>
        </w:trPr>
        <w:tc>
          <w:tcPr>
            <w:tcW w:w="9039" w:type="dxa"/>
            <w:gridSpan w:val="4"/>
            <w:tcBorders>
              <w:bottom w:val="single" w:sz="4" w:space="0" w:color="auto"/>
            </w:tcBorders>
          </w:tcPr>
          <w:p w14:paraId="05A3337E"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 av patienterna (</w:t>
            </w:r>
            <w:r>
              <w:rPr>
                <w:color w:val="000000"/>
                <w:szCs w:val="22"/>
                <w:lang w:val="sv-SE"/>
              </w:rPr>
              <w:t>K</w:t>
            </w:r>
            <w:r w:rsidRPr="000E7AE9">
              <w:rPr>
                <w:color w:val="000000"/>
                <w:szCs w:val="22"/>
                <w:lang w:val="sv-SE"/>
              </w:rPr>
              <w:t>I</w:t>
            </w:r>
            <w:r w:rsidRPr="000E7AE9">
              <w:rPr>
                <w:color w:val="000000"/>
                <w:szCs w:val="22"/>
                <w:vertAlign w:val="subscript"/>
                <w:lang w:val="sv-SE"/>
              </w:rPr>
              <w:t>95</w:t>
            </w:r>
            <w:r>
              <w:rPr>
                <w:color w:val="000000"/>
                <w:szCs w:val="22"/>
                <w:vertAlign w:val="subscript"/>
                <w:lang w:val="sv-SE"/>
              </w:rPr>
              <w:t> </w:t>
            </w:r>
            <w:r w:rsidRPr="000E7AE9">
              <w:rPr>
                <w:color w:val="000000"/>
                <w:szCs w:val="22"/>
                <w:vertAlign w:val="subscript"/>
                <w:lang w:val="sv-SE"/>
              </w:rPr>
              <w:t>%</w:t>
            </w:r>
            <w:r w:rsidRPr="000E7AE9">
              <w:rPr>
                <w:color w:val="000000"/>
                <w:szCs w:val="22"/>
                <w:lang w:val="sv-SE"/>
              </w:rPr>
              <w:t>)</w:t>
            </w:r>
          </w:p>
        </w:tc>
      </w:tr>
      <w:tr w:rsidR="00547CA2" w:rsidRPr="000E7AE9" w14:paraId="07BC682D" w14:textId="77777777" w:rsidTr="0040304A">
        <w:trPr>
          <w:cantSplit/>
        </w:trPr>
        <w:tc>
          <w:tcPr>
            <w:tcW w:w="3227" w:type="dxa"/>
            <w:tcBorders>
              <w:top w:val="single" w:sz="4" w:space="0" w:color="auto"/>
              <w:left w:val="single" w:sz="4" w:space="0" w:color="auto"/>
              <w:bottom w:val="nil"/>
              <w:right w:val="single" w:sz="4" w:space="0" w:color="auto"/>
            </w:tcBorders>
          </w:tcPr>
          <w:p w14:paraId="1B46E2A2"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Hematologiskt svar</w:t>
            </w:r>
            <w:r w:rsidRPr="000E7AE9">
              <w:rPr>
                <w:color w:val="000000"/>
                <w:szCs w:val="22"/>
                <w:vertAlign w:val="superscript"/>
                <w:lang w:val="sv-SE"/>
              </w:rPr>
              <w:t>1</w:t>
            </w:r>
          </w:p>
        </w:tc>
        <w:tc>
          <w:tcPr>
            <w:tcW w:w="1898" w:type="dxa"/>
            <w:tcBorders>
              <w:top w:val="single" w:sz="4" w:space="0" w:color="auto"/>
              <w:left w:val="single" w:sz="4" w:space="0" w:color="auto"/>
              <w:bottom w:val="nil"/>
              <w:right w:val="single" w:sz="4" w:space="0" w:color="auto"/>
            </w:tcBorders>
          </w:tcPr>
          <w:p w14:paraId="097122B8"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95</w:t>
            </w:r>
            <w:r>
              <w:rPr>
                <w:color w:val="000000"/>
                <w:szCs w:val="22"/>
                <w:lang w:val="sv-SE"/>
              </w:rPr>
              <w:t> </w:t>
            </w:r>
            <w:r w:rsidRPr="000E7AE9">
              <w:rPr>
                <w:color w:val="000000"/>
                <w:szCs w:val="22"/>
                <w:lang w:val="sv-SE"/>
              </w:rPr>
              <w:t>% (92,3–96,3)</w:t>
            </w:r>
          </w:p>
        </w:tc>
        <w:tc>
          <w:tcPr>
            <w:tcW w:w="1985" w:type="dxa"/>
            <w:tcBorders>
              <w:top w:val="single" w:sz="4" w:space="0" w:color="auto"/>
              <w:left w:val="single" w:sz="4" w:space="0" w:color="auto"/>
              <w:bottom w:val="nil"/>
              <w:right w:val="single" w:sz="4" w:space="0" w:color="auto"/>
            </w:tcBorders>
          </w:tcPr>
          <w:p w14:paraId="544D935B"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71</w:t>
            </w:r>
            <w:r>
              <w:rPr>
                <w:color w:val="000000"/>
                <w:szCs w:val="22"/>
                <w:lang w:val="sv-SE"/>
              </w:rPr>
              <w:t> </w:t>
            </w:r>
            <w:r w:rsidRPr="000E7AE9">
              <w:rPr>
                <w:color w:val="000000"/>
                <w:szCs w:val="22"/>
                <w:lang w:val="sv-SE"/>
              </w:rPr>
              <w:t>% (65,3–77,2)</w:t>
            </w:r>
          </w:p>
        </w:tc>
        <w:tc>
          <w:tcPr>
            <w:tcW w:w="1929" w:type="dxa"/>
            <w:tcBorders>
              <w:top w:val="single" w:sz="4" w:space="0" w:color="auto"/>
              <w:left w:val="single" w:sz="4" w:space="0" w:color="auto"/>
              <w:bottom w:val="nil"/>
              <w:right w:val="single" w:sz="4" w:space="0" w:color="auto"/>
            </w:tcBorders>
          </w:tcPr>
          <w:p w14:paraId="3F1AF1D6"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31</w:t>
            </w:r>
            <w:r>
              <w:rPr>
                <w:color w:val="000000"/>
                <w:szCs w:val="22"/>
                <w:lang w:val="sv-SE"/>
              </w:rPr>
              <w:t> </w:t>
            </w:r>
            <w:r w:rsidRPr="000E7AE9">
              <w:rPr>
                <w:color w:val="000000"/>
                <w:szCs w:val="22"/>
                <w:lang w:val="sv-SE"/>
              </w:rPr>
              <w:t>% (25,2–36,8)</w:t>
            </w:r>
          </w:p>
        </w:tc>
      </w:tr>
      <w:tr w:rsidR="00547CA2" w:rsidRPr="000E7AE9" w14:paraId="4A2FC66F" w14:textId="77777777" w:rsidTr="0040304A">
        <w:trPr>
          <w:cantSplit/>
        </w:trPr>
        <w:tc>
          <w:tcPr>
            <w:tcW w:w="3227" w:type="dxa"/>
            <w:tcBorders>
              <w:top w:val="nil"/>
              <w:left w:val="single" w:sz="4" w:space="0" w:color="auto"/>
              <w:bottom w:val="nil"/>
              <w:right w:val="single" w:sz="4" w:space="0" w:color="auto"/>
            </w:tcBorders>
          </w:tcPr>
          <w:p w14:paraId="61F53A1F" w14:textId="77777777" w:rsidR="00547CA2" w:rsidRPr="000E7AE9" w:rsidRDefault="00547CA2" w:rsidP="00463647">
            <w:pPr>
              <w:pStyle w:val="EndnoteText"/>
              <w:keepNext/>
              <w:keepLines/>
              <w:widowControl w:val="0"/>
              <w:tabs>
                <w:tab w:val="clear" w:pos="567"/>
              </w:tabs>
              <w:ind w:left="284"/>
              <w:rPr>
                <w:color w:val="000000"/>
                <w:szCs w:val="22"/>
                <w:lang w:val="sv-SE"/>
              </w:rPr>
            </w:pPr>
            <w:r w:rsidRPr="000E7AE9">
              <w:rPr>
                <w:color w:val="000000"/>
                <w:szCs w:val="22"/>
                <w:lang w:val="sv-SE"/>
              </w:rPr>
              <w:t xml:space="preserve">Fullständigt hematologiskt svar (FHS) </w:t>
            </w:r>
          </w:p>
        </w:tc>
        <w:tc>
          <w:tcPr>
            <w:tcW w:w="1898" w:type="dxa"/>
            <w:tcBorders>
              <w:top w:val="nil"/>
              <w:left w:val="single" w:sz="4" w:space="0" w:color="auto"/>
              <w:bottom w:val="nil"/>
              <w:right w:val="single" w:sz="4" w:space="0" w:color="auto"/>
            </w:tcBorders>
          </w:tcPr>
          <w:p w14:paraId="17C3A4CF"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95</w:t>
            </w:r>
            <w:r>
              <w:rPr>
                <w:color w:val="000000"/>
                <w:szCs w:val="22"/>
                <w:lang w:val="sv-SE"/>
              </w:rPr>
              <w:t> </w:t>
            </w:r>
            <w:r w:rsidRPr="000E7AE9">
              <w:rPr>
                <w:color w:val="000000"/>
                <w:szCs w:val="22"/>
                <w:lang w:val="sv-SE"/>
              </w:rPr>
              <w:t>%</w:t>
            </w:r>
          </w:p>
        </w:tc>
        <w:tc>
          <w:tcPr>
            <w:tcW w:w="1985" w:type="dxa"/>
            <w:tcBorders>
              <w:top w:val="nil"/>
              <w:left w:val="single" w:sz="4" w:space="0" w:color="auto"/>
              <w:bottom w:val="nil"/>
              <w:right w:val="single" w:sz="4" w:space="0" w:color="auto"/>
            </w:tcBorders>
          </w:tcPr>
          <w:p w14:paraId="4796621B"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42</w:t>
            </w:r>
            <w:r>
              <w:rPr>
                <w:color w:val="000000"/>
                <w:szCs w:val="22"/>
                <w:lang w:val="sv-SE"/>
              </w:rPr>
              <w:t> </w:t>
            </w:r>
            <w:r w:rsidRPr="000E7AE9">
              <w:rPr>
                <w:color w:val="000000"/>
                <w:szCs w:val="22"/>
                <w:lang w:val="sv-SE"/>
              </w:rPr>
              <w:t>%</w:t>
            </w:r>
          </w:p>
        </w:tc>
        <w:tc>
          <w:tcPr>
            <w:tcW w:w="1929" w:type="dxa"/>
            <w:tcBorders>
              <w:top w:val="nil"/>
              <w:left w:val="single" w:sz="4" w:space="0" w:color="auto"/>
              <w:bottom w:val="nil"/>
              <w:right w:val="single" w:sz="4" w:space="0" w:color="auto"/>
            </w:tcBorders>
          </w:tcPr>
          <w:p w14:paraId="6F3E7588"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8</w:t>
            </w:r>
            <w:r>
              <w:rPr>
                <w:color w:val="000000"/>
                <w:szCs w:val="22"/>
                <w:lang w:val="sv-SE"/>
              </w:rPr>
              <w:t> </w:t>
            </w:r>
            <w:r w:rsidRPr="000E7AE9">
              <w:rPr>
                <w:color w:val="000000"/>
                <w:szCs w:val="22"/>
                <w:lang w:val="sv-SE"/>
              </w:rPr>
              <w:t>%</w:t>
            </w:r>
          </w:p>
        </w:tc>
      </w:tr>
      <w:tr w:rsidR="00547CA2" w:rsidRPr="000E7AE9" w14:paraId="0891E1FA" w14:textId="77777777" w:rsidTr="0040304A">
        <w:trPr>
          <w:cantSplit/>
        </w:trPr>
        <w:tc>
          <w:tcPr>
            <w:tcW w:w="3227" w:type="dxa"/>
            <w:tcBorders>
              <w:top w:val="nil"/>
              <w:left w:val="single" w:sz="4" w:space="0" w:color="auto"/>
              <w:bottom w:val="nil"/>
              <w:right w:val="single" w:sz="4" w:space="0" w:color="auto"/>
            </w:tcBorders>
          </w:tcPr>
          <w:p w14:paraId="25DC7D0C" w14:textId="77777777" w:rsidR="00547CA2" w:rsidRPr="000E7AE9" w:rsidRDefault="00547CA2" w:rsidP="00463647">
            <w:pPr>
              <w:pStyle w:val="EndnoteText"/>
              <w:keepNext/>
              <w:keepLines/>
              <w:widowControl w:val="0"/>
              <w:tabs>
                <w:tab w:val="clear" w:pos="567"/>
              </w:tabs>
              <w:ind w:left="284"/>
              <w:rPr>
                <w:color w:val="000000"/>
                <w:szCs w:val="22"/>
                <w:lang w:val="sv-SE"/>
              </w:rPr>
            </w:pPr>
            <w:r w:rsidRPr="000E7AE9">
              <w:rPr>
                <w:color w:val="000000"/>
                <w:szCs w:val="22"/>
                <w:lang w:val="sv-SE"/>
              </w:rPr>
              <w:t>Inga tecken till leukemi (ITL)</w:t>
            </w:r>
          </w:p>
        </w:tc>
        <w:tc>
          <w:tcPr>
            <w:tcW w:w="1898" w:type="dxa"/>
            <w:tcBorders>
              <w:top w:val="nil"/>
              <w:left w:val="single" w:sz="4" w:space="0" w:color="auto"/>
              <w:bottom w:val="nil"/>
              <w:right w:val="single" w:sz="4" w:space="0" w:color="auto"/>
            </w:tcBorders>
          </w:tcPr>
          <w:p w14:paraId="16B5FE58"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Inte tillämpligt</w:t>
            </w:r>
          </w:p>
        </w:tc>
        <w:tc>
          <w:tcPr>
            <w:tcW w:w="1985" w:type="dxa"/>
            <w:tcBorders>
              <w:top w:val="nil"/>
              <w:left w:val="single" w:sz="4" w:space="0" w:color="auto"/>
              <w:bottom w:val="nil"/>
              <w:right w:val="single" w:sz="4" w:space="0" w:color="auto"/>
            </w:tcBorders>
          </w:tcPr>
          <w:p w14:paraId="5EEB264C"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12</w:t>
            </w:r>
            <w:r>
              <w:rPr>
                <w:color w:val="000000"/>
                <w:szCs w:val="22"/>
                <w:lang w:val="sv-SE"/>
              </w:rPr>
              <w:t> </w:t>
            </w:r>
            <w:r w:rsidRPr="000E7AE9">
              <w:rPr>
                <w:color w:val="000000"/>
                <w:szCs w:val="22"/>
                <w:lang w:val="sv-SE"/>
              </w:rPr>
              <w:t>%</w:t>
            </w:r>
          </w:p>
        </w:tc>
        <w:tc>
          <w:tcPr>
            <w:tcW w:w="1929" w:type="dxa"/>
            <w:tcBorders>
              <w:top w:val="nil"/>
              <w:left w:val="single" w:sz="4" w:space="0" w:color="auto"/>
              <w:bottom w:val="nil"/>
              <w:right w:val="single" w:sz="4" w:space="0" w:color="auto"/>
            </w:tcBorders>
          </w:tcPr>
          <w:p w14:paraId="7E291184"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5</w:t>
            </w:r>
            <w:r>
              <w:rPr>
                <w:color w:val="000000"/>
                <w:szCs w:val="22"/>
                <w:lang w:val="sv-SE"/>
              </w:rPr>
              <w:t> </w:t>
            </w:r>
            <w:r w:rsidRPr="000E7AE9">
              <w:rPr>
                <w:color w:val="000000"/>
                <w:szCs w:val="22"/>
                <w:lang w:val="sv-SE"/>
              </w:rPr>
              <w:t>%</w:t>
            </w:r>
          </w:p>
        </w:tc>
      </w:tr>
      <w:tr w:rsidR="00547CA2" w:rsidRPr="000E7AE9" w14:paraId="66133A5B" w14:textId="77777777" w:rsidTr="0040304A">
        <w:trPr>
          <w:cantSplit/>
        </w:trPr>
        <w:tc>
          <w:tcPr>
            <w:tcW w:w="3227" w:type="dxa"/>
            <w:tcBorders>
              <w:top w:val="nil"/>
              <w:left w:val="single" w:sz="4" w:space="0" w:color="auto"/>
              <w:bottom w:val="nil"/>
              <w:right w:val="single" w:sz="4" w:space="0" w:color="auto"/>
            </w:tcBorders>
          </w:tcPr>
          <w:p w14:paraId="5F96F262" w14:textId="77777777" w:rsidR="00547CA2" w:rsidRPr="000E7AE9" w:rsidRDefault="00547CA2" w:rsidP="00463647">
            <w:pPr>
              <w:pStyle w:val="EndnoteText"/>
              <w:keepNext/>
              <w:keepLines/>
              <w:widowControl w:val="0"/>
              <w:tabs>
                <w:tab w:val="clear" w:pos="567"/>
              </w:tabs>
              <w:ind w:left="284"/>
              <w:rPr>
                <w:color w:val="000000"/>
                <w:szCs w:val="22"/>
                <w:lang w:val="sv-SE"/>
              </w:rPr>
            </w:pPr>
            <w:r w:rsidRPr="000E7AE9">
              <w:rPr>
                <w:color w:val="000000"/>
                <w:szCs w:val="22"/>
                <w:lang w:val="sv-SE"/>
              </w:rPr>
              <w:t>Återgång till kronisk fas (ÅTK)</w:t>
            </w:r>
          </w:p>
        </w:tc>
        <w:tc>
          <w:tcPr>
            <w:tcW w:w="1898" w:type="dxa"/>
            <w:tcBorders>
              <w:top w:val="nil"/>
              <w:left w:val="single" w:sz="4" w:space="0" w:color="auto"/>
              <w:bottom w:val="nil"/>
              <w:right w:val="single" w:sz="4" w:space="0" w:color="auto"/>
            </w:tcBorders>
          </w:tcPr>
          <w:p w14:paraId="3CDD8D24"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Inte tillämpligt</w:t>
            </w:r>
          </w:p>
        </w:tc>
        <w:tc>
          <w:tcPr>
            <w:tcW w:w="1985" w:type="dxa"/>
            <w:tcBorders>
              <w:top w:val="nil"/>
              <w:left w:val="single" w:sz="4" w:space="0" w:color="auto"/>
              <w:bottom w:val="nil"/>
              <w:right w:val="single" w:sz="4" w:space="0" w:color="auto"/>
            </w:tcBorders>
          </w:tcPr>
          <w:p w14:paraId="1A7C7B5E"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17</w:t>
            </w:r>
            <w:r>
              <w:rPr>
                <w:color w:val="000000"/>
                <w:szCs w:val="22"/>
                <w:lang w:val="sv-SE"/>
              </w:rPr>
              <w:t> </w:t>
            </w:r>
            <w:r w:rsidRPr="000E7AE9">
              <w:rPr>
                <w:color w:val="000000"/>
                <w:szCs w:val="22"/>
                <w:lang w:val="sv-SE"/>
              </w:rPr>
              <w:t>%</w:t>
            </w:r>
          </w:p>
        </w:tc>
        <w:tc>
          <w:tcPr>
            <w:tcW w:w="1929" w:type="dxa"/>
            <w:tcBorders>
              <w:top w:val="nil"/>
              <w:left w:val="single" w:sz="4" w:space="0" w:color="auto"/>
              <w:bottom w:val="nil"/>
              <w:right w:val="single" w:sz="4" w:space="0" w:color="auto"/>
            </w:tcBorders>
          </w:tcPr>
          <w:p w14:paraId="34957E18"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18</w:t>
            </w:r>
            <w:r>
              <w:rPr>
                <w:color w:val="000000"/>
                <w:szCs w:val="22"/>
                <w:lang w:val="sv-SE"/>
              </w:rPr>
              <w:t> </w:t>
            </w:r>
            <w:r w:rsidRPr="000E7AE9">
              <w:rPr>
                <w:color w:val="000000"/>
                <w:szCs w:val="22"/>
                <w:lang w:val="sv-SE"/>
              </w:rPr>
              <w:t>%</w:t>
            </w:r>
          </w:p>
        </w:tc>
      </w:tr>
      <w:tr w:rsidR="00547CA2" w:rsidRPr="000E7AE9" w14:paraId="04789B3A" w14:textId="77777777" w:rsidTr="0040304A">
        <w:trPr>
          <w:cantSplit/>
        </w:trPr>
        <w:tc>
          <w:tcPr>
            <w:tcW w:w="3227" w:type="dxa"/>
            <w:tcBorders>
              <w:top w:val="nil"/>
              <w:left w:val="single" w:sz="4" w:space="0" w:color="auto"/>
              <w:bottom w:val="nil"/>
              <w:right w:val="single" w:sz="4" w:space="0" w:color="auto"/>
            </w:tcBorders>
          </w:tcPr>
          <w:p w14:paraId="0AB29485"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Betydande cytogenetiskt svar</w:t>
            </w:r>
            <w:r w:rsidRPr="000E7AE9">
              <w:rPr>
                <w:color w:val="000000"/>
                <w:szCs w:val="22"/>
                <w:vertAlign w:val="superscript"/>
                <w:lang w:val="sv-SE"/>
              </w:rPr>
              <w:t>2</w:t>
            </w:r>
          </w:p>
        </w:tc>
        <w:tc>
          <w:tcPr>
            <w:tcW w:w="1898" w:type="dxa"/>
            <w:tcBorders>
              <w:top w:val="nil"/>
              <w:left w:val="single" w:sz="4" w:space="0" w:color="auto"/>
              <w:bottom w:val="nil"/>
              <w:right w:val="single" w:sz="4" w:space="0" w:color="auto"/>
            </w:tcBorders>
          </w:tcPr>
          <w:p w14:paraId="7FF87586"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65</w:t>
            </w:r>
            <w:r>
              <w:rPr>
                <w:color w:val="000000"/>
                <w:szCs w:val="22"/>
                <w:lang w:val="sv-SE"/>
              </w:rPr>
              <w:t> </w:t>
            </w:r>
            <w:r w:rsidRPr="000E7AE9">
              <w:rPr>
                <w:color w:val="000000"/>
                <w:szCs w:val="22"/>
                <w:lang w:val="sv-SE"/>
              </w:rPr>
              <w:t>% (61,2–69,5)</w:t>
            </w:r>
          </w:p>
        </w:tc>
        <w:tc>
          <w:tcPr>
            <w:tcW w:w="1985" w:type="dxa"/>
            <w:tcBorders>
              <w:top w:val="nil"/>
              <w:left w:val="single" w:sz="4" w:space="0" w:color="auto"/>
              <w:bottom w:val="nil"/>
              <w:right w:val="single" w:sz="4" w:space="0" w:color="auto"/>
            </w:tcBorders>
          </w:tcPr>
          <w:p w14:paraId="79C19342"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28</w:t>
            </w:r>
            <w:r>
              <w:rPr>
                <w:color w:val="000000"/>
                <w:szCs w:val="22"/>
                <w:lang w:val="sv-SE"/>
              </w:rPr>
              <w:t> </w:t>
            </w:r>
            <w:r w:rsidRPr="000E7AE9">
              <w:rPr>
                <w:color w:val="000000"/>
                <w:szCs w:val="22"/>
                <w:lang w:val="sv-SE"/>
              </w:rPr>
              <w:t>% (22,0–33,9)</w:t>
            </w:r>
          </w:p>
        </w:tc>
        <w:tc>
          <w:tcPr>
            <w:tcW w:w="1929" w:type="dxa"/>
            <w:tcBorders>
              <w:top w:val="nil"/>
              <w:left w:val="single" w:sz="4" w:space="0" w:color="auto"/>
              <w:bottom w:val="nil"/>
              <w:right w:val="single" w:sz="4" w:space="0" w:color="auto"/>
            </w:tcBorders>
          </w:tcPr>
          <w:p w14:paraId="123B354E"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15</w:t>
            </w:r>
            <w:r>
              <w:rPr>
                <w:color w:val="000000"/>
                <w:szCs w:val="22"/>
                <w:lang w:val="sv-SE"/>
              </w:rPr>
              <w:t> </w:t>
            </w:r>
            <w:r w:rsidRPr="000E7AE9">
              <w:rPr>
                <w:color w:val="000000"/>
                <w:szCs w:val="22"/>
                <w:lang w:val="sv-SE"/>
              </w:rPr>
              <w:t>% (11,2–20,4)</w:t>
            </w:r>
          </w:p>
        </w:tc>
      </w:tr>
      <w:tr w:rsidR="00547CA2" w:rsidRPr="000E7AE9" w14:paraId="3C53D58B" w14:textId="77777777" w:rsidTr="0040304A">
        <w:trPr>
          <w:cantSplit/>
        </w:trPr>
        <w:tc>
          <w:tcPr>
            <w:tcW w:w="3227" w:type="dxa"/>
            <w:tcBorders>
              <w:top w:val="nil"/>
              <w:left w:val="single" w:sz="4" w:space="0" w:color="auto"/>
              <w:bottom w:val="nil"/>
              <w:right w:val="single" w:sz="4" w:space="0" w:color="auto"/>
            </w:tcBorders>
          </w:tcPr>
          <w:p w14:paraId="21E7A1CA" w14:textId="77777777" w:rsidR="00547CA2" w:rsidRPr="000E7AE9" w:rsidRDefault="00547CA2" w:rsidP="00463647">
            <w:pPr>
              <w:pStyle w:val="EndnoteText"/>
              <w:keepNext/>
              <w:keepLines/>
              <w:widowControl w:val="0"/>
              <w:tabs>
                <w:tab w:val="clear" w:pos="567"/>
              </w:tabs>
              <w:ind w:left="284"/>
              <w:rPr>
                <w:color w:val="000000"/>
                <w:szCs w:val="22"/>
                <w:lang w:val="sv-SE"/>
              </w:rPr>
            </w:pPr>
            <w:r w:rsidRPr="000E7AE9">
              <w:rPr>
                <w:color w:val="000000"/>
                <w:szCs w:val="22"/>
                <w:lang w:val="sv-SE"/>
              </w:rPr>
              <w:t>Fullständigt</w:t>
            </w:r>
          </w:p>
        </w:tc>
        <w:tc>
          <w:tcPr>
            <w:tcW w:w="1898" w:type="dxa"/>
            <w:tcBorders>
              <w:top w:val="nil"/>
              <w:left w:val="single" w:sz="4" w:space="0" w:color="auto"/>
              <w:bottom w:val="nil"/>
              <w:right w:val="single" w:sz="4" w:space="0" w:color="auto"/>
            </w:tcBorders>
          </w:tcPr>
          <w:p w14:paraId="4E36922E"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53</w:t>
            </w:r>
            <w:r>
              <w:rPr>
                <w:color w:val="000000"/>
                <w:szCs w:val="22"/>
                <w:lang w:val="sv-SE"/>
              </w:rPr>
              <w:t> </w:t>
            </w:r>
            <w:r w:rsidRPr="000E7AE9">
              <w:rPr>
                <w:color w:val="000000"/>
                <w:szCs w:val="22"/>
                <w:lang w:val="sv-SE"/>
              </w:rPr>
              <w:t>%</w:t>
            </w:r>
          </w:p>
        </w:tc>
        <w:tc>
          <w:tcPr>
            <w:tcW w:w="1985" w:type="dxa"/>
            <w:tcBorders>
              <w:top w:val="nil"/>
              <w:left w:val="single" w:sz="4" w:space="0" w:color="auto"/>
              <w:bottom w:val="nil"/>
              <w:right w:val="single" w:sz="4" w:space="0" w:color="auto"/>
            </w:tcBorders>
          </w:tcPr>
          <w:p w14:paraId="1E92D9B6"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20</w:t>
            </w:r>
            <w:r>
              <w:rPr>
                <w:color w:val="000000"/>
                <w:szCs w:val="22"/>
                <w:lang w:val="sv-SE"/>
              </w:rPr>
              <w:t> </w:t>
            </w:r>
            <w:r w:rsidRPr="000E7AE9">
              <w:rPr>
                <w:color w:val="000000"/>
                <w:szCs w:val="22"/>
                <w:lang w:val="sv-SE"/>
              </w:rPr>
              <w:t>%</w:t>
            </w:r>
          </w:p>
        </w:tc>
        <w:tc>
          <w:tcPr>
            <w:tcW w:w="1929" w:type="dxa"/>
            <w:tcBorders>
              <w:top w:val="nil"/>
              <w:left w:val="single" w:sz="4" w:space="0" w:color="auto"/>
              <w:bottom w:val="nil"/>
              <w:right w:val="single" w:sz="4" w:space="0" w:color="auto"/>
            </w:tcBorders>
          </w:tcPr>
          <w:p w14:paraId="02B6DD48"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7</w:t>
            </w:r>
            <w:r>
              <w:rPr>
                <w:color w:val="000000"/>
                <w:szCs w:val="22"/>
                <w:lang w:val="sv-SE"/>
              </w:rPr>
              <w:t> </w:t>
            </w:r>
            <w:r w:rsidRPr="000E7AE9">
              <w:rPr>
                <w:color w:val="000000"/>
                <w:szCs w:val="22"/>
                <w:lang w:val="sv-SE"/>
              </w:rPr>
              <w:t>%</w:t>
            </w:r>
          </w:p>
        </w:tc>
      </w:tr>
      <w:tr w:rsidR="00547CA2" w:rsidRPr="000E7AE9" w14:paraId="0B2E6B82" w14:textId="77777777" w:rsidTr="0040304A">
        <w:trPr>
          <w:cantSplit/>
        </w:trPr>
        <w:tc>
          <w:tcPr>
            <w:tcW w:w="3227" w:type="dxa"/>
            <w:tcBorders>
              <w:top w:val="nil"/>
              <w:left w:val="single" w:sz="4" w:space="0" w:color="auto"/>
              <w:bottom w:val="nil"/>
              <w:right w:val="single" w:sz="4" w:space="0" w:color="auto"/>
            </w:tcBorders>
          </w:tcPr>
          <w:p w14:paraId="77340CC9" w14:textId="77777777" w:rsidR="00547CA2" w:rsidRPr="000E7AE9" w:rsidRDefault="00547CA2" w:rsidP="00463647">
            <w:pPr>
              <w:pStyle w:val="BodyTextIndent2"/>
              <w:keepNext/>
              <w:keepLines/>
              <w:widowControl w:val="0"/>
              <w:tabs>
                <w:tab w:val="clear" w:pos="567"/>
              </w:tabs>
              <w:spacing w:line="240" w:lineRule="auto"/>
              <w:ind w:left="284" w:firstLine="0"/>
              <w:rPr>
                <w:b w:val="0"/>
                <w:color w:val="000000"/>
                <w:szCs w:val="22"/>
                <w:lang w:val="sv-SE"/>
              </w:rPr>
            </w:pPr>
            <w:r w:rsidRPr="000E7AE9">
              <w:rPr>
                <w:b w:val="0"/>
                <w:color w:val="000000"/>
                <w:szCs w:val="22"/>
                <w:lang w:val="sv-SE"/>
              </w:rPr>
              <w:t>(Bekräftat</w:t>
            </w:r>
            <w:r w:rsidRPr="000E7AE9">
              <w:rPr>
                <w:b w:val="0"/>
                <w:color w:val="000000"/>
                <w:szCs w:val="22"/>
                <w:vertAlign w:val="superscript"/>
                <w:lang w:val="sv-SE"/>
              </w:rPr>
              <w:t>3</w:t>
            </w:r>
            <w:r w:rsidRPr="000E7AE9">
              <w:rPr>
                <w:b w:val="0"/>
                <w:color w:val="000000"/>
                <w:szCs w:val="22"/>
                <w:lang w:val="sv-SE"/>
              </w:rPr>
              <w:t>) [95</w:t>
            </w:r>
            <w:r>
              <w:rPr>
                <w:b w:val="0"/>
                <w:color w:val="000000"/>
                <w:szCs w:val="22"/>
                <w:lang w:val="sv-SE"/>
              </w:rPr>
              <w:t> </w:t>
            </w:r>
            <w:r w:rsidRPr="000E7AE9">
              <w:rPr>
                <w:b w:val="0"/>
                <w:color w:val="000000"/>
                <w:szCs w:val="22"/>
                <w:lang w:val="sv-SE"/>
              </w:rPr>
              <w:t xml:space="preserve">% </w:t>
            </w:r>
            <w:r>
              <w:rPr>
                <w:b w:val="0"/>
                <w:color w:val="000000"/>
                <w:szCs w:val="22"/>
                <w:lang w:val="sv-SE"/>
              </w:rPr>
              <w:t>K</w:t>
            </w:r>
            <w:r w:rsidRPr="000E7AE9">
              <w:rPr>
                <w:b w:val="0"/>
                <w:color w:val="000000"/>
                <w:szCs w:val="22"/>
                <w:lang w:val="sv-SE"/>
              </w:rPr>
              <w:t>I]</w:t>
            </w:r>
          </w:p>
        </w:tc>
        <w:tc>
          <w:tcPr>
            <w:tcW w:w="1898" w:type="dxa"/>
            <w:tcBorders>
              <w:top w:val="nil"/>
              <w:left w:val="single" w:sz="4" w:space="0" w:color="auto"/>
              <w:bottom w:val="nil"/>
              <w:right w:val="single" w:sz="4" w:space="0" w:color="auto"/>
            </w:tcBorders>
          </w:tcPr>
          <w:p w14:paraId="22DB8351" w14:textId="77777777" w:rsidR="00547CA2" w:rsidRPr="000E7AE9" w:rsidRDefault="00547CA2" w:rsidP="00463647">
            <w:pPr>
              <w:pStyle w:val="BodyTextIndent2"/>
              <w:keepNext/>
              <w:keepLines/>
              <w:widowControl w:val="0"/>
              <w:tabs>
                <w:tab w:val="clear" w:pos="567"/>
              </w:tabs>
              <w:spacing w:line="240" w:lineRule="auto"/>
              <w:jc w:val="center"/>
              <w:rPr>
                <w:b w:val="0"/>
                <w:color w:val="000000"/>
                <w:szCs w:val="22"/>
                <w:lang w:val="sv-SE"/>
              </w:rPr>
            </w:pPr>
            <w:r w:rsidRPr="000E7AE9">
              <w:rPr>
                <w:b w:val="0"/>
                <w:color w:val="000000"/>
                <w:szCs w:val="22"/>
                <w:lang w:val="sv-SE"/>
              </w:rPr>
              <w:t>(43</w:t>
            </w:r>
            <w:r>
              <w:rPr>
                <w:b w:val="0"/>
                <w:color w:val="000000"/>
                <w:szCs w:val="22"/>
                <w:lang w:val="sv-SE"/>
              </w:rPr>
              <w:t> </w:t>
            </w:r>
            <w:r w:rsidRPr="000E7AE9">
              <w:rPr>
                <w:b w:val="0"/>
                <w:color w:val="000000"/>
                <w:szCs w:val="22"/>
                <w:lang w:val="sv-SE"/>
              </w:rPr>
              <w:t>%) [38,6</w:t>
            </w:r>
            <w:r w:rsidRPr="000E7AE9">
              <w:rPr>
                <w:color w:val="000000"/>
                <w:szCs w:val="22"/>
                <w:lang w:val="sv-SE"/>
              </w:rPr>
              <w:t>–</w:t>
            </w:r>
            <w:r w:rsidRPr="000E7AE9">
              <w:rPr>
                <w:b w:val="0"/>
                <w:color w:val="000000"/>
                <w:szCs w:val="22"/>
                <w:lang w:val="sv-SE"/>
              </w:rPr>
              <w:t>47,2]</w:t>
            </w:r>
          </w:p>
        </w:tc>
        <w:tc>
          <w:tcPr>
            <w:tcW w:w="1985" w:type="dxa"/>
            <w:tcBorders>
              <w:top w:val="nil"/>
              <w:left w:val="single" w:sz="4" w:space="0" w:color="auto"/>
              <w:bottom w:val="nil"/>
              <w:right w:val="single" w:sz="4" w:space="0" w:color="auto"/>
            </w:tcBorders>
          </w:tcPr>
          <w:p w14:paraId="5A497D7C" w14:textId="77777777" w:rsidR="00547CA2" w:rsidRPr="000E7AE9" w:rsidRDefault="00547CA2" w:rsidP="00463647">
            <w:pPr>
              <w:pStyle w:val="BodyTextIndent2"/>
              <w:keepNext/>
              <w:keepLines/>
              <w:widowControl w:val="0"/>
              <w:tabs>
                <w:tab w:val="clear" w:pos="567"/>
              </w:tabs>
              <w:spacing w:line="240" w:lineRule="auto"/>
              <w:jc w:val="center"/>
              <w:rPr>
                <w:b w:val="0"/>
                <w:color w:val="000000"/>
                <w:szCs w:val="22"/>
                <w:lang w:val="sv-SE"/>
              </w:rPr>
            </w:pPr>
            <w:r w:rsidRPr="000E7AE9">
              <w:rPr>
                <w:b w:val="0"/>
                <w:color w:val="000000"/>
                <w:szCs w:val="22"/>
                <w:lang w:val="sv-SE"/>
              </w:rPr>
              <w:t>(16</w:t>
            </w:r>
            <w:r>
              <w:rPr>
                <w:b w:val="0"/>
                <w:color w:val="000000"/>
                <w:szCs w:val="22"/>
                <w:lang w:val="sv-SE"/>
              </w:rPr>
              <w:t> </w:t>
            </w:r>
            <w:r w:rsidRPr="000E7AE9">
              <w:rPr>
                <w:b w:val="0"/>
                <w:color w:val="000000"/>
                <w:szCs w:val="22"/>
                <w:lang w:val="sv-SE"/>
              </w:rPr>
              <w:t>%) [11,3</w:t>
            </w:r>
            <w:r w:rsidRPr="000E7AE9">
              <w:rPr>
                <w:color w:val="000000"/>
                <w:szCs w:val="22"/>
                <w:lang w:val="sv-SE"/>
              </w:rPr>
              <w:t>–</w:t>
            </w:r>
            <w:r w:rsidRPr="000E7AE9">
              <w:rPr>
                <w:b w:val="0"/>
                <w:color w:val="000000"/>
                <w:szCs w:val="22"/>
                <w:lang w:val="sv-SE"/>
              </w:rPr>
              <w:t>21,0]</w:t>
            </w:r>
          </w:p>
        </w:tc>
        <w:tc>
          <w:tcPr>
            <w:tcW w:w="1929" w:type="dxa"/>
            <w:tcBorders>
              <w:top w:val="nil"/>
              <w:left w:val="single" w:sz="4" w:space="0" w:color="auto"/>
              <w:bottom w:val="nil"/>
              <w:right w:val="single" w:sz="4" w:space="0" w:color="auto"/>
            </w:tcBorders>
          </w:tcPr>
          <w:p w14:paraId="505FEDB0" w14:textId="77777777" w:rsidR="00547CA2" w:rsidRPr="000E7AE9" w:rsidRDefault="00547CA2" w:rsidP="00463647">
            <w:pPr>
              <w:pStyle w:val="BodyTextIndent2"/>
              <w:keepNext/>
              <w:keepLines/>
              <w:widowControl w:val="0"/>
              <w:tabs>
                <w:tab w:val="clear" w:pos="567"/>
              </w:tabs>
              <w:spacing w:line="240" w:lineRule="auto"/>
              <w:jc w:val="center"/>
              <w:rPr>
                <w:b w:val="0"/>
                <w:color w:val="000000"/>
                <w:szCs w:val="22"/>
                <w:lang w:val="sv-SE"/>
              </w:rPr>
            </w:pPr>
            <w:r w:rsidRPr="000E7AE9">
              <w:rPr>
                <w:b w:val="0"/>
                <w:color w:val="000000"/>
                <w:szCs w:val="22"/>
                <w:lang w:val="sv-SE"/>
              </w:rPr>
              <w:t>(2</w:t>
            </w:r>
            <w:r>
              <w:rPr>
                <w:b w:val="0"/>
                <w:color w:val="000000"/>
                <w:szCs w:val="22"/>
                <w:lang w:val="sv-SE"/>
              </w:rPr>
              <w:t> </w:t>
            </w:r>
            <w:r w:rsidRPr="000E7AE9">
              <w:rPr>
                <w:b w:val="0"/>
                <w:color w:val="000000"/>
                <w:szCs w:val="22"/>
                <w:lang w:val="sv-SE"/>
              </w:rPr>
              <w:t>%) [0,6</w:t>
            </w:r>
            <w:r w:rsidRPr="000E7AE9">
              <w:rPr>
                <w:color w:val="000000"/>
                <w:szCs w:val="22"/>
                <w:lang w:val="sv-SE"/>
              </w:rPr>
              <w:t>–</w:t>
            </w:r>
            <w:r w:rsidRPr="000E7AE9">
              <w:rPr>
                <w:b w:val="0"/>
                <w:color w:val="000000"/>
                <w:szCs w:val="22"/>
                <w:lang w:val="sv-SE"/>
              </w:rPr>
              <w:t>4,4]</w:t>
            </w:r>
          </w:p>
        </w:tc>
      </w:tr>
      <w:tr w:rsidR="00547CA2" w:rsidRPr="000E7AE9" w14:paraId="5A1CFA5C" w14:textId="77777777" w:rsidTr="0040304A">
        <w:trPr>
          <w:cantSplit/>
        </w:trPr>
        <w:tc>
          <w:tcPr>
            <w:tcW w:w="3227" w:type="dxa"/>
            <w:tcBorders>
              <w:top w:val="nil"/>
              <w:left w:val="single" w:sz="4" w:space="0" w:color="auto"/>
              <w:bottom w:val="single" w:sz="4" w:space="0" w:color="auto"/>
              <w:right w:val="single" w:sz="4" w:space="0" w:color="auto"/>
            </w:tcBorders>
          </w:tcPr>
          <w:p w14:paraId="0EDF034A" w14:textId="77777777" w:rsidR="00547CA2" w:rsidRPr="000E7AE9" w:rsidRDefault="00547CA2" w:rsidP="00463647">
            <w:pPr>
              <w:pStyle w:val="EndnoteText"/>
              <w:keepNext/>
              <w:keepLines/>
              <w:widowControl w:val="0"/>
              <w:tabs>
                <w:tab w:val="clear" w:pos="567"/>
              </w:tabs>
              <w:ind w:left="284"/>
              <w:rPr>
                <w:color w:val="000000"/>
                <w:szCs w:val="22"/>
                <w:lang w:val="sv-SE"/>
              </w:rPr>
            </w:pPr>
            <w:r w:rsidRPr="000E7AE9">
              <w:rPr>
                <w:color w:val="000000"/>
                <w:szCs w:val="22"/>
                <w:lang w:val="sv-SE"/>
              </w:rPr>
              <w:t>Partiellt</w:t>
            </w:r>
          </w:p>
        </w:tc>
        <w:tc>
          <w:tcPr>
            <w:tcW w:w="1898" w:type="dxa"/>
            <w:tcBorders>
              <w:top w:val="nil"/>
              <w:left w:val="single" w:sz="4" w:space="0" w:color="auto"/>
              <w:bottom w:val="single" w:sz="4" w:space="0" w:color="auto"/>
              <w:right w:val="single" w:sz="4" w:space="0" w:color="auto"/>
            </w:tcBorders>
          </w:tcPr>
          <w:p w14:paraId="1C8DF60B"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12</w:t>
            </w:r>
            <w:r>
              <w:rPr>
                <w:color w:val="000000"/>
                <w:szCs w:val="22"/>
                <w:lang w:val="sv-SE"/>
              </w:rPr>
              <w:t> </w:t>
            </w:r>
            <w:r w:rsidRPr="000E7AE9">
              <w:rPr>
                <w:color w:val="000000"/>
                <w:szCs w:val="22"/>
                <w:lang w:val="sv-SE"/>
              </w:rPr>
              <w:t>%</w:t>
            </w:r>
          </w:p>
        </w:tc>
        <w:tc>
          <w:tcPr>
            <w:tcW w:w="1985" w:type="dxa"/>
            <w:tcBorders>
              <w:top w:val="nil"/>
              <w:left w:val="single" w:sz="4" w:space="0" w:color="auto"/>
              <w:bottom w:val="single" w:sz="4" w:space="0" w:color="auto"/>
              <w:right w:val="single" w:sz="4" w:space="0" w:color="auto"/>
            </w:tcBorders>
          </w:tcPr>
          <w:p w14:paraId="0D24B467"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7</w:t>
            </w:r>
            <w:r>
              <w:rPr>
                <w:color w:val="000000"/>
                <w:szCs w:val="22"/>
                <w:lang w:val="sv-SE"/>
              </w:rPr>
              <w:t> </w:t>
            </w:r>
            <w:r w:rsidRPr="000E7AE9">
              <w:rPr>
                <w:color w:val="000000"/>
                <w:szCs w:val="22"/>
                <w:lang w:val="sv-SE"/>
              </w:rPr>
              <w:t>%</w:t>
            </w:r>
          </w:p>
        </w:tc>
        <w:tc>
          <w:tcPr>
            <w:tcW w:w="1929" w:type="dxa"/>
            <w:tcBorders>
              <w:top w:val="nil"/>
              <w:left w:val="single" w:sz="4" w:space="0" w:color="auto"/>
              <w:bottom w:val="single" w:sz="4" w:space="0" w:color="auto"/>
              <w:right w:val="single" w:sz="4" w:space="0" w:color="auto"/>
            </w:tcBorders>
          </w:tcPr>
          <w:p w14:paraId="542993EE"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8</w:t>
            </w:r>
            <w:r>
              <w:rPr>
                <w:color w:val="000000"/>
                <w:szCs w:val="22"/>
                <w:lang w:val="sv-SE"/>
              </w:rPr>
              <w:t> </w:t>
            </w:r>
            <w:r w:rsidRPr="000E7AE9">
              <w:rPr>
                <w:color w:val="000000"/>
                <w:szCs w:val="22"/>
                <w:lang w:val="sv-SE"/>
              </w:rPr>
              <w:t>%</w:t>
            </w:r>
          </w:p>
        </w:tc>
      </w:tr>
      <w:tr w:rsidR="00547CA2" w:rsidRPr="00644A2E" w14:paraId="42792537" w14:textId="77777777" w:rsidTr="0040304A">
        <w:trPr>
          <w:cantSplit/>
        </w:trPr>
        <w:tc>
          <w:tcPr>
            <w:tcW w:w="9039" w:type="dxa"/>
            <w:gridSpan w:val="4"/>
            <w:tcBorders>
              <w:top w:val="single" w:sz="4" w:space="0" w:color="auto"/>
              <w:left w:val="single" w:sz="4" w:space="0" w:color="auto"/>
              <w:bottom w:val="single" w:sz="4" w:space="0" w:color="auto"/>
              <w:right w:val="single" w:sz="4" w:space="0" w:color="auto"/>
            </w:tcBorders>
          </w:tcPr>
          <w:p w14:paraId="24BD80A7" w14:textId="77777777" w:rsidR="00547CA2" w:rsidRPr="000E7AE9" w:rsidRDefault="00547CA2" w:rsidP="00463647">
            <w:pPr>
              <w:pStyle w:val="Table"/>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vertAlign w:val="superscript"/>
                <w:lang w:val="sv-SE"/>
              </w:rPr>
              <w:t>1</w:t>
            </w:r>
            <w:r w:rsidRPr="000E7AE9">
              <w:rPr>
                <w:rFonts w:ascii="Times New Roman" w:hAnsi="Times New Roman"/>
                <w:b/>
                <w:color w:val="000000"/>
                <w:sz w:val="22"/>
                <w:szCs w:val="22"/>
                <w:lang w:val="sv-SE"/>
              </w:rPr>
              <w:t xml:space="preserve">Hematologiska svarskriterier (alla svar skall bekräftas efter </w:t>
            </w:r>
            <w:r w:rsidRPr="000E7AE9">
              <w:rPr>
                <w:rFonts w:ascii="Times New Roman" w:hAnsi="Times New Roman"/>
                <w:b/>
                <w:color w:val="000000"/>
                <w:sz w:val="22"/>
                <w:szCs w:val="22"/>
                <w:lang w:val="sv-SE"/>
              </w:rPr>
              <w:sym w:font="Symbol" w:char="F0B3"/>
            </w:r>
            <w:r w:rsidRPr="000E7AE9">
              <w:rPr>
                <w:rFonts w:ascii="Times New Roman" w:hAnsi="Times New Roman"/>
                <w:b/>
                <w:color w:val="000000"/>
                <w:sz w:val="22"/>
                <w:szCs w:val="22"/>
                <w:lang w:val="sv-SE"/>
              </w:rPr>
              <w:t> 4 veckor):</w:t>
            </w:r>
          </w:p>
          <w:p w14:paraId="14FD495B" w14:textId="77777777" w:rsidR="00547CA2" w:rsidRPr="000E7AE9" w:rsidRDefault="00547CA2" w:rsidP="00463647">
            <w:pPr>
              <w:pStyle w:val="Table"/>
              <w:widowControl w:val="0"/>
              <w:tabs>
                <w:tab w:val="clear" w:pos="284"/>
              </w:tabs>
              <w:spacing w:before="0" w:after="0"/>
              <w:ind w:left="567" w:hanging="567"/>
              <w:rPr>
                <w:rFonts w:ascii="Times New Roman" w:hAnsi="Times New Roman"/>
                <w:color w:val="000000"/>
                <w:sz w:val="22"/>
                <w:szCs w:val="22"/>
                <w:lang w:val="sv-SE"/>
              </w:rPr>
            </w:pPr>
            <w:r w:rsidRPr="000E7AE9">
              <w:rPr>
                <w:rFonts w:ascii="Times New Roman" w:hAnsi="Times New Roman"/>
                <w:color w:val="000000"/>
                <w:sz w:val="22"/>
                <w:szCs w:val="22"/>
                <w:lang w:val="sv-SE"/>
              </w:rPr>
              <w:t>FHS</w:t>
            </w:r>
            <w:r w:rsidRPr="000E7AE9">
              <w:rPr>
                <w:rFonts w:ascii="Times New Roman" w:hAnsi="Times New Roman"/>
                <w:color w:val="000000"/>
                <w:sz w:val="22"/>
                <w:szCs w:val="22"/>
                <w:lang w:val="sv-SE"/>
              </w:rPr>
              <w:tab/>
              <w:t>Studie 0110 [Vita blodkroppar &lt; 10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trombocyter &lt; 450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myelocyter + metamyelocyter &lt; 5</w:t>
            </w:r>
            <w:r>
              <w:rPr>
                <w:rFonts w:ascii="Times New Roman" w:hAnsi="Times New Roman"/>
                <w:color w:val="000000"/>
                <w:sz w:val="22"/>
                <w:szCs w:val="22"/>
                <w:lang w:val="sv-SE"/>
              </w:rPr>
              <w:t> </w:t>
            </w:r>
            <w:r w:rsidRPr="000E7AE9">
              <w:rPr>
                <w:rFonts w:ascii="Times New Roman" w:hAnsi="Times New Roman"/>
                <w:color w:val="000000"/>
                <w:sz w:val="22"/>
                <w:szCs w:val="22"/>
                <w:lang w:val="sv-SE"/>
              </w:rPr>
              <w:t>% i blod, inga blaster och promyelocyter i blod, basofiler &lt; 20</w:t>
            </w:r>
            <w:r>
              <w:rPr>
                <w:rFonts w:ascii="Times New Roman" w:hAnsi="Times New Roman"/>
                <w:color w:val="000000"/>
                <w:sz w:val="22"/>
                <w:szCs w:val="22"/>
                <w:lang w:val="sv-SE"/>
              </w:rPr>
              <w:t> </w:t>
            </w:r>
            <w:r w:rsidRPr="000E7AE9">
              <w:rPr>
                <w:rFonts w:ascii="Times New Roman" w:hAnsi="Times New Roman"/>
                <w:color w:val="000000"/>
                <w:sz w:val="22"/>
                <w:szCs w:val="22"/>
                <w:lang w:val="sv-SE"/>
              </w:rPr>
              <w:t xml:space="preserve">%, inget extramedullärt engagemang] och i studier 0102 och 0109 [ANC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1,5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 xml:space="preserve">/l, trombocyter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100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inga blaster i blod, benmärgsblaster &lt; 5</w:t>
            </w:r>
            <w:r>
              <w:rPr>
                <w:rFonts w:ascii="Times New Roman" w:hAnsi="Times New Roman"/>
                <w:color w:val="000000"/>
                <w:sz w:val="22"/>
                <w:szCs w:val="22"/>
                <w:lang w:val="sv-SE"/>
              </w:rPr>
              <w:t> </w:t>
            </w:r>
            <w:r w:rsidRPr="000E7AE9">
              <w:rPr>
                <w:rFonts w:ascii="Times New Roman" w:hAnsi="Times New Roman"/>
                <w:color w:val="000000"/>
                <w:sz w:val="22"/>
                <w:szCs w:val="22"/>
                <w:lang w:val="sv-SE"/>
              </w:rPr>
              <w:t>% och ingen extramedullär sjukdom]</w:t>
            </w:r>
          </w:p>
          <w:p w14:paraId="53F3F4DC" w14:textId="77777777" w:rsidR="00547CA2" w:rsidRPr="000E7AE9" w:rsidRDefault="00547CA2" w:rsidP="00463647">
            <w:pPr>
              <w:pStyle w:val="Table"/>
              <w:widowControl w:val="0"/>
              <w:tabs>
                <w:tab w:val="clear" w:pos="284"/>
                <w:tab w:val="left" w:pos="567"/>
              </w:tabs>
              <w:spacing w:before="0" w:after="0"/>
              <w:ind w:left="567" w:hanging="567"/>
              <w:rPr>
                <w:rFonts w:ascii="Times New Roman" w:hAnsi="Times New Roman"/>
                <w:color w:val="000000"/>
                <w:sz w:val="22"/>
                <w:szCs w:val="22"/>
                <w:lang w:val="sv-SE"/>
              </w:rPr>
            </w:pPr>
            <w:r w:rsidRPr="000E7AE9">
              <w:rPr>
                <w:rFonts w:ascii="Times New Roman" w:hAnsi="Times New Roman"/>
                <w:color w:val="000000"/>
                <w:sz w:val="22"/>
                <w:szCs w:val="22"/>
                <w:lang w:val="sv-SE"/>
              </w:rPr>
              <w:t>ITL</w:t>
            </w:r>
            <w:r w:rsidRPr="000E7AE9">
              <w:rPr>
                <w:rFonts w:ascii="Times New Roman" w:hAnsi="Times New Roman"/>
                <w:color w:val="000000"/>
                <w:sz w:val="22"/>
                <w:szCs w:val="22"/>
                <w:lang w:val="sv-SE"/>
              </w:rPr>
              <w:tab/>
              <w:t xml:space="preserve">Samma kriterier som för FHS men ANC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1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 xml:space="preserve">/l och trombocyter </w:t>
            </w:r>
            <w:r w:rsidRPr="000E7AE9">
              <w:rPr>
                <w:rFonts w:ascii="Times New Roman" w:hAnsi="Times New Roman"/>
                <w:color w:val="000000"/>
                <w:sz w:val="22"/>
                <w:szCs w:val="22"/>
                <w:lang w:val="sv-SE"/>
              </w:rPr>
              <w:sym w:font="Symbol" w:char="F0B3"/>
            </w:r>
            <w:r w:rsidRPr="000E7AE9">
              <w:rPr>
                <w:rFonts w:ascii="Times New Roman" w:hAnsi="Times New Roman"/>
                <w:color w:val="000000"/>
                <w:sz w:val="22"/>
                <w:szCs w:val="22"/>
                <w:lang w:val="sv-SE"/>
              </w:rPr>
              <w:t> 20 x 10</w:t>
            </w:r>
            <w:r w:rsidRPr="000E7AE9">
              <w:rPr>
                <w:rFonts w:ascii="Times New Roman" w:hAnsi="Times New Roman"/>
                <w:color w:val="000000"/>
                <w:sz w:val="22"/>
                <w:szCs w:val="22"/>
                <w:vertAlign w:val="superscript"/>
                <w:lang w:val="sv-SE"/>
              </w:rPr>
              <w:t>9</w:t>
            </w:r>
            <w:r w:rsidRPr="000E7AE9">
              <w:rPr>
                <w:rFonts w:ascii="Times New Roman" w:hAnsi="Times New Roman"/>
                <w:color w:val="000000"/>
                <w:sz w:val="22"/>
                <w:szCs w:val="22"/>
                <w:lang w:val="sv-SE"/>
              </w:rPr>
              <w:t>/l (enbart 0102 och 0109)</w:t>
            </w:r>
          </w:p>
          <w:p w14:paraId="51057CBA" w14:textId="77777777" w:rsidR="00547CA2" w:rsidRPr="000E7AE9" w:rsidRDefault="00547CA2" w:rsidP="00463647">
            <w:pPr>
              <w:pStyle w:val="Table"/>
              <w:widowControl w:val="0"/>
              <w:tabs>
                <w:tab w:val="clear" w:pos="284"/>
              </w:tabs>
              <w:spacing w:before="0" w:after="0"/>
              <w:ind w:left="567" w:hanging="567"/>
              <w:rPr>
                <w:rFonts w:ascii="Times New Roman" w:hAnsi="Times New Roman"/>
                <w:color w:val="000000"/>
                <w:sz w:val="22"/>
                <w:szCs w:val="22"/>
                <w:lang w:val="sv-SE"/>
              </w:rPr>
            </w:pPr>
            <w:r w:rsidRPr="000E7AE9">
              <w:rPr>
                <w:rFonts w:ascii="Times New Roman" w:hAnsi="Times New Roman"/>
                <w:color w:val="000000"/>
                <w:sz w:val="22"/>
                <w:szCs w:val="22"/>
                <w:lang w:val="sv-SE"/>
              </w:rPr>
              <w:t>ÅTK</w:t>
            </w:r>
            <w:r w:rsidRPr="000E7AE9">
              <w:rPr>
                <w:rFonts w:ascii="Times New Roman" w:hAnsi="Times New Roman"/>
                <w:color w:val="000000"/>
                <w:sz w:val="22"/>
                <w:szCs w:val="22"/>
                <w:lang w:val="sv-SE"/>
              </w:rPr>
              <w:tab/>
              <w:t>&lt; 15</w:t>
            </w:r>
            <w:r>
              <w:rPr>
                <w:rFonts w:ascii="Times New Roman" w:hAnsi="Times New Roman"/>
                <w:color w:val="000000"/>
                <w:sz w:val="22"/>
                <w:szCs w:val="22"/>
                <w:lang w:val="sv-SE"/>
              </w:rPr>
              <w:t> </w:t>
            </w:r>
            <w:r w:rsidRPr="000E7AE9">
              <w:rPr>
                <w:rFonts w:ascii="Times New Roman" w:hAnsi="Times New Roman"/>
                <w:color w:val="000000"/>
                <w:sz w:val="22"/>
                <w:szCs w:val="22"/>
                <w:lang w:val="sv-SE"/>
              </w:rPr>
              <w:t>% blaster i benmärg och perifert blod, &lt; 30</w:t>
            </w:r>
            <w:r>
              <w:rPr>
                <w:rFonts w:ascii="Times New Roman" w:hAnsi="Times New Roman"/>
                <w:color w:val="000000"/>
                <w:sz w:val="22"/>
                <w:szCs w:val="22"/>
                <w:lang w:val="sv-SE"/>
              </w:rPr>
              <w:t> </w:t>
            </w:r>
            <w:r w:rsidRPr="000E7AE9">
              <w:rPr>
                <w:rFonts w:ascii="Times New Roman" w:hAnsi="Times New Roman"/>
                <w:color w:val="000000"/>
                <w:sz w:val="22"/>
                <w:szCs w:val="22"/>
                <w:lang w:val="sv-SE"/>
              </w:rPr>
              <w:t>% blaster + promyelocyter i benmärg och perifert blod, &lt; 20</w:t>
            </w:r>
            <w:r>
              <w:rPr>
                <w:rFonts w:ascii="Times New Roman" w:hAnsi="Times New Roman"/>
                <w:color w:val="000000"/>
                <w:sz w:val="22"/>
                <w:szCs w:val="22"/>
                <w:lang w:val="sv-SE"/>
              </w:rPr>
              <w:t> </w:t>
            </w:r>
            <w:r w:rsidRPr="000E7AE9">
              <w:rPr>
                <w:rFonts w:ascii="Times New Roman" w:hAnsi="Times New Roman"/>
                <w:color w:val="000000"/>
                <w:sz w:val="22"/>
                <w:szCs w:val="22"/>
                <w:lang w:val="sv-SE"/>
              </w:rPr>
              <w:t>% basofiler i perifert blod, ingen extramedullär sjukdom förutom mjälte och lever (enbart i 0102 och 0109).</w:t>
            </w:r>
          </w:p>
          <w:p w14:paraId="5A8EDF7C"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b/>
                <w:color w:val="000000"/>
                <w:sz w:val="22"/>
                <w:szCs w:val="22"/>
                <w:vertAlign w:val="superscript"/>
                <w:lang w:val="sv-SE"/>
              </w:rPr>
              <w:t>2</w:t>
            </w:r>
            <w:r w:rsidRPr="000E7AE9">
              <w:rPr>
                <w:rFonts w:ascii="Times New Roman" w:hAnsi="Times New Roman"/>
                <w:b/>
                <w:color w:val="000000"/>
                <w:sz w:val="22"/>
                <w:szCs w:val="22"/>
                <w:lang w:val="sv-SE"/>
              </w:rPr>
              <w:t>Kriterier för cytogenetiskt svar:</w:t>
            </w:r>
          </w:p>
          <w:p w14:paraId="362071D0"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Ett betydande svar innefattar både fullständigt och partiellt svar: Fullständigt [0</w:t>
            </w:r>
            <w:r>
              <w:rPr>
                <w:color w:val="000000"/>
                <w:szCs w:val="22"/>
                <w:lang w:val="sv-SE"/>
              </w:rPr>
              <w:t> </w:t>
            </w:r>
            <w:r w:rsidRPr="000E7AE9">
              <w:rPr>
                <w:color w:val="000000"/>
                <w:szCs w:val="22"/>
                <w:lang w:val="sv-SE"/>
              </w:rPr>
              <w:t>% (Ph+)-metafaser], partiellt (1–35</w:t>
            </w:r>
            <w:r>
              <w:rPr>
                <w:color w:val="000000"/>
                <w:szCs w:val="22"/>
                <w:lang w:val="sv-SE"/>
              </w:rPr>
              <w:t> </w:t>
            </w:r>
            <w:r w:rsidRPr="000E7AE9">
              <w:rPr>
                <w:color w:val="000000"/>
                <w:szCs w:val="22"/>
                <w:lang w:val="sv-SE"/>
              </w:rPr>
              <w:t>%).</w:t>
            </w:r>
          </w:p>
          <w:p w14:paraId="15BB0345"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vertAlign w:val="superscript"/>
                <w:lang w:val="sv-SE"/>
              </w:rPr>
              <w:t>3</w:t>
            </w:r>
            <w:r w:rsidRPr="000E7AE9">
              <w:rPr>
                <w:color w:val="000000"/>
                <w:szCs w:val="22"/>
                <w:lang w:val="sv-SE"/>
              </w:rPr>
              <w:t xml:space="preserve"> Fullständigt cytogenetiskt svar bekräftat genom en andra cytogenetisk utvärdering av benmärgen utförd åtminstone en månad efter den ursprungliga benmärgsstudien.</w:t>
            </w:r>
          </w:p>
        </w:tc>
      </w:tr>
    </w:tbl>
    <w:p w14:paraId="3C957CD5" w14:textId="77777777" w:rsidR="00547CA2" w:rsidRPr="000E7AE9" w:rsidRDefault="00547CA2" w:rsidP="00463647">
      <w:pPr>
        <w:pStyle w:val="EndnoteText"/>
        <w:widowControl w:val="0"/>
        <w:tabs>
          <w:tab w:val="clear" w:pos="567"/>
        </w:tabs>
        <w:rPr>
          <w:color w:val="000000"/>
          <w:szCs w:val="22"/>
          <w:lang w:val="sv-SE"/>
        </w:rPr>
      </w:pPr>
    </w:p>
    <w:p w14:paraId="4DE2C6A7" w14:textId="77777777" w:rsidR="00547CA2" w:rsidRPr="000E7AE9" w:rsidRDefault="00547CA2" w:rsidP="00463647">
      <w:pPr>
        <w:pStyle w:val="EndnoteText"/>
        <w:widowControl w:val="0"/>
        <w:rPr>
          <w:color w:val="000000"/>
          <w:szCs w:val="22"/>
          <w:lang w:val="sv-SE"/>
        </w:rPr>
      </w:pPr>
      <w:r w:rsidRPr="000E7AE9">
        <w:rPr>
          <w:i/>
          <w:color w:val="000000"/>
          <w:szCs w:val="22"/>
          <w:lang w:val="sv-SE"/>
        </w:rPr>
        <w:t>Pediatriska patienter</w:t>
      </w:r>
      <w:r w:rsidRPr="000E7AE9">
        <w:rPr>
          <w:color w:val="000000"/>
          <w:szCs w:val="22"/>
          <w:lang w:val="sv-SE"/>
        </w:rPr>
        <w:t>: Totalt 26 pediatriska patienter &lt; 18 års ålder, med endera KML i kronisk fas (n=11) eller KML i blastkris eller (Ph+)-akuta leukemier (n=15) rekryterades till en gradvis dosökande fas I-prövning. Detta var en population av tungt förbehandlade patienter, eftersom 46</w:t>
      </w:r>
      <w:r>
        <w:rPr>
          <w:color w:val="000000"/>
          <w:szCs w:val="22"/>
          <w:lang w:val="sv-SE"/>
        </w:rPr>
        <w:t> </w:t>
      </w:r>
      <w:r w:rsidRPr="000E7AE9">
        <w:rPr>
          <w:color w:val="000000"/>
          <w:szCs w:val="22"/>
          <w:lang w:val="sv-SE"/>
        </w:rPr>
        <w:t>% hade tidigare genomgått en be</w:t>
      </w:r>
      <w:r>
        <w:rPr>
          <w:color w:val="000000"/>
          <w:szCs w:val="22"/>
          <w:lang w:val="sv-SE"/>
        </w:rPr>
        <w:t>n</w:t>
      </w:r>
      <w:r w:rsidRPr="000E7AE9">
        <w:rPr>
          <w:color w:val="000000"/>
          <w:szCs w:val="22"/>
          <w:lang w:val="sv-SE"/>
        </w:rPr>
        <w:t>märgstransplantation, BMT och 73</w:t>
      </w:r>
      <w:r>
        <w:rPr>
          <w:color w:val="000000"/>
          <w:szCs w:val="22"/>
          <w:lang w:val="sv-SE"/>
        </w:rPr>
        <w:t> </w:t>
      </w:r>
      <w:r w:rsidRPr="000E7AE9">
        <w:rPr>
          <w:color w:val="000000"/>
          <w:szCs w:val="22"/>
          <w:lang w:val="sv-SE"/>
        </w:rPr>
        <w:t>% kombinationskemoterapi. Patienterna behandlades med doser av Glivec om 260 mg/m</w:t>
      </w:r>
      <w:r w:rsidRPr="000E7AE9">
        <w:rPr>
          <w:color w:val="000000"/>
          <w:szCs w:val="22"/>
          <w:vertAlign w:val="superscript"/>
          <w:lang w:val="sv-SE"/>
        </w:rPr>
        <w:t>2</w:t>
      </w:r>
      <w:r w:rsidRPr="000E7AE9">
        <w:rPr>
          <w:color w:val="000000"/>
          <w:szCs w:val="22"/>
          <w:lang w:val="sv-SE"/>
        </w:rPr>
        <w:t>/dag (n=5), 340 mg/m</w:t>
      </w:r>
      <w:r w:rsidRPr="000E7AE9">
        <w:rPr>
          <w:color w:val="000000"/>
          <w:szCs w:val="22"/>
          <w:vertAlign w:val="superscript"/>
          <w:lang w:val="sv-SE"/>
        </w:rPr>
        <w:t>2</w:t>
      </w:r>
      <w:r w:rsidRPr="000E7AE9">
        <w:rPr>
          <w:color w:val="000000"/>
          <w:szCs w:val="22"/>
          <w:lang w:val="sv-SE"/>
        </w:rPr>
        <w:t>/dag (n=9), 440 mg/m</w:t>
      </w:r>
      <w:r w:rsidRPr="000E7AE9">
        <w:rPr>
          <w:color w:val="000000"/>
          <w:szCs w:val="22"/>
          <w:vertAlign w:val="superscript"/>
          <w:lang w:val="sv-SE"/>
        </w:rPr>
        <w:t>2</w:t>
      </w:r>
      <w:r w:rsidRPr="000E7AE9">
        <w:rPr>
          <w:color w:val="000000"/>
          <w:szCs w:val="22"/>
          <w:lang w:val="sv-SE"/>
        </w:rPr>
        <w:t>/dag (n=7) och 570 mg/m</w:t>
      </w:r>
      <w:r w:rsidRPr="000E7AE9">
        <w:rPr>
          <w:color w:val="000000"/>
          <w:szCs w:val="22"/>
          <w:vertAlign w:val="superscript"/>
          <w:lang w:val="sv-SE"/>
        </w:rPr>
        <w:t>2</w:t>
      </w:r>
      <w:r w:rsidRPr="000E7AE9">
        <w:rPr>
          <w:color w:val="000000"/>
          <w:szCs w:val="22"/>
          <w:lang w:val="sv-SE"/>
        </w:rPr>
        <w:t>/dag (n=5). Av 9 patienter med KML i kronisk fas och tillgängliga cytogenetiska data, uppnådde 4 (44</w:t>
      </w:r>
      <w:r>
        <w:rPr>
          <w:color w:val="000000"/>
          <w:szCs w:val="22"/>
          <w:lang w:val="sv-SE"/>
        </w:rPr>
        <w:t> </w:t>
      </w:r>
      <w:r w:rsidRPr="000E7AE9">
        <w:rPr>
          <w:color w:val="000000"/>
          <w:szCs w:val="22"/>
          <w:lang w:val="sv-SE"/>
        </w:rPr>
        <w:t>%) respektive 3 (33</w:t>
      </w:r>
      <w:r>
        <w:rPr>
          <w:color w:val="000000"/>
          <w:szCs w:val="22"/>
          <w:lang w:val="sv-SE"/>
        </w:rPr>
        <w:t> </w:t>
      </w:r>
      <w:r w:rsidRPr="000E7AE9">
        <w:rPr>
          <w:color w:val="000000"/>
          <w:szCs w:val="22"/>
          <w:lang w:val="sv-SE"/>
        </w:rPr>
        <w:t>%) ett fullständigt respektive partiellt cytogenetiskt svar, med ett behandlingssvar av BCyS på 77</w:t>
      </w:r>
      <w:r>
        <w:rPr>
          <w:color w:val="000000"/>
          <w:szCs w:val="22"/>
          <w:lang w:val="sv-SE"/>
        </w:rPr>
        <w:t> </w:t>
      </w:r>
      <w:r w:rsidRPr="000E7AE9">
        <w:rPr>
          <w:color w:val="000000"/>
          <w:szCs w:val="22"/>
          <w:lang w:val="sv-SE"/>
        </w:rPr>
        <w:t>%.</w:t>
      </w:r>
    </w:p>
    <w:p w14:paraId="0FEBD541" w14:textId="77777777" w:rsidR="00547CA2" w:rsidRPr="000E7AE9" w:rsidRDefault="00547CA2" w:rsidP="00463647">
      <w:pPr>
        <w:pStyle w:val="EndnoteText"/>
        <w:widowControl w:val="0"/>
        <w:tabs>
          <w:tab w:val="clear" w:pos="567"/>
        </w:tabs>
        <w:rPr>
          <w:color w:val="000000"/>
          <w:szCs w:val="22"/>
          <w:lang w:val="sv-SE"/>
        </w:rPr>
      </w:pPr>
    </w:p>
    <w:p w14:paraId="6560D742" w14:textId="77777777" w:rsidR="00547CA2" w:rsidRPr="000E7AE9" w:rsidRDefault="00547CA2" w:rsidP="00463647">
      <w:pPr>
        <w:pStyle w:val="EndnoteText"/>
        <w:widowControl w:val="0"/>
        <w:rPr>
          <w:color w:val="000000"/>
          <w:szCs w:val="22"/>
          <w:lang w:val="sv-SE"/>
        </w:rPr>
      </w:pPr>
      <w:r w:rsidRPr="000E7AE9">
        <w:rPr>
          <w:color w:val="000000"/>
          <w:szCs w:val="22"/>
          <w:lang w:val="sv-SE"/>
        </w:rPr>
        <w:t>Totalt 51 barn med nyligen diagnosticerad och obehandlad KML i kronisk fas har enrollerats i en öppen, multicenter, enkelarmad fas II-studie. Patienter behandlades med Glivec om 340 mg/m</w:t>
      </w:r>
      <w:r w:rsidRPr="000E7AE9">
        <w:rPr>
          <w:color w:val="000000"/>
          <w:szCs w:val="22"/>
          <w:vertAlign w:val="superscript"/>
          <w:lang w:val="sv-SE"/>
        </w:rPr>
        <w:t>2</w:t>
      </w:r>
      <w:r w:rsidRPr="000E7AE9">
        <w:rPr>
          <w:color w:val="000000"/>
          <w:szCs w:val="22"/>
          <w:lang w:val="sv-SE"/>
        </w:rPr>
        <w:t>/dag, utan avbrott i frånvaro av dosbegränsande toxicitet. Glivec-behandling inducerar ett snabbt svar hos nyligen diagnosticerade barn med KML med ett FHS om 78</w:t>
      </w:r>
      <w:r>
        <w:rPr>
          <w:color w:val="000000"/>
          <w:szCs w:val="22"/>
          <w:lang w:val="sv-SE"/>
        </w:rPr>
        <w:t> </w:t>
      </w:r>
      <w:r w:rsidRPr="000E7AE9">
        <w:rPr>
          <w:color w:val="000000"/>
          <w:szCs w:val="22"/>
          <w:lang w:val="sv-SE"/>
        </w:rPr>
        <w:t>% efter 8 veckors behandling. Den höga graden av FHS åtföljs av utveckling av ett fullständigt cytogenetiskt svar (FCyS) om 65</w:t>
      </w:r>
      <w:r>
        <w:rPr>
          <w:color w:val="000000"/>
          <w:szCs w:val="22"/>
          <w:lang w:val="sv-SE"/>
        </w:rPr>
        <w:t> </w:t>
      </w:r>
      <w:r w:rsidRPr="000E7AE9">
        <w:rPr>
          <w:color w:val="000000"/>
          <w:szCs w:val="22"/>
          <w:lang w:val="sv-SE"/>
        </w:rPr>
        <w:t>% vilket är jämförbart med resultaten som observerats hos vuxna. Dessutom observerades ett partiellt cytogenetiskt svar (PCyS) hos 16</w:t>
      </w:r>
      <w:r>
        <w:rPr>
          <w:color w:val="000000"/>
          <w:szCs w:val="22"/>
          <w:lang w:val="sv-SE"/>
        </w:rPr>
        <w:t> </w:t>
      </w:r>
      <w:r w:rsidRPr="000E7AE9">
        <w:rPr>
          <w:color w:val="000000"/>
          <w:szCs w:val="22"/>
          <w:lang w:val="sv-SE"/>
        </w:rPr>
        <w:t>% för ett BCyS om 81</w:t>
      </w:r>
      <w:r>
        <w:rPr>
          <w:color w:val="000000"/>
          <w:szCs w:val="22"/>
          <w:lang w:val="sv-SE"/>
        </w:rPr>
        <w:t> </w:t>
      </w:r>
      <w:r w:rsidRPr="000E7AE9">
        <w:rPr>
          <w:color w:val="000000"/>
          <w:szCs w:val="22"/>
          <w:lang w:val="sv-SE"/>
        </w:rPr>
        <w:t>%. Majoriteten av patienterna som nådde ett FCyS utvecklade FCyS mellan månaderna 3 och 10 med en mediantid till svar baserat på Kaplan-Meier-estimat på 5,6 månader.</w:t>
      </w:r>
    </w:p>
    <w:p w14:paraId="4F2EE51A" w14:textId="77777777" w:rsidR="00547CA2" w:rsidRDefault="00547CA2" w:rsidP="00463647">
      <w:pPr>
        <w:pStyle w:val="EndnoteText"/>
        <w:widowControl w:val="0"/>
        <w:tabs>
          <w:tab w:val="clear" w:pos="567"/>
        </w:tabs>
        <w:rPr>
          <w:color w:val="000000"/>
          <w:szCs w:val="22"/>
          <w:lang w:val="sv-SE"/>
        </w:rPr>
      </w:pPr>
    </w:p>
    <w:p w14:paraId="55180663" w14:textId="77777777" w:rsidR="00547CA2" w:rsidRDefault="00547CA2" w:rsidP="00463647">
      <w:pPr>
        <w:pStyle w:val="EndnoteText"/>
        <w:widowControl w:val="0"/>
        <w:tabs>
          <w:tab w:val="clear" w:pos="567"/>
        </w:tabs>
        <w:rPr>
          <w:color w:val="000000"/>
          <w:szCs w:val="22"/>
          <w:lang w:val="sv-SE"/>
        </w:rPr>
      </w:pPr>
      <w:r>
        <w:rPr>
          <w:color w:val="000000"/>
          <w:szCs w:val="22"/>
          <w:lang w:val="sv-SE"/>
        </w:rPr>
        <w:t xml:space="preserve">Europeiska läkemedelsmyndigheten har </w:t>
      </w:r>
      <w:r w:rsidR="0039431C">
        <w:rPr>
          <w:color w:val="000000"/>
          <w:szCs w:val="22"/>
          <w:lang w:val="sv-SE"/>
        </w:rPr>
        <w:t>beviljat undantag från</w:t>
      </w:r>
      <w:r>
        <w:rPr>
          <w:color w:val="000000"/>
          <w:szCs w:val="22"/>
          <w:lang w:val="sv-SE"/>
        </w:rPr>
        <w:t xml:space="preserve"> kravet att skicka in studieresultat för Glivec för alla grupper av den pediatriska populationen för </w:t>
      </w:r>
      <w:r w:rsidRPr="000E7AE9">
        <w:rPr>
          <w:color w:val="000000"/>
          <w:szCs w:val="22"/>
          <w:lang w:val="sv-SE"/>
        </w:rPr>
        <w:t>Philadelphiak</w:t>
      </w:r>
      <w:r>
        <w:rPr>
          <w:color w:val="000000"/>
          <w:szCs w:val="22"/>
          <w:lang w:val="sv-SE"/>
        </w:rPr>
        <w:t xml:space="preserve">romosom- (bcr-abl </w:t>
      </w:r>
      <w:r>
        <w:rPr>
          <w:color w:val="000000"/>
          <w:szCs w:val="22"/>
          <w:lang w:val="sv-SE"/>
        </w:rPr>
        <w:lastRenderedPageBreak/>
        <w:t>translokation)-positiv</w:t>
      </w:r>
      <w:r w:rsidRPr="000E7AE9">
        <w:rPr>
          <w:color w:val="000000"/>
          <w:szCs w:val="22"/>
          <w:lang w:val="sv-SE"/>
        </w:rPr>
        <w:t xml:space="preserve"> kronisk myeloisk leukemi</w:t>
      </w:r>
      <w:r>
        <w:rPr>
          <w:color w:val="000000"/>
          <w:szCs w:val="22"/>
          <w:lang w:val="sv-SE"/>
        </w:rPr>
        <w:t xml:space="preserve"> (information om pediatrisk användning finns i avsnitt 4.2).</w:t>
      </w:r>
    </w:p>
    <w:p w14:paraId="15B9EC0B" w14:textId="77777777" w:rsidR="00547CA2" w:rsidRPr="000E7AE9" w:rsidRDefault="00547CA2" w:rsidP="00463647">
      <w:pPr>
        <w:pStyle w:val="EndnoteText"/>
        <w:widowControl w:val="0"/>
        <w:tabs>
          <w:tab w:val="clear" w:pos="567"/>
        </w:tabs>
        <w:rPr>
          <w:color w:val="000000"/>
          <w:szCs w:val="22"/>
          <w:lang w:val="sv-SE"/>
        </w:rPr>
      </w:pPr>
    </w:p>
    <w:p w14:paraId="18A120F0" w14:textId="77777777" w:rsidR="00547CA2" w:rsidRPr="000E7AE9" w:rsidRDefault="00547CA2" w:rsidP="00463647">
      <w:pPr>
        <w:pStyle w:val="EndnoteText"/>
        <w:keepNext/>
        <w:widowControl w:val="0"/>
        <w:rPr>
          <w:color w:val="000000"/>
          <w:szCs w:val="22"/>
          <w:u w:val="single"/>
          <w:lang w:val="sv-SE"/>
        </w:rPr>
      </w:pPr>
      <w:r w:rsidRPr="000E7AE9">
        <w:rPr>
          <w:color w:val="000000"/>
          <w:szCs w:val="22"/>
          <w:u w:val="single"/>
          <w:lang w:val="sv-SE"/>
        </w:rPr>
        <w:t>Kliniska studier vid Ph+ ALL</w:t>
      </w:r>
    </w:p>
    <w:p w14:paraId="787960D7" w14:textId="77777777" w:rsidR="00547CA2" w:rsidRPr="000E7AE9" w:rsidRDefault="00547CA2" w:rsidP="00463647">
      <w:pPr>
        <w:pStyle w:val="TextChar"/>
        <w:widowControl w:val="0"/>
        <w:spacing w:before="0"/>
        <w:jc w:val="left"/>
        <w:rPr>
          <w:color w:val="000000"/>
          <w:sz w:val="22"/>
          <w:szCs w:val="22"/>
          <w:lang w:val="sv-SE"/>
        </w:rPr>
      </w:pPr>
      <w:r w:rsidRPr="000E7AE9">
        <w:rPr>
          <w:i/>
          <w:color w:val="000000"/>
          <w:sz w:val="22"/>
          <w:szCs w:val="22"/>
          <w:lang w:val="sv-SE"/>
        </w:rPr>
        <w:t>Nydiagnostiserade Ph+ ALL</w:t>
      </w:r>
      <w:r w:rsidRPr="000E7AE9">
        <w:rPr>
          <w:color w:val="000000"/>
          <w:sz w:val="22"/>
          <w:szCs w:val="22"/>
          <w:lang w:val="sv-SE"/>
        </w:rPr>
        <w:t>: I en kontrollerad studie (ADE10) på induktion av imatinib kontra kemoterapi på 55 nydiagnostiserade patienter som var 55 år och äldre, inducerade imatinib, använt som monoterapi, fullständigt hematologiskt svar i väsentligt högre grad än kemoterapi (96,3</w:t>
      </w:r>
      <w:r>
        <w:rPr>
          <w:color w:val="000000"/>
          <w:sz w:val="22"/>
          <w:szCs w:val="22"/>
          <w:lang w:val="sv-SE"/>
        </w:rPr>
        <w:t> </w:t>
      </w:r>
      <w:r w:rsidRPr="000E7AE9">
        <w:rPr>
          <w:color w:val="000000"/>
          <w:sz w:val="22"/>
          <w:szCs w:val="22"/>
          <w:lang w:val="sv-SE"/>
        </w:rPr>
        <w:t>% kontra 50</w:t>
      </w:r>
      <w:r>
        <w:rPr>
          <w:color w:val="000000"/>
          <w:sz w:val="22"/>
          <w:szCs w:val="22"/>
          <w:lang w:val="sv-SE"/>
        </w:rPr>
        <w:t> </w:t>
      </w:r>
      <w:r w:rsidRPr="000E7AE9">
        <w:rPr>
          <w:color w:val="000000"/>
          <w:sz w:val="22"/>
          <w:szCs w:val="22"/>
          <w:lang w:val="sv-SE"/>
        </w:rPr>
        <w:t>%; p=0,0001). När räddningsbehandling med imatinib administrerades på patienter som inte svarade på, alternativt svarade dåligt på kemoterapi, ledde detta till att 9 (81,8</w:t>
      </w:r>
      <w:r>
        <w:rPr>
          <w:color w:val="000000"/>
          <w:sz w:val="22"/>
          <w:szCs w:val="22"/>
          <w:lang w:val="sv-SE"/>
        </w:rPr>
        <w:t> </w:t>
      </w:r>
      <w:r w:rsidRPr="000E7AE9">
        <w:rPr>
          <w:color w:val="000000"/>
          <w:sz w:val="22"/>
          <w:szCs w:val="22"/>
          <w:lang w:val="sv-SE"/>
        </w:rPr>
        <w:t>%) av 11 patienter uppnådde fullständigt hematologiskt svar. Denna kliniska effekt sammankopplades med högre reduktion av bcr-abl-transkript hos de patienter som behandlats med imatinib än för kemoterapiarmen efter 2 veckors behandling (p=0,02). Samtliga patienter fick imatinib och konsolideringskemoterapi (se Tabell </w:t>
      </w:r>
      <w:r w:rsidR="00BA7C65">
        <w:rPr>
          <w:color w:val="000000"/>
          <w:sz w:val="22"/>
          <w:szCs w:val="22"/>
          <w:lang w:val="sv-SE"/>
        </w:rPr>
        <w:t>4</w:t>
      </w:r>
      <w:r w:rsidRPr="000E7AE9">
        <w:rPr>
          <w:color w:val="000000"/>
          <w:sz w:val="22"/>
          <w:szCs w:val="22"/>
          <w:lang w:val="sv-SE"/>
        </w:rPr>
        <w:t>) efter induktion och nivåerna av bcr-abl-transkript var identiska för de två armarna vid 8 veckor. Som förväntat på grund av studiens utformning</w:t>
      </w:r>
      <w:r w:rsidRPr="000E7AE9">
        <w:rPr>
          <w:rFonts w:eastAsia="MS Mincho"/>
          <w:color w:val="000000"/>
          <w:sz w:val="22"/>
          <w:szCs w:val="22"/>
          <w:lang w:val="sv-SE" w:eastAsia="ja-JP"/>
        </w:rPr>
        <w:t>, observerades ingen skillnad i remissionsduration eller sjukdomsfri och total överlevnad, trots att patienter med fullständigt molekylärt svar och fortsatt minimal resterande sjukdom, hade bättre utfall både när det gäller remissionsduration (p=0,01) och sjukdomsfri överlevnad (p=0,02)</w:t>
      </w:r>
      <w:r w:rsidRPr="000E7AE9">
        <w:rPr>
          <w:color w:val="000000"/>
          <w:sz w:val="22"/>
          <w:szCs w:val="22"/>
          <w:lang w:val="sv-SE"/>
        </w:rPr>
        <w:t>.</w:t>
      </w:r>
    </w:p>
    <w:p w14:paraId="63850726" w14:textId="77777777" w:rsidR="00547CA2" w:rsidRPr="000E7AE9" w:rsidRDefault="00547CA2" w:rsidP="00463647">
      <w:pPr>
        <w:pStyle w:val="TextChar"/>
        <w:widowControl w:val="0"/>
        <w:spacing w:before="0"/>
        <w:jc w:val="left"/>
        <w:rPr>
          <w:color w:val="000000"/>
          <w:sz w:val="22"/>
          <w:szCs w:val="22"/>
          <w:lang w:val="sv-SE"/>
        </w:rPr>
      </w:pPr>
    </w:p>
    <w:p w14:paraId="01701E24" w14:textId="77777777" w:rsidR="00547CA2" w:rsidRPr="000E7AE9" w:rsidRDefault="00547CA2" w:rsidP="00463647">
      <w:pPr>
        <w:pStyle w:val="EndnoteText"/>
        <w:widowControl w:val="0"/>
        <w:rPr>
          <w:color w:val="000000"/>
          <w:szCs w:val="22"/>
          <w:lang w:val="sv-SE"/>
        </w:rPr>
      </w:pPr>
      <w:r w:rsidRPr="000E7AE9">
        <w:rPr>
          <w:color w:val="000000"/>
          <w:szCs w:val="22"/>
          <w:lang w:val="sv-SE"/>
        </w:rPr>
        <w:t>Resultaten som observerades i en population på 211 nydiagnostiserade Ph+ ALL-patienter i fyra okontrollerade kliniska studier (AAU02, ADE04, AJP01 och AUS01) stämmer överens med resultaten som beskrivs ovan. Imatinib kombinerat med kemoterapiinduktion (se Tabell </w:t>
      </w:r>
      <w:r w:rsidR="00BA7C65">
        <w:rPr>
          <w:color w:val="000000"/>
          <w:szCs w:val="22"/>
          <w:lang w:val="sv-SE"/>
        </w:rPr>
        <w:t>4</w:t>
      </w:r>
      <w:r w:rsidRPr="000E7AE9">
        <w:rPr>
          <w:color w:val="000000"/>
          <w:szCs w:val="22"/>
          <w:lang w:val="sv-SE"/>
        </w:rPr>
        <w:t>) ledde till en frekvens på 93</w:t>
      </w:r>
      <w:r>
        <w:rPr>
          <w:color w:val="000000"/>
          <w:szCs w:val="22"/>
          <w:lang w:val="sv-SE"/>
        </w:rPr>
        <w:t> </w:t>
      </w:r>
      <w:r w:rsidRPr="000E7AE9">
        <w:rPr>
          <w:color w:val="000000"/>
          <w:szCs w:val="22"/>
          <w:lang w:val="sv-SE"/>
        </w:rPr>
        <w:t>% för fullständigt hematologiskt svar (147 av 158 utvärderbara patienter) och 90</w:t>
      </w:r>
      <w:r>
        <w:rPr>
          <w:color w:val="000000"/>
          <w:szCs w:val="22"/>
          <w:lang w:val="sv-SE"/>
        </w:rPr>
        <w:t> </w:t>
      </w:r>
      <w:r w:rsidRPr="000E7AE9">
        <w:rPr>
          <w:color w:val="000000"/>
          <w:szCs w:val="22"/>
          <w:lang w:val="sv-SE"/>
        </w:rPr>
        <w:t>% för betydande cytogenetiskt svar (19 av 21 utvärderbara patienter). Frekvensen var 48</w:t>
      </w:r>
      <w:r>
        <w:rPr>
          <w:color w:val="000000"/>
          <w:szCs w:val="22"/>
          <w:lang w:val="sv-SE"/>
        </w:rPr>
        <w:t> </w:t>
      </w:r>
      <w:r w:rsidRPr="000E7AE9">
        <w:rPr>
          <w:color w:val="000000"/>
          <w:szCs w:val="22"/>
          <w:lang w:val="sv-SE"/>
        </w:rPr>
        <w:t>% för fullständigt molekylärt svar (49 av 102 utvärderbara patienter). Sjukdomsfri överlevnad (SFÖ) och total överlevnad (TÖ) överskred konstant 1 år och var större än historiska kontroller (SFÖ p&lt;0,001; TÖ p&lt;0,0001) i två studier (AJP01 och AUS01).</w:t>
      </w:r>
    </w:p>
    <w:p w14:paraId="4540FCAE" w14:textId="77777777" w:rsidR="00547CA2" w:rsidRPr="000E7AE9" w:rsidRDefault="00547CA2" w:rsidP="00463647">
      <w:pPr>
        <w:pStyle w:val="EndnoteText"/>
        <w:widowControl w:val="0"/>
        <w:rPr>
          <w:color w:val="000000"/>
          <w:szCs w:val="22"/>
          <w:lang w:val="sv-SE"/>
        </w:rPr>
      </w:pPr>
    </w:p>
    <w:p w14:paraId="692A827D" w14:textId="77777777" w:rsidR="00547CA2" w:rsidRPr="000E7AE9" w:rsidRDefault="00547CA2" w:rsidP="00463647">
      <w:pPr>
        <w:pStyle w:val="EndnoteText"/>
        <w:keepNext/>
        <w:widowControl w:val="0"/>
        <w:rPr>
          <w:b/>
          <w:bCs/>
          <w:color w:val="000000"/>
          <w:szCs w:val="22"/>
          <w:lang w:val="sv-SE"/>
        </w:rPr>
      </w:pPr>
      <w:r w:rsidRPr="000E7AE9">
        <w:rPr>
          <w:b/>
          <w:bCs/>
          <w:color w:val="000000"/>
          <w:szCs w:val="22"/>
          <w:lang w:val="sv-SE"/>
        </w:rPr>
        <w:t>Tabell </w:t>
      </w:r>
      <w:r w:rsidR="00BA7C65">
        <w:rPr>
          <w:b/>
          <w:bCs/>
          <w:color w:val="000000"/>
          <w:szCs w:val="22"/>
          <w:lang w:val="sv-SE"/>
        </w:rPr>
        <w:t>4</w:t>
      </w:r>
      <w:r w:rsidRPr="000E7AE9">
        <w:rPr>
          <w:b/>
          <w:bCs/>
          <w:color w:val="000000"/>
          <w:szCs w:val="22"/>
          <w:lang w:val="sv-SE"/>
        </w:rPr>
        <w:tab/>
        <w:t>Kem</w:t>
      </w:r>
      <w:r w:rsidRPr="000E7AE9">
        <w:rPr>
          <w:b/>
          <w:color w:val="000000"/>
          <w:szCs w:val="22"/>
          <w:lang w:val="sv-SE"/>
        </w:rPr>
        <w:t>oterapi-behandling i kombination med imatinib</w:t>
      </w:r>
    </w:p>
    <w:p w14:paraId="1EDCF491" w14:textId="77777777" w:rsidR="00547CA2" w:rsidRPr="000E7AE9" w:rsidRDefault="00547CA2" w:rsidP="00463647">
      <w:pPr>
        <w:pStyle w:val="EndnoteText"/>
        <w:keepNext/>
        <w:widowControl w:val="0"/>
        <w:rPr>
          <w:color w:val="000000"/>
          <w:szCs w:val="22"/>
          <w:lang w:val="sv-SE"/>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547CA2" w:rsidRPr="000E7AE9" w14:paraId="2E9B4CD4" w14:textId="77777777" w:rsidTr="0040304A">
        <w:trPr>
          <w:cantSplit/>
        </w:trPr>
        <w:tc>
          <w:tcPr>
            <w:tcW w:w="2148" w:type="dxa"/>
            <w:tcBorders>
              <w:top w:val="single" w:sz="4" w:space="0" w:color="auto"/>
              <w:bottom w:val="single" w:sz="4" w:space="0" w:color="auto"/>
            </w:tcBorders>
            <w:shd w:val="clear" w:color="auto" w:fill="auto"/>
          </w:tcPr>
          <w:p w14:paraId="1D9F1B85"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b/>
                <w:color w:val="000000"/>
                <w:sz w:val="22"/>
                <w:szCs w:val="22"/>
                <w:lang w:val="sv-SE"/>
              </w:rPr>
              <w:t>Studie ADE10</w:t>
            </w:r>
          </w:p>
        </w:tc>
        <w:tc>
          <w:tcPr>
            <w:tcW w:w="6732" w:type="dxa"/>
            <w:gridSpan w:val="4"/>
            <w:tcBorders>
              <w:top w:val="single" w:sz="4" w:space="0" w:color="auto"/>
              <w:bottom w:val="single" w:sz="4" w:space="0" w:color="auto"/>
            </w:tcBorders>
            <w:shd w:val="clear" w:color="auto" w:fill="auto"/>
          </w:tcPr>
          <w:p w14:paraId="7BEF83AC"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r>
      <w:tr w:rsidR="00547CA2" w:rsidRPr="000E7AE9" w14:paraId="64FFD1BB" w14:textId="77777777" w:rsidTr="0040304A">
        <w:trPr>
          <w:cantSplit/>
        </w:trPr>
        <w:tc>
          <w:tcPr>
            <w:tcW w:w="2148" w:type="dxa"/>
            <w:tcBorders>
              <w:top w:val="single" w:sz="4" w:space="0" w:color="auto"/>
              <w:bottom w:val="single" w:sz="4" w:space="0" w:color="auto"/>
            </w:tcBorders>
            <w:shd w:val="clear" w:color="auto" w:fill="auto"/>
          </w:tcPr>
          <w:p w14:paraId="16DF37DC"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Förberedande fas</w:t>
            </w:r>
          </w:p>
        </w:tc>
        <w:tc>
          <w:tcPr>
            <w:tcW w:w="6732" w:type="dxa"/>
            <w:gridSpan w:val="4"/>
            <w:tcBorders>
              <w:top w:val="single" w:sz="4" w:space="0" w:color="auto"/>
              <w:bottom w:val="single" w:sz="4" w:space="0" w:color="auto"/>
            </w:tcBorders>
            <w:shd w:val="clear" w:color="auto" w:fill="auto"/>
          </w:tcPr>
          <w:p w14:paraId="0C6EBA68"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1-5;</w:t>
            </w:r>
          </w:p>
          <w:p w14:paraId="0EF1E633"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200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3, 4, 5;</w:t>
            </w:r>
          </w:p>
          <w:p w14:paraId="7118F1C4"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12 mg intratekal, dag 1</w:t>
            </w:r>
          </w:p>
        </w:tc>
      </w:tr>
      <w:tr w:rsidR="00547CA2" w:rsidRPr="00644A2E" w14:paraId="122AF178" w14:textId="77777777" w:rsidTr="0040304A">
        <w:trPr>
          <w:cantSplit/>
        </w:trPr>
        <w:tc>
          <w:tcPr>
            <w:tcW w:w="2148" w:type="dxa"/>
            <w:tcBorders>
              <w:top w:val="single" w:sz="4" w:space="0" w:color="auto"/>
              <w:bottom w:val="single" w:sz="4" w:space="0" w:color="auto"/>
            </w:tcBorders>
            <w:shd w:val="clear" w:color="auto" w:fill="auto"/>
          </w:tcPr>
          <w:p w14:paraId="451DD191"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Remissionsinduktion</w:t>
            </w:r>
          </w:p>
        </w:tc>
        <w:tc>
          <w:tcPr>
            <w:tcW w:w="6732" w:type="dxa"/>
            <w:gridSpan w:val="4"/>
            <w:tcBorders>
              <w:top w:val="single" w:sz="4" w:space="0" w:color="auto"/>
              <w:bottom w:val="single" w:sz="4" w:space="0" w:color="auto"/>
            </w:tcBorders>
            <w:shd w:val="clear" w:color="auto" w:fill="auto"/>
          </w:tcPr>
          <w:p w14:paraId="23FD9154"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6-7, 13-16;</w:t>
            </w:r>
          </w:p>
          <w:p w14:paraId="51BCFB56"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VCR 1 mg i.v., dagar 7, 14;</w:t>
            </w:r>
          </w:p>
          <w:p w14:paraId="5A02F871"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IDA 8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(0.5 tim), dagar 7, 8, 14, 15;</w:t>
            </w:r>
          </w:p>
          <w:p w14:paraId="3F01FDF6"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500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i.v.(1 tim) dag 1;</w:t>
            </w:r>
          </w:p>
          <w:p w14:paraId="4A78AA52"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22-25, 29-32</w:t>
            </w:r>
          </w:p>
        </w:tc>
      </w:tr>
      <w:tr w:rsidR="00547CA2" w:rsidRPr="00644A2E" w14:paraId="6BA27A70" w14:textId="77777777" w:rsidTr="0040304A">
        <w:trPr>
          <w:cantSplit/>
        </w:trPr>
        <w:tc>
          <w:tcPr>
            <w:tcW w:w="2148" w:type="dxa"/>
            <w:tcBorders>
              <w:top w:val="single" w:sz="4" w:space="0" w:color="auto"/>
              <w:bottom w:val="single" w:sz="4" w:space="0" w:color="auto"/>
            </w:tcBorders>
            <w:shd w:val="clear" w:color="auto" w:fill="auto"/>
          </w:tcPr>
          <w:p w14:paraId="147E4EBB"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Konsoliderings</w:t>
            </w:r>
            <w:r w:rsidRPr="000E7AE9">
              <w:rPr>
                <w:rFonts w:ascii="Times New Roman" w:hAnsi="Times New Roman"/>
                <w:color w:val="000000"/>
                <w:sz w:val="22"/>
                <w:szCs w:val="22"/>
                <w:lang w:val="sv-SE"/>
              </w:rPr>
              <w:softHyphen/>
              <w:t>behandling I, III, V</w:t>
            </w:r>
          </w:p>
        </w:tc>
        <w:tc>
          <w:tcPr>
            <w:tcW w:w="6732" w:type="dxa"/>
            <w:gridSpan w:val="4"/>
            <w:tcBorders>
              <w:top w:val="single" w:sz="4" w:space="0" w:color="auto"/>
              <w:bottom w:val="single" w:sz="4" w:space="0" w:color="auto"/>
            </w:tcBorders>
            <w:shd w:val="clear" w:color="auto" w:fill="auto"/>
          </w:tcPr>
          <w:p w14:paraId="4C9F1002"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500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(24 tim), dagar 1, 15;</w:t>
            </w:r>
          </w:p>
          <w:p w14:paraId="0D35FFC9"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6-MP 25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1-20</w:t>
            </w:r>
          </w:p>
        </w:tc>
      </w:tr>
      <w:tr w:rsidR="00547CA2" w:rsidRPr="00644A2E" w14:paraId="6A13DABC" w14:textId="77777777" w:rsidTr="0040304A">
        <w:trPr>
          <w:cantSplit/>
        </w:trPr>
        <w:tc>
          <w:tcPr>
            <w:tcW w:w="2148" w:type="dxa"/>
            <w:tcBorders>
              <w:top w:val="single" w:sz="4" w:space="0" w:color="auto"/>
              <w:bottom w:val="single" w:sz="4" w:space="0" w:color="auto"/>
            </w:tcBorders>
            <w:shd w:val="clear" w:color="auto" w:fill="auto"/>
          </w:tcPr>
          <w:p w14:paraId="53401246" w14:textId="77777777" w:rsidR="00547CA2" w:rsidRPr="000E7AE9"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Konsoliderings</w:t>
            </w:r>
            <w:r w:rsidRPr="000E7AE9">
              <w:rPr>
                <w:rFonts w:ascii="Times New Roman" w:hAnsi="Times New Roman"/>
                <w:color w:val="000000"/>
                <w:sz w:val="22"/>
                <w:szCs w:val="22"/>
                <w:lang w:val="sv-SE"/>
              </w:rPr>
              <w:softHyphen/>
              <w:t>behandling II, IV</w:t>
            </w:r>
          </w:p>
        </w:tc>
        <w:tc>
          <w:tcPr>
            <w:tcW w:w="6732" w:type="dxa"/>
            <w:gridSpan w:val="4"/>
            <w:tcBorders>
              <w:top w:val="single" w:sz="4" w:space="0" w:color="auto"/>
              <w:bottom w:val="single" w:sz="4" w:space="0" w:color="auto"/>
            </w:tcBorders>
            <w:shd w:val="clear" w:color="auto" w:fill="auto"/>
          </w:tcPr>
          <w:p w14:paraId="5C09DD5F" w14:textId="77777777" w:rsidR="00547CA2"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75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1-5;</w:t>
            </w:r>
          </w:p>
          <w:p w14:paraId="017E6C78" w14:textId="77777777" w:rsidR="00547CA2" w:rsidRPr="000E7AE9"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VM26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1-5</w:t>
            </w:r>
          </w:p>
        </w:tc>
      </w:tr>
      <w:tr w:rsidR="00547CA2" w:rsidRPr="000E7AE9" w14:paraId="5592B2C9" w14:textId="77777777" w:rsidTr="0040304A">
        <w:trPr>
          <w:cantSplit/>
        </w:trPr>
        <w:tc>
          <w:tcPr>
            <w:tcW w:w="2148" w:type="dxa"/>
            <w:tcBorders>
              <w:top w:val="single" w:sz="4" w:space="0" w:color="auto"/>
              <w:bottom w:val="single" w:sz="4" w:space="0" w:color="auto"/>
            </w:tcBorders>
            <w:shd w:val="clear" w:color="auto" w:fill="auto"/>
          </w:tcPr>
          <w:p w14:paraId="16BB3F68" w14:textId="77777777" w:rsidR="00547CA2" w:rsidRPr="000E7AE9" w:rsidRDefault="00547CA2" w:rsidP="00463647">
            <w:pPr>
              <w:pStyle w:val="Table"/>
              <w:keepLines w:val="0"/>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Study AAU02</w:t>
            </w:r>
          </w:p>
        </w:tc>
        <w:tc>
          <w:tcPr>
            <w:tcW w:w="2652" w:type="dxa"/>
            <w:tcBorders>
              <w:top w:val="single" w:sz="4" w:space="0" w:color="auto"/>
              <w:bottom w:val="single" w:sz="4" w:space="0" w:color="auto"/>
            </w:tcBorders>
            <w:shd w:val="clear" w:color="auto" w:fill="auto"/>
          </w:tcPr>
          <w:p w14:paraId="287C474F"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c>
          <w:tcPr>
            <w:tcW w:w="1080" w:type="dxa"/>
            <w:tcBorders>
              <w:top w:val="single" w:sz="4" w:space="0" w:color="auto"/>
              <w:bottom w:val="single" w:sz="4" w:space="0" w:color="auto"/>
            </w:tcBorders>
          </w:tcPr>
          <w:p w14:paraId="42C862F6"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c>
          <w:tcPr>
            <w:tcW w:w="1380" w:type="dxa"/>
            <w:tcBorders>
              <w:top w:val="single" w:sz="4" w:space="0" w:color="auto"/>
              <w:bottom w:val="single" w:sz="4" w:space="0" w:color="auto"/>
            </w:tcBorders>
          </w:tcPr>
          <w:p w14:paraId="1C89593A"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c>
          <w:tcPr>
            <w:tcW w:w="1620" w:type="dxa"/>
            <w:tcBorders>
              <w:top w:val="single" w:sz="4" w:space="0" w:color="auto"/>
              <w:bottom w:val="single" w:sz="4" w:space="0" w:color="auto"/>
            </w:tcBorders>
          </w:tcPr>
          <w:p w14:paraId="5C30C216"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r>
      <w:tr w:rsidR="00547CA2" w:rsidRPr="000E7AE9" w14:paraId="20D458AD" w14:textId="77777777" w:rsidTr="0040304A">
        <w:trPr>
          <w:cantSplit/>
        </w:trPr>
        <w:tc>
          <w:tcPr>
            <w:tcW w:w="2148" w:type="dxa"/>
            <w:tcBorders>
              <w:top w:val="single" w:sz="4" w:space="0" w:color="auto"/>
              <w:bottom w:val="single" w:sz="4" w:space="0" w:color="auto"/>
            </w:tcBorders>
            <w:shd w:val="clear" w:color="auto" w:fill="auto"/>
          </w:tcPr>
          <w:p w14:paraId="77E1BF54"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Induktions</w:t>
            </w:r>
            <w:r w:rsidRPr="000E7AE9">
              <w:rPr>
                <w:rFonts w:ascii="Times New Roman" w:hAnsi="Times New Roman"/>
                <w:color w:val="000000"/>
                <w:sz w:val="22"/>
                <w:szCs w:val="22"/>
                <w:lang w:val="sv-SE"/>
              </w:rPr>
              <w:softHyphen/>
              <w:t>behandling (</w:t>
            </w:r>
            <w:r w:rsidRPr="000E7AE9">
              <w:rPr>
                <w:rFonts w:ascii="Times New Roman" w:hAnsi="Times New Roman"/>
                <w:i/>
                <w:color w:val="000000"/>
                <w:sz w:val="22"/>
                <w:szCs w:val="22"/>
                <w:lang w:val="sv-SE"/>
              </w:rPr>
              <w:t>de novo</w:t>
            </w:r>
            <w:r w:rsidRPr="000E7AE9">
              <w:rPr>
                <w:rFonts w:ascii="Times New Roman" w:hAnsi="Times New Roman"/>
                <w:color w:val="000000"/>
                <w:sz w:val="22"/>
                <w:szCs w:val="22"/>
                <w:lang w:val="sv-SE"/>
              </w:rPr>
              <w:t xml:space="preserve"> Ph+ ALL)</w:t>
            </w:r>
          </w:p>
        </w:tc>
        <w:tc>
          <w:tcPr>
            <w:tcW w:w="6732" w:type="dxa"/>
            <w:gridSpan w:val="4"/>
            <w:tcBorders>
              <w:top w:val="single" w:sz="4" w:space="0" w:color="auto"/>
              <w:bottom w:val="single" w:sz="4" w:space="0" w:color="auto"/>
            </w:tcBorders>
            <w:shd w:val="clear" w:color="auto" w:fill="auto"/>
          </w:tcPr>
          <w:p w14:paraId="2A75F274"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Daunorubicin 30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1-3, 15-16;</w:t>
            </w:r>
          </w:p>
          <w:p w14:paraId="09E30637" w14:textId="77777777" w:rsidR="00547CA2" w:rsidRPr="008643C0" w:rsidRDefault="00547CA2" w:rsidP="00463647">
            <w:pPr>
              <w:pStyle w:val="Table"/>
              <w:keepLines w:val="0"/>
              <w:widowControl w:val="0"/>
              <w:spacing w:before="0" w:after="0"/>
              <w:rPr>
                <w:rFonts w:ascii="Times New Roman" w:hAnsi="Times New Roman"/>
                <w:color w:val="000000"/>
                <w:sz w:val="22"/>
                <w:szCs w:val="22"/>
                <w:lang w:val="es-ES"/>
              </w:rPr>
            </w:pPr>
            <w:r w:rsidRPr="008643C0">
              <w:rPr>
                <w:rFonts w:ascii="Times New Roman" w:hAnsi="Times New Roman"/>
                <w:color w:val="000000"/>
                <w:sz w:val="22"/>
                <w:szCs w:val="22"/>
                <w:lang w:val="es-ES"/>
              </w:rPr>
              <w:t>VCR 2 mg total dos i.v., dagar 1, 8, 15, 22;</w:t>
            </w:r>
          </w:p>
          <w:p w14:paraId="657216B0"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750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1, 8;</w:t>
            </w:r>
          </w:p>
          <w:p w14:paraId="64DD4C4E"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P</w:t>
            </w:r>
            <w:r w:rsidRPr="000E7AE9">
              <w:rPr>
                <w:rFonts w:ascii="Times New Roman" w:hAnsi="Times New Roman"/>
                <w:color w:val="000000"/>
                <w:sz w:val="22"/>
                <w:szCs w:val="22"/>
                <w:lang w:val="sv-SE"/>
              </w:rPr>
              <w:t>rednison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1-7, 15-21;</w:t>
            </w:r>
          </w:p>
          <w:p w14:paraId="18C53B88"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IDA 9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1-28;</w:t>
            </w:r>
          </w:p>
          <w:p w14:paraId="61899929"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15 mg intratekal, dagar 1, 8, 15, 22;</w:t>
            </w:r>
          </w:p>
          <w:p w14:paraId="76C5A20B"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40 mg intratekal, dagar 1, 8, 15, 22;</w:t>
            </w:r>
          </w:p>
          <w:p w14:paraId="16E66C45"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M</w:t>
            </w:r>
            <w:r w:rsidRPr="000E7AE9">
              <w:rPr>
                <w:rFonts w:ascii="Times New Roman" w:hAnsi="Times New Roman"/>
                <w:color w:val="000000"/>
                <w:sz w:val="22"/>
                <w:szCs w:val="22"/>
                <w:lang w:val="sv-SE"/>
              </w:rPr>
              <w:t>etylprednisolon 40 mg intratekal, dagar 1, 8, 15, 22</w:t>
            </w:r>
          </w:p>
        </w:tc>
      </w:tr>
      <w:tr w:rsidR="00547CA2" w:rsidRPr="00644A2E" w14:paraId="7A4054FA" w14:textId="77777777" w:rsidTr="0040304A">
        <w:trPr>
          <w:cantSplit/>
        </w:trPr>
        <w:tc>
          <w:tcPr>
            <w:tcW w:w="2148" w:type="dxa"/>
            <w:tcBorders>
              <w:top w:val="single" w:sz="4" w:space="0" w:color="auto"/>
              <w:bottom w:val="nil"/>
            </w:tcBorders>
            <w:shd w:val="clear" w:color="auto" w:fill="auto"/>
          </w:tcPr>
          <w:p w14:paraId="0D5AB4E0" w14:textId="77777777" w:rsidR="00547CA2" w:rsidRPr="000E7AE9"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 (</w:t>
            </w:r>
            <w:r w:rsidRPr="000E7AE9">
              <w:rPr>
                <w:rFonts w:ascii="Times New Roman" w:hAnsi="Times New Roman"/>
                <w:i/>
                <w:color w:val="000000"/>
                <w:sz w:val="22"/>
                <w:szCs w:val="22"/>
                <w:lang w:val="sv-SE"/>
              </w:rPr>
              <w:t>de novo</w:t>
            </w:r>
            <w:r w:rsidRPr="000E7AE9">
              <w:rPr>
                <w:rFonts w:ascii="Times New Roman" w:hAnsi="Times New Roman"/>
                <w:color w:val="000000"/>
                <w:sz w:val="22"/>
                <w:szCs w:val="22"/>
                <w:lang w:val="sv-SE"/>
              </w:rPr>
              <w:t xml:space="preserve"> Ph+ ALL)</w:t>
            </w:r>
          </w:p>
        </w:tc>
        <w:tc>
          <w:tcPr>
            <w:tcW w:w="6732" w:type="dxa"/>
            <w:gridSpan w:val="4"/>
            <w:tcBorders>
              <w:top w:val="single" w:sz="4" w:space="0" w:color="auto"/>
              <w:bottom w:val="single" w:sz="4" w:space="0" w:color="auto"/>
            </w:tcBorders>
            <w:shd w:val="clear" w:color="auto" w:fill="auto"/>
          </w:tcPr>
          <w:p w14:paraId="6BD9A88C" w14:textId="77777777" w:rsidR="00547CA2"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1 000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/12 h i.v.(3 tim), dagar 1-4;</w:t>
            </w:r>
          </w:p>
          <w:p w14:paraId="18240563" w14:textId="77777777" w:rsidR="00547CA2" w:rsidRDefault="00547CA2"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M</w:t>
            </w:r>
            <w:r w:rsidRPr="000E7AE9">
              <w:rPr>
                <w:rFonts w:ascii="Times New Roman" w:hAnsi="Times New Roman"/>
                <w:color w:val="000000"/>
                <w:sz w:val="22"/>
                <w:szCs w:val="22"/>
                <w:lang w:val="sv-SE"/>
              </w:rPr>
              <w:t>itoxantron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3-5;</w:t>
            </w:r>
          </w:p>
          <w:p w14:paraId="38EF6AA0" w14:textId="77777777" w:rsidR="00547CA2"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15 mg intratekal, dag 1;</w:t>
            </w:r>
          </w:p>
          <w:p w14:paraId="53DA56CA" w14:textId="77777777" w:rsidR="00547CA2" w:rsidRPr="000E7AE9" w:rsidRDefault="00547CA2"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M</w:t>
            </w:r>
            <w:r w:rsidRPr="000E7AE9">
              <w:rPr>
                <w:rFonts w:ascii="Times New Roman" w:hAnsi="Times New Roman"/>
                <w:color w:val="000000"/>
                <w:sz w:val="22"/>
                <w:szCs w:val="22"/>
                <w:lang w:val="sv-SE"/>
              </w:rPr>
              <w:t>etylprednisolon 40 mg intratekal, dag 1</w:t>
            </w:r>
          </w:p>
        </w:tc>
      </w:tr>
      <w:tr w:rsidR="00547CA2" w:rsidRPr="000E7AE9" w14:paraId="09355F12" w14:textId="77777777" w:rsidTr="0040304A">
        <w:trPr>
          <w:cantSplit/>
        </w:trPr>
        <w:tc>
          <w:tcPr>
            <w:tcW w:w="4800" w:type="dxa"/>
            <w:gridSpan w:val="2"/>
            <w:tcBorders>
              <w:top w:val="single" w:sz="4" w:space="0" w:color="auto"/>
              <w:bottom w:val="single" w:sz="4" w:space="0" w:color="auto"/>
            </w:tcBorders>
            <w:shd w:val="clear" w:color="auto" w:fill="auto"/>
          </w:tcPr>
          <w:p w14:paraId="1108F39C" w14:textId="77777777" w:rsidR="00547CA2" w:rsidRPr="000E7AE9" w:rsidRDefault="00547CA2" w:rsidP="00463647">
            <w:pPr>
              <w:pStyle w:val="Table"/>
              <w:keepLines w:val="0"/>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lastRenderedPageBreak/>
              <w:t>Studie ADE04</w:t>
            </w:r>
          </w:p>
        </w:tc>
        <w:tc>
          <w:tcPr>
            <w:tcW w:w="1080" w:type="dxa"/>
            <w:tcBorders>
              <w:top w:val="single" w:sz="4" w:space="0" w:color="auto"/>
              <w:bottom w:val="single" w:sz="4" w:space="0" w:color="auto"/>
            </w:tcBorders>
          </w:tcPr>
          <w:p w14:paraId="1F7653A8"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c>
          <w:tcPr>
            <w:tcW w:w="1380" w:type="dxa"/>
            <w:tcBorders>
              <w:top w:val="single" w:sz="4" w:space="0" w:color="auto"/>
              <w:bottom w:val="single" w:sz="4" w:space="0" w:color="auto"/>
            </w:tcBorders>
          </w:tcPr>
          <w:p w14:paraId="19741F69"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c>
          <w:tcPr>
            <w:tcW w:w="1620" w:type="dxa"/>
            <w:tcBorders>
              <w:top w:val="single" w:sz="4" w:space="0" w:color="auto"/>
              <w:bottom w:val="single" w:sz="4" w:space="0" w:color="auto"/>
            </w:tcBorders>
          </w:tcPr>
          <w:p w14:paraId="16E5CEA5"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r>
      <w:tr w:rsidR="00547CA2" w:rsidRPr="000E7AE9" w14:paraId="5A4E638A" w14:textId="77777777" w:rsidTr="0040304A">
        <w:trPr>
          <w:cantSplit/>
        </w:trPr>
        <w:tc>
          <w:tcPr>
            <w:tcW w:w="2148" w:type="dxa"/>
            <w:tcBorders>
              <w:top w:val="single" w:sz="4" w:space="0" w:color="auto"/>
              <w:bottom w:val="single" w:sz="4" w:space="0" w:color="auto"/>
            </w:tcBorders>
            <w:shd w:val="clear" w:color="auto" w:fill="auto"/>
          </w:tcPr>
          <w:p w14:paraId="5F8CE1D2"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Förberedande fas</w:t>
            </w:r>
          </w:p>
        </w:tc>
        <w:tc>
          <w:tcPr>
            <w:tcW w:w="6732" w:type="dxa"/>
            <w:gridSpan w:val="4"/>
            <w:tcBorders>
              <w:top w:val="single" w:sz="4" w:space="0" w:color="auto"/>
              <w:bottom w:val="single" w:sz="4" w:space="0" w:color="auto"/>
            </w:tcBorders>
            <w:shd w:val="clear" w:color="auto" w:fill="auto"/>
          </w:tcPr>
          <w:p w14:paraId="3AC01C8A"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1-5;</w:t>
            </w:r>
          </w:p>
          <w:p w14:paraId="7713BF82"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200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3-5;</w:t>
            </w:r>
          </w:p>
          <w:p w14:paraId="4BA6D536"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15 mg intratekal, dag 1</w:t>
            </w:r>
          </w:p>
        </w:tc>
      </w:tr>
      <w:tr w:rsidR="00547CA2" w:rsidRPr="00644A2E" w14:paraId="3805CDFE" w14:textId="77777777" w:rsidTr="0040304A">
        <w:trPr>
          <w:cantSplit/>
        </w:trPr>
        <w:tc>
          <w:tcPr>
            <w:tcW w:w="2148" w:type="dxa"/>
            <w:tcBorders>
              <w:top w:val="single" w:sz="4" w:space="0" w:color="auto"/>
              <w:bottom w:val="single" w:sz="4" w:space="0" w:color="auto"/>
            </w:tcBorders>
            <w:shd w:val="clear" w:color="auto" w:fill="auto"/>
          </w:tcPr>
          <w:p w14:paraId="0C4D86B1"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Induktionsbehandling I</w:t>
            </w:r>
          </w:p>
        </w:tc>
        <w:tc>
          <w:tcPr>
            <w:tcW w:w="6732" w:type="dxa"/>
            <w:gridSpan w:val="4"/>
            <w:tcBorders>
              <w:top w:val="single" w:sz="4" w:space="0" w:color="auto"/>
              <w:bottom w:val="single" w:sz="4" w:space="0" w:color="auto"/>
            </w:tcBorders>
            <w:shd w:val="clear" w:color="auto" w:fill="auto"/>
          </w:tcPr>
          <w:p w14:paraId="1534FAD0"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1-5;</w:t>
            </w:r>
          </w:p>
          <w:p w14:paraId="2C86AE1E"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VCR 2 mg i.v., dagar 6, 13, 20;</w:t>
            </w:r>
          </w:p>
          <w:p w14:paraId="45D28359"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D</w:t>
            </w:r>
            <w:r w:rsidRPr="000E7AE9">
              <w:rPr>
                <w:rFonts w:ascii="Times New Roman" w:hAnsi="Times New Roman"/>
                <w:color w:val="000000"/>
                <w:sz w:val="22"/>
                <w:szCs w:val="22"/>
                <w:lang w:val="sv-SE"/>
              </w:rPr>
              <w:t>aunorubicin 45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6-7, 13-14</w:t>
            </w:r>
          </w:p>
        </w:tc>
      </w:tr>
      <w:tr w:rsidR="00547CA2" w:rsidRPr="00644A2E" w14:paraId="413B713A" w14:textId="77777777" w:rsidTr="0040304A">
        <w:trPr>
          <w:cantSplit/>
        </w:trPr>
        <w:tc>
          <w:tcPr>
            <w:tcW w:w="2148" w:type="dxa"/>
            <w:tcBorders>
              <w:top w:val="single" w:sz="4" w:space="0" w:color="auto"/>
              <w:bottom w:val="single" w:sz="4" w:space="0" w:color="auto"/>
            </w:tcBorders>
            <w:shd w:val="clear" w:color="auto" w:fill="auto"/>
          </w:tcPr>
          <w:p w14:paraId="51BC48E3"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Induktionsbehandling II</w:t>
            </w:r>
          </w:p>
        </w:tc>
        <w:tc>
          <w:tcPr>
            <w:tcW w:w="6732" w:type="dxa"/>
            <w:gridSpan w:val="4"/>
            <w:tcBorders>
              <w:top w:val="single" w:sz="4" w:space="0" w:color="auto"/>
              <w:bottom w:val="single" w:sz="4" w:space="0" w:color="auto"/>
            </w:tcBorders>
            <w:shd w:val="clear" w:color="auto" w:fill="auto"/>
          </w:tcPr>
          <w:p w14:paraId="3F450E79"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1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26, 46;</w:t>
            </w:r>
          </w:p>
          <w:p w14:paraId="574901E9"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75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28-31, 35-38, 42-45;</w:t>
            </w:r>
          </w:p>
          <w:p w14:paraId="26DB2C33"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6-MP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26-46</w:t>
            </w:r>
          </w:p>
        </w:tc>
      </w:tr>
      <w:tr w:rsidR="00547CA2" w:rsidRPr="00644A2E" w14:paraId="061BD094" w14:textId="77777777" w:rsidTr="0040304A">
        <w:trPr>
          <w:cantSplit/>
        </w:trPr>
        <w:tc>
          <w:tcPr>
            <w:tcW w:w="2148" w:type="dxa"/>
            <w:tcBorders>
              <w:top w:val="single" w:sz="4" w:space="0" w:color="auto"/>
              <w:bottom w:val="single" w:sz="4" w:space="0" w:color="auto"/>
            </w:tcBorders>
            <w:shd w:val="clear" w:color="auto" w:fill="auto"/>
          </w:tcPr>
          <w:p w14:paraId="2073899A" w14:textId="77777777" w:rsidR="00547CA2" w:rsidRPr="000E7AE9"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Konsoliderings</w:t>
            </w:r>
            <w:r w:rsidRPr="000E7AE9">
              <w:rPr>
                <w:rFonts w:ascii="Times New Roman" w:hAnsi="Times New Roman"/>
                <w:color w:val="000000"/>
                <w:sz w:val="22"/>
                <w:szCs w:val="22"/>
                <w:lang w:val="sv-SE"/>
              </w:rPr>
              <w:softHyphen/>
              <w:t xml:space="preserve">behandling </w:t>
            </w:r>
          </w:p>
        </w:tc>
        <w:tc>
          <w:tcPr>
            <w:tcW w:w="6732" w:type="dxa"/>
            <w:gridSpan w:val="4"/>
            <w:tcBorders>
              <w:top w:val="nil"/>
              <w:bottom w:val="single" w:sz="4" w:space="0" w:color="auto"/>
            </w:tcBorders>
            <w:shd w:val="clear" w:color="auto" w:fill="auto"/>
          </w:tcPr>
          <w:p w14:paraId="0B729005" w14:textId="77777777" w:rsidR="00547CA2"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10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1-5;</w:t>
            </w:r>
          </w:p>
          <w:p w14:paraId="450BD6B3" w14:textId="77777777" w:rsidR="00547CA2" w:rsidRDefault="00547CA2"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V</w:t>
            </w:r>
            <w:r w:rsidRPr="000E7AE9">
              <w:rPr>
                <w:rFonts w:ascii="Times New Roman" w:hAnsi="Times New Roman"/>
                <w:color w:val="000000"/>
                <w:sz w:val="22"/>
                <w:szCs w:val="22"/>
                <w:lang w:val="sv-SE"/>
              </w:rPr>
              <w:t>indesin 3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 1;</w:t>
            </w:r>
          </w:p>
          <w:p w14:paraId="7238646B" w14:textId="77777777" w:rsidR="00547CA2"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MTX 1,5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(24 tim), dag 1;</w:t>
            </w:r>
          </w:p>
          <w:p w14:paraId="78716370" w14:textId="77777777" w:rsidR="00547CA2" w:rsidRDefault="00547CA2"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E</w:t>
            </w:r>
            <w:r w:rsidRPr="000E7AE9">
              <w:rPr>
                <w:rFonts w:ascii="Times New Roman" w:hAnsi="Times New Roman"/>
                <w:color w:val="000000"/>
                <w:sz w:val="22"/>
                <w:szCs w:val="22"/>
                <w:lang w:val="sv-SE"/>
              </w:rPr>
              <w:t>toposid 250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4-5;</w:t>
            </w:r>
          </w:p>
          <w:p w14:paraId="3100C895" w14:textId="77777777" w:rsidR="00547CA2" w:rsidRPr="000E7AE9"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2x 2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(3 tim, q 12 tim), dag 5</w:t>
            </w:r>
          </w:p>
        </w:tc>
      </w:tr>
      <w:tr w:rsidR="00547CA2" w:rsidRPr="000E7AE9" w14:paraId="11B2B2A0" w14:textId="77777777" w:rsidTr="0040304A">
        <w:trPr>
          <w:cantSplit/>
        </w:trPr>
        <w:tc>
          <w:tcPr>
            <w:tcW w:w="2148" w:type="dxa"/>
            <w:tcBorders>
              <w:top w:val="single" w:sz="4" w:space="0" w:color="auto"/>
              <w:bottom w:val="single" w:sz="4" w:space="0" w:color="auto"/>
            </w:tcBorders>
            <w:shd w:val="clear" w:color="auto" w:fill="auto"/>
          </w:tcPr>
          <w:p w14:paraId="741D6613" w14:textId="77777777" w:rsidR="00547CA2" w:rsidRPr="000E7AE9" w:rsidRDefault="00547CA2" w:rsidP="00463647">
            <w:pPr>
              <w:pStyle w:val="Table"/>
              <w:keepLines w:val="0"/>
              <w:widowControl w:val="0"/>
              <w:spacing w:before="0" w:after="0"/>
              <w:rPr>
                <w:rFonts w:ascii="Times New Roman" w:hAnsi="Times New Roman"/>
                <w:b/>
                <w:color w:val="000000"/>
                <w:sz w:val="22"/>
                <w:szCs w:val="22"/>
                <w:lang w:val="sv-SE"/>
              </w:rPr>
            </w:pPr>
            <w:r w:rsidRPr="000E7AE9">
              <w:rPr>
                <w:rFonts w:ascii="Times New Roman" w:hAnsi="Times New Roman"/>
                <w:b/>
                <w:color w:val="000000"/>
                <w:sz w:val="22"/>
                <w:szCs w:val="22"/>
                <w:lang w:val="sv-SE"/>
              </w:rPr>
              <w:t>Studie AJP01</w:t>
            </w:r>
          </w:p>
        </w:tc>
        <w:tc>
          <w:tcPr>
            <w:tcW w:w="2652" w:type="dxa"/>
            <w:tcBorders>
              <w:top w:val="nil"/>
              <w:bottom w:val="single" w:sz="4" w:space="0" w:color="auto"/>
            </w:tcBorders>
            <w:shd w:val="clear" w:color="auto" w:fill="auto"/>
          </w:tcPr>
          <w:p w14:paraId="26E1DC77"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c>
          <w:tcPr>
            <w:tcW w:w="1080" w:type="dxa"/>
            <w:tcBorders>
              <w:top w:val="nil"/>
              <w:bottom w:val="single" w:sz="4" w:space="0" w:color="auto"/>
            </w:tcBorders>
          </w:tcPr>
          <w:p w14:paraId="41D39AEB"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c>
          <w:tcPr>
            <w:tcW w:w="1380" w:type="dxa"/>
            <w:tcBorders>
              <w:top w:val="nil"/>
              <w:bottom w:val="single" w:sz="4" w:space="0" w:color="auto"/>
            </w:tcBorders>
          </w:tcPr>
          <w:p w14:paraId="6DEB1378"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c>
          <w:tcPr>
            <w:tcW w:w="1620" w:type="dxa"/>
            <w:tcBorders>
              <w:top w:val="nil"/>
              <w:bottom w:val="single" w:sz="4" w:space="0" w:color="auto"/>
            </w:tcBorders>
          </w:tcPr>
          <w:p w14:paraId="6E56C439"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p>
        </w:tc>
      </w:tr>
      <w:tr w:rsidR="00547CA2" w:rsidRPr="00F60A89" w14:paraId="6B8D26A6" w14:textId="77777777" w:rsidTr="0040304A">
        <w:trPr>
          <w:cantSplit/>
        </w:trPr>
        <w:tc>
          <w:tcPr>
            <w:tcW w:w="2148" w:type="dxa"/>
            <w:tcBorders>
              <w:top w:val="nil"/>
              <w:bottom w:val="single" w:sz="4" w:space="0" w:color="auto"/>
            </w:tcBorders>
            <w:shd w:val="clear" w:color="auto" w:fill="auto"/>
          </w:tcPr>
          <w:p w14:paraId="0F7B579B" w14:textId="77777777" w:rsidR="00547CA2" w:rsidRPr="000E7AE9" w:rsidRDefault="00547CA2" w:rsidP="00463647">
            <w:pPr>
              <w:pStyle w:val="Table"/>
              <w:keepLines w:val="0"/>
              <w:widowControl w:val="0"/>
              <w:spacing w:before="0" w:after="0"/>
              <w:jc w:val="both"/>
              <w:rPr>
                <w:rFonts w:ascii="Times New Roman" w:hAnsi="Times New Roman"/>
                <w:color w:val="000000"/>
                <w:sz w:val="22"/>
                <w:szCs w:val="22"/>
                <w:lang w:val="sv-SE"/>
              </w:rPr>
            </w:pPr>
            <w:r w:rsidRPr="000E7AE9">
              <w:rPr>
                <w:rFonts w:ascii="Times New Roman" w:hAnsi="Times New Roman"/>
                <w:color w:val="000000"/>
                <w:sz w:val="22"/>
                <w:szCs w:val="22"/>
                <w:lang w:val="sv-SE"/>
              </w:rPr>
              <w:t>Induktionsbehandling</w:t>
            </w:r>
          </w:p>
        </w:tc>
        <w:tc>
          <w:tcPr>
            <w:tcW w:w="6732" w:type="dxa"/>
            <w:gridSpan w:val="4"/>
            <w:tcBorders>
              <w:top w:val="nil"/>
              <w:bottom w:val="single" w:sz="4" w:space="0" w:color="auto"/>
            </w:tcBorders>
            <w:shd w:val="clear" w:color="auto" w:fill="auto"/>
          </w:tcPr>
          <w:p w14:paraId="09DC809F"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CP 1,2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(3 tim), dag 1;</w:t>
            </w:r>
          </w:p>
          <w:p w14:paraId="6B3F06C9"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D</w:t>
            </w:r>
            <w:r w:rsidRPr="000E7AE9">
              <w:rPr>
                <w:rFonts w:ascii="Times New Roman" w:hAnsi="Times New Roman"/>
                <w:color w:val="000000"/>
                <w:sz w:val="22"/>
                <w:szCs w:val="22"/>
                <w:lang w:val="sv-SE"/>
              </w:rPr>
              <w:t>aunorubicin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(1 tim), dagar 1-3;</w:t>
            </w:r>
          </w:p>
          <w:p w14:paraId="6BF4419B" w14:textId="77777777" w:rsidR="00547CA2" w:rsidRDefault="00547CA2"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V</w:t>
            </w:r>
            <w:r w:rsidRPr="000E7AE9">
              <w:rPr>
                <w:rFonts w:ascii="Times New Roman" w:hAnsi="Times New Roman"/>
                <w:color w:val="000000"/>
                <w:sz w:val="22"/>
                <w:szCs w:val="22"/>
                <w:lang w:val="sv-SE"/>
              </w:rPr>
              <w:t>inkristin 1,3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dagar 1, 8, 15, 21;</w:t>
            </w:r>
          </w:p>
          <w:p w14:paraId="1485C96D"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P</w:t>
            </w:r>
            <w:r w:rsidRPr="000E7AE9">
              <w:rPr>
                <w:rFonts w:ascii="Times New Roman" w:hAnsi="Times New Roman"/>
                <w:color w:val="000000"/>
                <w:sz w:val="22"/>
                <w:szCs w:val="22"/>
                <w:lang w:val="sv-SE"/>
              </w:rPr>
              <w:t>rednisolon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/dag oral</w:t>
            </w:r>
          </w:p>
        </w:tc>
      </w:tr>
      <w:tr w:rsidR="00547CA2" w:rsidRPr="00644A2E" w14:paraId="5A62DC38" w14:textId="77777777" w:rsidTr="0040304A">
        <w:trPr>
          <w:cantSplit/>
        </w:trPr>
        <w:tc>
          <w:tcPr>
            <w:tcW w:w="2148" w:type="dxa"/>
            <w:tcBorders>
              <w:top w:val="single" w:sz="4" w:space="0" w:color="auto"/>
              <w:bottom w:val="single" w:sz="4" w:space="0" w:color="auto"/>
            </w:tcBorders>
            <w:shd w:val="clear" w:color="auto" w:fill="auto"/>
          </w:tcPr>
          <w:p w14:paraId="21109628" w14:textId="77777777" w:rsidR="00547CA2" w:rsidRPr="000E7AE9" w:rsidRDefault="00547CA2" w:rsidP="00463647">
            <w:pPr>
              <w:pStyle w:val="Table"/>
              <w:keepLines w:val="0"/>
              <w:widowControl w:val="0"/>
              <w:tabs>
                <w:tab w:val="left" w:pos="0"/>
              </w:tabs>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Konsoliderings</w:t>
            </w:r>
            <w:r w:rsidRPr="000E7AE9">
              <w:rPr>
                <w:rFonts w:ascii="Times New Roman" w:hAnsi="Times New Roman"/>
                <w:color w:val="000000"/>
                <w:sz w:val="22"/>
                <w:szCs w:val="22"/>
                <w:lang w:val="sv-SE"/>
              </w:rPr>
              <w:softHyphen/>
              <w:t>behandling</w:t>
            </w:r>
          </w:p>
        </w:tc>
        <w:tc>
          <w:tcPr>
            <w:tcW w:w="6732" w:type="dxa"/>
            <w:gridSpan w:val="4"/>
            <w:tcBorders>
              <w:top w:val="single" w:sz="4" w:space="0" w:color="auto"/>
              <w:bottom w:val="single" w:sz="4" w:space="0" w:color="auto"/>
            </w:tcBorders>
            <w:shd w:val="clear" w:color="auto" w:fill="auto"/>
          </w:tcPr>
          <w:p w14:paraId="145D4D15" w14:textId="77777777" w:rsidR="00547CA2" w:rsidRPr="000E7AE9" w:rsidRDefault="00547CA2" w:rsidP="00463647">
            <w:pPr>
              <w:pStyle w:val="Table"/>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Alternerande kemoterapibehandling: högdos kemoterapi med MTX 1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(24 tim), dag 1, och Ara-C 2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(q 12 tim), dagar 2-3, i 4 cykler</w:t>
            </w:r>
          </w:p>
        </w:tc>
      </w:tr>
      <w:tr w:rsidR="00547CA2" w:rsidRPr="00F60A89" w14:paraId="053C468F" w14:textId="77777777" w:rsidTr="0040304A">
        <w:trPr>
          <w:cantSplit/>
        </w:trPr>
        <w:tc>
          <w:tcPr>
            <w:tcW w:w="2148" w:type="dxa"/>
            <w:tcBorders>
              <w:top w:val="single" w:sz="4" w:space="0" w:color="auto"/>
              <w:bottom w:val="single" w:sz="4" w:space="0" w:color="auto"/>
            </w:tcBorders>
            <w:shd w:val="clear" w:color="auto" w:fill="auto"/>
          </w:tcPr>
          <w:p w14:paraId="1DA73606" w14:textId="77777777" w:rsidR="00547CA2" w:rsidRPr="000E7AE9" w:rsidRDefault="00547CA2" w:rsidP="00463647">
            <w:pPr>
              <w:pStyle w:val="Table"/>
              <w:keepNext w:val="0"/>
              <w:keepLines w:val="0"/>
              <w:widowControl w:val="0"/>
              <w:tabs>
                <w:tab w:val="left" w:pos="0"/>
              </w:tabs>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Underhålls</w:t>
            </w:r>
            <w:r w:rsidRPr="000E7AE9">
              <w:rPr>
                <w:rFonts w:ascii="Times New Roman" w:hAnsi="Times New Roman"/>
                <w:color w:val="000000"/>
                <w:sz w:val="22"/>
                <w:szCs w:val="22"/>
                <w:lang w:val="sv-SE"/>
              </w:rPr>
              <w:softHyphen/>
              <w:t>behandling</w:t>
            </w:r>
          </w:p>
        </w:tc>
        <w:tc>
          <w:tcPr>
            <w:tcW w:w="6732" w:type="dxa"/>
            <w:gridSpan w:val="4"/>
            <w:tcBorders>
              <w:top w:val="single" w:sz="4" w:space="0" w:color="auto"/>
              <w:bottom w:val="single" w:sz="4" w:space="0" w:color="auto"/>
            </w:tcBorders>
            <w:shd w:val="clear" w:color="auto" w:fill="auto"/>
          </w:tcPr>
          <w:p w14:paraId="32D04A50" w14:textId="77777777" w:rsidR="00547CA2" w:rsidRDefault="00547CA2" w:rsidP="00463647">
            <w:pPr>
              <w:pStyle w:val="Table"/>
              <w:keepNext w:val="0"/>
              <w:keepLines w:val="0"/>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VCR 1,3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dag 1;</w:t>
            </w:r>
          </w:p>
          <w:p w14:paraId="7BBFB97F" w14:textId="77777777" w:rsidR="00547CA2" w:rsidRPr="000E7AE9" w:rsidRDefault="00547CA2" w:rsidP="00463647">
            <w:pPr>
              <w:pStyle w:val="Table"/>
              <w:keepNext w:val="0"/>
              <w:keepLines w:val="0"/>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P</w:t>
            </w:r>
            <w:r w:rsidRPr="000E7AE9">
              <w:rPr>
                <w:rFonts w:ascii="Times New Roman" w:hAnsi="Times New Roman"/>
                <w:color w:val="000000"/>
                <w:sz w:val="22"/>
                <w:szCs w:val="22"/>
                <w:lang w:val="sv-SE"/>
              </w:rPr>
              <w:t>rednisolon 60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oral, dagar 1-5</w:t>
            </w:r>
          </w:p>
        </w:tc>
      </w:tr>
      <w:tr w:rsidR="00547CA2" w:rsidRPr="000E7AE9" w14:paraId="6E3F4A8E" w14:textId="77777777" w:rsidTr="0040304A">
        <w:trPr>
          <w:cantSplit/>
        </w:trPr>
        <w:tc>
          <w:tcPr>
            <w:tcW w:w="4800" w:type="dxa"/>
            <w:gridSpan w:val="2"/>
            <w:tcBorders>
              <w:top w:val="single" w:sz="4" w:space="0" w:color="auto"/>
              <w:bottom w:val="single" w:sz="4" w:space="0" w:color="auto"/>
            </w:tcBorders>
            <w:shd w:val="clear" w:color="auto" w:fill="auto"/>
          </w:tcPr>
          <w:p w14:paraId="746B9484"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b/>
                <w:color w:val="000000"/>
                <w:sz w:val="22"/>
                <w:szCs w:val="22"/>
                <w:lang w:val="sv-SE"/>
              </w:rPr>
              <w:t>Studie AUS01</w:t>
            </w:r>
          </w:p>
        </w:tc>
        <w:tc>
          <w:tcPr>
            <w:tcW w:w="1080" w:type="dxa"/>
            <w:tcBorders>
              <w:top w:val="single" w:sz="4" w:space="0" w:color="auto"/>
              <w:bottom w:val="single" w:sz="4" w:space="0" w:color="auto"/>
            </w:tcBorders>
          </w:tcPr>
          <w:p w14:paraId="5E2D9179"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c>
          <w:tcPr>
            <w:tcW w:w="1380" w:type="dxa"/>
            <w:tcBorders>
              <w:top w:val="single" w:sz="4" w:space="0" w:color="auto"/>
              <w:bottom w:val="single" w:sz="4" w:space="0" w:color="auto"/>
            </w:tcBorders>
          </w:tcPr>
          <w:p w14:paraId="1532C32C"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c>
          <w:tcPr>
            <w:tcW w:w="1620" w:type="dxa"/>
            <w:tcBorders>
              <w:top w:val="single" w:sz="4" w:space="0" w:color="auto"/>
              <w:bottom w:val="single" w:sz="4" w:space="0" w:color="auto"/>
            </w:tcBorders>
          </w:tcPr>
          <w:p w14:paraId="57763E42"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p>
        </w:tc>
      </w:tr>
      <w:tr w:rsidR="00547CA2" w:rsidRPr="00644A2E" w14:paraId="00BCBF14" w14:textId="77777777" w:rsidTr="0040304A">
        <w:trPr>
          <w:cantSplit/>
        </w:trPr>
        <w:tc>
          <w:tcPr>
            <w:tcW w:w="2148" w:type="dxa"/>
            <w:tcBorders>
              <w:top w:val="single" w:sz="4" w:space="0" w:color="auto"/>
              <w:bottom w:val="single" w:sz="4" w:space="0" w:color="auto"/>
            </w:tcBorders>
            <w:shd w:val="clear" w:color="auto" w:fill="auto"/>
          </w:tcPr>
          <w:p w14:paraId="0D1C2EF6"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Induktions-konsoliderings</w:t>
            </w:r>
            <w:r w:rsidRPr="000E7AE9">
              <w:rPr>
                <w:rFonts w:ascii="Times New Roman" w:hAnsi="Times New Roman"/>
                <w:color w:val="000000"/>
                <w:sz w:val="22"/>
                <w:szCs w:val="22"/>
                <w:lang w:val="sv-SE"/>
              </w:rPr>
              <w:softHyphen/>
              <w:t>behandling</w:t>
            </w:r>
          </w:p>
        </w:tc>
        <w:tc>
          <w:tcPr>
            <w:tcW w:w="6732" w:type="dxa"/>
            <w:gridSpan w:val="4"/>
            <w:tcBorders>
              <w:top w:val="single" w:sz="4" w:space="0" w:color="auto"/>
              <w:bottom w:val="single" w:sz="4" w:space="0" w:color="auto"/>
            </w:tcBorders>
            <w:shd w:val="clear" w:color="auto" w:fill="auto"/>
          </w:tcPr>
          <w:p w14:paraId="0D425322" w14:textId="77777777" w:rsidR="00547CA2"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Hyper-CVAD-kur: CP 300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(3 tim, q 12 tim), dagar 1-3; </w:t>
            </w:r>
            <w:r>
              <w:rPr>
                <w:rFonts w:ascii="Times New Roman" w:hAnsi="Times New Roman"/>
                <w:color w:val="000000"/>
                <w:sz w:val="22"/>
                <w:szCs w:val="22"/>
                <w:lang w:val="sv-SE"/>
              </w:rPr>
              <w:t>V</w:t>
            </w:r>
            <w:r w:rsidRPr="000E7AE9">
              <w:rPr>
                <w:rFonts w:ascii="Times New Roman" w:hAnsi="Times New Roman"/>
                <w:color w:val="000000"/>
                <w:sz w:val="22"/>
                <w:szCs w:val="22"/>
                <w:lang w:val="sv-SE"/>
              </w:rPr>
              <w:t>inkristin 2 mg i.v., dagar 4, 11;</w:t>
            </w:r>
          </w:p>
          <w:p w14:paraId="447C08EE" w14:textId="77777777" w:rsidR="00547CA2" w:rsidRDefault="00547CA2" w:rsidP="00463647">
            <w:pPr>
              <w:pStyle w:val="Table"/>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D</w:t>
            </w:r>
            <w:r w:rsidRPr="000E7AE9">
              <w:rPr>
                <w:rFonts w:ascii="Times New Roman" w:hAnsi="Times New Roman"/>
                <w:color w:val="000000"/>
                <w:sz w:val="22"/>
                <w:szCs w:val="22"/>
                <w:lang w:val="sv-SE"/>
              </w:rPr>
              <w:t>oxorubicin 50 mg/m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(24 tim), dag 4;</w:t>
            </w:r>
          </w:p>
          <w:p w14:paraId="656F7A89"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DEX 40 mg/dag på dagar 1-4 and 11-14, omväxlande med MTX 1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(24 tim), dag 1, Ara-C 1 g/m</w:t>
            </w:r>
            <w:r w:rsidRPr="000E7AE9">
              <w:rPr>
                <w:rFonts w:ascii="Times New Roman" w:hAnsi="Times New Roman"/>
                <w:color w:val="000000"/>
                <w:sz w:val="22"/>
                <w:szCs w:val="22"/>
                <w:vertAlign w:val="superscript"/>
                <w:lang w:val="sv-SE"/>
              </w:rPr>
              <w:t>2</w:t>
            </w:r>
            <w:r w:rsidRPr="000E7AE9">
              <w:rPr>
                <w:rFonts w:ascii="Times New Roman" w:hAnsi="Times New Roman"/>
                <w:color w:val="000000"/>
                <w:sz w:val="22"/>
                <w:szCs w:val="22"/>
                <w:lang w:val="sv-SE"/>
              </w:rPr>
              <w:t xml:space="preserve"> i.v. (2 tim, q 12 tim), dagar 2-3 (totalt 8 kurer)</w:t>
            </w:r>
          </w:p>
        </w:tc>
      </w:tr>
      <w:tr w:rsidR="00547CA2" w:rsidRPr="00F60A89" w14:paraId="7FFF38B9" w14:textId="77777777" w:rsidTr="0040304A">
        <w:trPr>
          <w:cantSplit/>
        </w:trPr>
        <w:tc>
          <w:tcPr>
            <w:tcW w:w="2148" w:type="dxa"/>
            <w:tcBorders>
              <w:top w:val="single" w:sz="4" w:space="0" w:color="auto"/>
              <w:bottom w:val="single" w:sz="4" w:space="0" w:color="auto"/>
            </w:tcBorders>
            <w:shd w:val="clear" w:color="auto" w:fill="auto"/>
          </w:tcPr>
          <w:p w14:paraId="63FB058E"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Underhålls</w:t>
            </w:r>
            <w:r w:rsidRPr="000E7AE9">
              <w:rPr>
                <w:rFonts w:ascii="Times New Roman" w:hAnsi="Times New Roman"/>
                <w:color w:val="000000"/>
                <w:sz w:val="22"/>
                <w:szCs w:val="22"/>
                <w:lang w:val="sv-SE"/>
              </w:rPr>
              <w:softHyphen/>
              <w:t>behandling</w:t>
            </w:r>
          </w:p>
        </w:tc>
        <w:tc>
          <w:tcPr>
            <w:tcW w:w="6732" w:type="dxa"/>
            <w:gridSpan w:val="4"/>
            <w:tcBorders>
              <w:top w:val="single" w:sz="4" w:space="0" w:color="auto"/>
              <w:bottom w:val="single" w:sz="4" w:space="0" w:color="auto"/>
            </w:tcBorders>
            <w:shd w:val="clear" w:color="auto" w:fill="auto"/>
          </w:tcPr>
          <w:p w14:paraId="301107A2" w14:textId="77777777" w:rsidR="00547CA2"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VCR 2 mg i.v. månatligen i 13 månader;</w:t>
            </w:r>
          </w:p>
          <w:p w14:paraId="185E9823"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Pr>
                <w:rFonts w:ascii="Times New Roman" w:hAnsi="Times New Roman"/>
                <w:color w:val="000000"/>
                <w:sz w:val="22"/>
                <w:szCs w:val="22"/>
                <w:lang w:val="sv-SE"/>
              </w:rPr>
              <w:t>P</w:t>
            </w:r>
            <w:r w:rsidRPr="000E7AE9">
              <w:rPr>
                <w:rFonts w:ascii="Times New Roman" w:hAnsi="Times New Roman"/>
                <w:color w:val="000000"/>
                <w:sz w:val="22"/>
                <w:szCs w:val="22"/>
                <w:lang w:val="sv-SE"/>
              </w:rPr>
              <w:t>rednisolon 200 mg oral, 5 dagar per månad i 13 månader</w:t>
            </w:r>
          </w:p>
        </w:tc>
      </w:tr>
      <w:tr w:rsidR="00547CA2" w:rsidRPr="00F60A89" w14:paraId="383E1923" w14:textId="77777777" w:rsidTr="0040304A">
        <w:trPr>
          <w:cantSplit/>
        </w:trPr>
        <w:tc>
          <w:tcPr>
            <w:tcW w:w="8880" w:type="dxa"/>
            <w:gridSpan w:val="5"/>
            <w:tcBorders>
              <w:top w:val="single" w:sz="4" w:space="0" w:color="auto"/>
              <w:bottom w:val="single" w:sz="4" w:space="0" w:color="auto"/>
            </w:tcBorders>
            <w:shd w:val="clear" w:color="auto" w:fill="auto"/>
          </w:tcPr>
          <w:p w14:paraId="7D301261"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Samtliga behandlingskurer inkluderar administrering av steroider för CNS-profylax.</w:t>
            </w:r>
          </w:p>
        </w:tc>
      </w:tr>
      <w:tr w:rsidR="00547CA2" w:rsidRPr="00F60A89" w14:paraId="46258D28" w14:textId="77777777" w:rsidTr="0040304A">
        <w:trPr>
          <w:cantSplit/>
        </w:trPr>
        <w:tc>
          <w:tcPr>
            <w:tcW w:w="8880" w:type="dxa"/>
            <w:gridSpan w:val="5"/>
            <w:tcBorders>
              <w:top w:val="single" w:sz="4" w:space="0" w:color="auto"/>
              <w:bottom w:val="single" w:sz="4" w:space="0" w:color="auto"/>
            </w:tcBorders>
            <w:shd w:val="clear" w:color="auto" w:fill="auto"/>
          </w:tcPr>
          <w:p w14:paraId="41571DF8" w14:textId="77777777" w:rsidR="00547CA2" w:rsidRPr="000E7AE9" w:rsidRDefault="00547CA2" w:rsidP="00463647">
            <w:pPr>
              <w:pStyle w:val="Table"/>
              <w:widowControl w:val="0"/>
              <w:spacing w:before="0" w:after="0"/>
              <w:rPr>
                <w:rFonts w:ascii="Times New Roman" w:hAnsi="Times New Roman"/>
                <w:color w:val="000000"/>
                <w:sz w:val="22"/>
                <w:szCs w:val="22"/>
                <w:lang w:val="sv-SE"/>
              </w:rPr>
            </w:pPr>
            <w:r w:rsidRPr="000E7AE9">
              <w:rPr>
                <w:rFonts w:ascii="Times New Roman" w:hAnsi="Times New Roman"/>
                <w:color w:val="000000"/>
                <w:sz w:val="22"/>
                <w:szCs w:val="22"/>
                <w:lang w:val="sv-SE"/>
              </w:rPr>
              <w:t>Ara-C: cytosinarabinosid; CP: cyklofosfamid; DEX: dexametason; MTX: metotrexat; 6-MP: 6-merkaptopurin; VM26: teniposid; VCR: vinkristin; IDA: idarubicin; i.v.: intravenös</w:t>
            </w:r>
          </w:p>
        </w:tc>
      </w:tr>
    </w:tbl>
    <w:p w14:paraId="29A51E1C" w14:textId="77777777" w:rsidR="00547CA2" w:rsidRDefault="00547CA2" w:rsidP="00463647">
      <w:pPr>
        <w:pStyle w:val="EndnoteText"/>
        <w:widowControl w:val="0"/>
        <w:rPr>
          <w:color w:val="000000"/>
          <w:szCs w:val="22"/>
          <w:lang w:val="sv-SE"/>
        </w:rPr>
      </w:pPr>
    </w:p>
    <w:p w14:paraId="3E80E533" w14:textId="77777777" w:rsidR="00547CA2" w:rsidRPr="009C5490" w:rsidRDefault="00547CA2" w:rsidP="00463647">
      <w:pPr>
        <w:pStyle w:val="EndnoteText"/>
        <w:widowControl w:val="0"/>
        <w:rPr>
          <w:color w:val="000000"/>
          <w:lang w:val="sv-SE"/>
        </w:rPr>
      </w:pPr>
      <w:r w:rsidRPr="009C3437">
        <w:rPr>
          <w:i/>
          <w:color w:val="000000"/>
          <w:lang w:val="sv-SE"/>
        </w:rPr>
        <w:t>Pediatriska patienters</w:t>
      </w:r>
      <w:r w:rsidRPr="009C3437">
        <w:rPr>
          <w:color w:val="000000"/>
          <w:lang w:val="sv-SE"/>
        </w:rPr>
        <w:t>:</w:t>
      </w:r>
      <w:r w:rsidRPr="009C3437">
        <w:rPr>
          <w:lang w:val="sv-SE"/>
        </w:rPr>
        <w:t xml:space="preserve"> I studie I2301</w:t>
      </w:r>
      <w:r w:rsidRPr="009C3437">
        <w:rPr>
          <w:color w:val="000000"/>
          <w:lang w:val="sv-SE"/>
        </w:rPr>
        <w:t xml:space="preserve"> inkluderades totalt 93 barn, ungdomar och unga patienter (från 1 till 22 års ålder) med Ph+ ALL i en </w:t>
      </w:r>
      <w:r w:rsidRPr="009C3437">
        <w:rPr>
          <w:color w:val="000000"/>
          <w:szCs w:val="22"/>
          <w:lang w:val="sv-SE"/>
        </w:rPr>
        <w:t>öppen, multicenter, sekventiell kohort, icke randomiserad fas III-studie</w:t>
      </w:r>
      <w:r w:rsidRPr="009C5490">
        <w:rPr>
          <w:color w:val="000000"/>
          <w:lang w:val="sv-SE"/>
        </w:rPr>
        <w:t>, och behandlades med Glivec (340 mg/m</w:t>
      </w:r>
      <w:r w:rsidRPr="00065E92">
        <w:rPr>
          <w:color w:val="000000"/>
          <w:vertAlign w:val="superscript"/>
          <w:lang w:val="sv-SE"/>
        </w:rPr>
        <w:t>2</w:t>
      </w:r>
      <w:r w:rsidRPr="00065E92">
        <w:rPr>
          <w:color w:val="000000"/>
          <w:lang w:val="sv-SE"/>
        </w:rPr>
        <w:t>/dag) i kombination med intensiv kemoterapi</w:t>
      </w:r>
      <w:r w:rsidRPr="005C1371">
        <w:rPr>
          <w:color w:val="000000"/>
          <w:lang w:val="sv-SE"/>
        </w:rPr>
        <w:t xml:space="preserve"> efter induktionsbehandling. Glivec administrerades</w:t>
      </w:r>
      <w:r w:rsidRPr="00B52C37">
        <w:rPr>
          <w:color w:val="000000"/>
          <w:lang w:val="sv-SE"/>
        </w:rPr>
        <w:t xml:space="preserve"> </w:t>
      </w:r>
      <w:r w:rsidRPr="009C3437">
        <w:rPr>
          <w:color w:val="000000"/>
          <w:lang w:val="sv-SE"/>
        </w:rPr>
        <w:t>intermittent i kohort 1</w:t>
      </w:r>
      <w:r w:rsidRPr="009C3437">
        <w:rPr>
          <w:color w:val="000000"/>
          <w:lang w:val="sv-SE"/>
        </w:rPr>
        <w:noBreakHyphen/>
        <w:t xml:space="preserve">5, med en ökande behandlingslängd och en tidigare start med Glivec från kohort till kohort; kohort 1 fick den lägsta intensiteten och kohort 5 fick den högsta intensiteten av Glivec (längst behandlingslängd i dagar med en kontinuerlig daglig Glivec dosering under de första kemoterapibehandlingarna). </w:t>
      </w:r>
      <w:r w:rsidRPr="009C5490">
        <w:rPr>
          <w:color w:val="000000"/>
          <w:lang w:val="sv-SE"/>
        </w:rPr>
        <w:t xml:space="preserve">En kontinuerlig daglig exponering av Glivec tidigt under </w:t>
      </w:r>
      <w:r w:rsidRPr="00065E92">
        <w:rPr>
          <w:color w:val="000000"/>
          <w:lang w:val="sv-SE"/>
        </w:rPr>
        <w:t xml:space="preserve">behandlingen i kombination med kemoterapi i </w:t>
      </w:r>
      <w:r w:rsidRPr="009C3437">
        <w:rPr>
          <w:color w:val="000000"/>
          <w:lang w:val="sv-SE"/>
        </w:rPr>
        <w:t>kohort 5 patienter (n=50) förbättrade den 4-årliga händelsefria överlevnaden (EFS) jämfört med historiska kontroller (n=120), som fick standard kemoterapi utan Glivec (69</w:t>
      </w:r>
      <w:r w:rsidRPr="009C5490">
        <w:rPr>
          <w:color w:val="000000"/>
          <w:lang w:val="sv-SE"/>
        </w:rPr>
        <w:t>,6</w:t>
      </w:r>
      <w:r>
        <w:rPr>
          <w:color w:val="000000"/>
          <w:lang w:val="sv-SE"/>
        </w:rPr>
        <w:t> </w:t>
      </w:r>
      <w:r w:rsidRPr="009C5490">
        <w:rPr>
          <w:color w:val="000000"/>
          <w:lang w:val="sv-SE"/>
        </w:rPr>
        <w:t>% mot 31,6</w:t>
      </w:r>
      <w:r>
        <w:rPr>
          <w:color w:val="000000"/>
          <w:lang w:val="sv-SE"/>
        </w:rPr>
        <w:t> </w:t>
      </w:r>
      <w:r w:rsidRPr="009C5490">
        <w:rPr>
          <w:color w:val="000000"/>
          <w:lang w:val="sv-SE"/>
        </w:rPr>
        <w:t>% respektive). Den uppskattade 4-årliga</w:t>
      </w:r>
      <w:r w:rsidRPr="00065E92">
        <w:rPr>
          <w:color w:val="000000"/>
          <w:lang w:val="sv-SE"/>
        </w:rPr>
        <w:t xml:space="preserve"> totala överlevnanden i </w:t>
      </w:r>
      <w:r w:rsidRPr="009C3437">
        <w:rPr>
          <w:color w:val="000000"/>
          <w:lang w:val="sv-SE"/>
        </w:rPr>
        <w:t>kohort 5-patienter var 83,6</w:t>
      </w:r>
      <w:r>
        <w:rPr>
          <w:color w:val="000000"/>
          <w:lang w:val="sv-SE"/>
        </w:rPr>
        <w:t> </w:t>
      </w:r>
      <w:r w:rsidRPr="009C3437">
        <w:rPr>
          <w:color w:val="000000"/>
          <w:lang w:val="sv-SE"/>
        </w:rPr>
        <w:t>% jämfört med 44,8</w:t>
      </w:r>
      <w:r>
        <w:rPr>
          <w:color w:val="000000"/>
          <w:lang w:val="sv-SE"/>
        </w:rPr>
        <w:t> </w:t>
      </w:r>
      <w:r w:rsidRPr="009C3437">
        <w:rPr>
          <w:color w:val="000000"/>
          <w:lang w:val="sv-SE"/>
        </w:rPr>
        <w:t>% i historiska kontroller. 20 av de 50 (40</w:t>
      </w:r>
      <w:r>
        <w:rPr>
          <w:color w:val="000000"/>
          <w:lang w:val="sv-SE"/>
        </w:rPr>
        <w:t> </w:t>
      </w:r>
      <w:r w:rsidRPr="009C3437">
        <w:rPr>
          <w:color w:val="000000"/>
          <w:lang w:val="sv-SE"/>
        </w:rPr>
        <w:t xml:space="preserve">%) patienterna i kohort 5 fick haematopoetisk </w:t>
      </w:r>
      <w:r w:rsidRPr="009C5490">
        <w:rPr>
          <w:color w:val="000000"/>
          <w:lang w:val="sv-SE"/>
        </w:rPr>
        <w:t>stamcellstransplantation.</w:t>
      </w:r>
    </w:p>
    <w:p w14:paraId="71E5A4E0" w14:textId="77777777" w:rsidR="00547CA2" w:rsidRPr="00065E92" w:rsidRDefault="00547CA2" w:rsidP="00463647">
      <w:pPr>
        <w:pStyle w:val="EndnoteText"/>
        <w:widowControl w:val="0"/>
        <w:rPr>
          <w:color w:val="000000"/>
          <w:lang w:val="sv-SE"/>
        </w:rPr>
      </w:pPr>
    </w:p>
    <w:p w14:paraId="11F30CEE" w14:textId="77777777" w:rsidR="00547CA2" w:rsidRPr="00FC458D" w:rsidRDefault="00547CA2" w:rsidP="00463647">
      <w:pPr>
        <w:pStyle w:val="EndnoteText"/>
        <w:keepNext/>
        <w:widowControl w:val="0"/>
        <w:rPr>
          <w:b/>
          <w:color w:val="000000"/>
          <w:lang w:val="sv-SE"/>
        </w:rPr>
      </w:pPr>
      <w:r w:rsidRPr="00065E92">
        <w:rPr>
          <w:b/>
          <w:color w:val="000000"/>
          <w:lang w:val="sv-SE"/>
        </w:rPr>
        <w:lastRenderedPageBreak/>
        <w:t>Tab</w:t>
      </w:r>
      <w:r w:rsidRPr="005C1371">
        <w:rPr>
          <w:b/>
          <w:color w:val="000000"/>
          <w:lang w:val="sv-SE"/>
        </w:rPr>
        <w:t>ell </w:t>
      </w:r>
      <w:r w:rsidR="00BA7C65">
        <w:rPr>
          <w:b/>
          <w:color w:val="000000"/>
          <w:lang w:val="sv-SE"/>
        </w:rPr>
        <w:t>5</w:t>
      </w:r>
      <w:r w:rsidRPr="005C1371">
        <w:rPr>
          <w:b/>
          <w:color w:val="000000"/>
          <w:lang w:val="sv-SE"/>
        </w:rPr>
        <w:tab/>
      </w:r>
      <w:r w:rsidRPr="005C1371">
        <w:rPr>
          <w:b/>
          <w:bCs/>
          <w:color w:val="000000"/>
          <w:szCs w:val="22"/>
          <w:lang w:val="sv-SE"/>
        </w:rPr>
        <w:t>Kem</w:t>
      </w:r>
      <w:r w:rsidRPr="005C1371">
        <w:rPr>
          <w:b/>
          <w:color w:val="000000"/>
          <w:szCs w:val="22"/>
          <w:lang w:val="sv-SE"/>
        </w:rPr>
        <w:t>oterapi-behandling</w:t>
      </w:r>
      <w:r w:rsidRPr="000E7AE9">
        <w:rPr>
          <w:b/>
          <w:color w:val="000000"/>
          <w:szCs w:val="22"/>
          <w:lang w:val="sv-SE"/>
        </w:rPr>
        <w:t xml:space="preserve"> i kombination med imatinib</w:t>
      </w:r>
      <w:r>
        <w:rPr>
          <w:b/>
          <w:color w:val="000000"/>
          <w:szCs w:val="22"/>
          <w:lang w:val="sv-SE"/>
        </w:rPr>
        <w:t xml:space="preserve"> </w:t>
      </w:r>
      <w:r>
        <w:rPr>
          <w:b/>
          <w:color w:val="000000"/>
          <w:lang w:val="sv-SE"/>
        </w:rPr>
        <w:t>i studie I2301</w:t>
      </w:r>
    </w:p>
    <w:p w14:paraId="3443BB23" w14:textId="77777777" w:rsidR="00547CA2" w:rsidRPr="00FC458D" w:rsidRDefault="00547CA2" w:rsidP="00463647">
      <w:pPr>
        <w:pStyle w:val="EndnoteText"/>
        <w:keepNext/>
        <w:widowControl w:val="0"/>
        <w:rPr>
          <w:color w:val="00000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6709"/>
      </w:tblGrid>
      <w:tr w:rsidR="00547CA2" w:rsidRPr="00644A2E" w14:paraId="2F0FE155" w14:textId="77777777" w:rsidTr="0040304A">
        <w:trPr>
          <w:cantSplit/>
        </w:trPr>
        <w:tc>
          <w:tcPr>
            <w:tcW w:w="2358" w:type="dxa"/>
            <w:shd w:val="clear" w:color="auto" w:fill="auto"/>
          </w:tcPr>
          <w:p w14:paraId="256EFBCB" w14:textId="77777777" w:rsidR="00547CA2" w:rsidRPr="00240FD6" w:rsidRDefault="00547CA2" w:rsidP="00463647">
            <w:pPr>
              <w:pStyle w:val="EndnoteText"/>
              <w:keepNext/>
              <w:widowControl w:val="0"/>
              <w:rPr>
                <w:color w:val="000000"/>
              </w:rPr>
            </w:pPr>
            <w:r>
              <w:rPr>
                <w:color w:val="000000"/>
              </w:rPr>
              <w:t xml:space="preserve">Konsolideringsblock 1 </w:t>
            </w:r>
            <w:r w:rsidRPr="00240FD6">
              <w:rPr>
                <w:color w:val="000000"/>
              </w:rPr>
              <w:t>(3</w:t>
            </w:r>
            <w:r>
              <w:rPr>
                <w:color w:val="000000"/>
              </w:rPr>
              <w:t> veckor</w:t>
            </w:r>
            <w:r w:rsidRPr="00240FD6">
              <w:rPr>
                <w:color w:val="000000"/>
              </w:rPr>
              <w:t>)</w:t>
            </w:r>
          </w:p>
        </w:tc>
        <w:tc>
          <w:tcPr>
            <w:tcW w:w="6929" w:type="dxa"/>
            <w:shd w:val="clear" w:color="auto" w:fill="auto"/>
          </w:tcPr>
          <w:p w14:paraId="2DBE5890" w14:textId="77777777" w:rsidR="00547CA2" w:rsidRPr="009C3437" w:rsidRDefault="00547CA2" w:rsidP="00463647">
            <w:pPr>
              <w:pStyle w:val="EndnoteText"/>
              <w:keepNext/>
              <w:widowControl w:val="0"/>
              <w:rPr>
                <w:color w:val="000000"/>
                <w:lang w:val="sv-SE"/>
              </w:rPr>
            </w:pPr>
            <w:r w:rsidRPr="009C3437">
              <w:rPr>
                <w:color w:val="000000"/>
                <w:lang w:val="sv-SE"/>
              </w:rPr>
              <w:t>VP-16 (100 mg/m</w:t>
            </w:r>
            <w:r w:rsidRPr="009C3437">
              <w:rPr>
                <w:color w:val="000000"/>
                <w:vertAlign w:val="superscript"/>
                <w:lang w:val="sv-SE"/>
              </w:rPr>
              <w:t>2</w:t>
            </w:r>
            <w:r w:rsidRPr="009C3437">
              <w:rPr>
                <w:color w:val="000000"/>
                <w:lang w:val="sv-SE"/>
              </w:rPr>
              <w:t>/dag, IV): dagar 1</w:t>
            </w:r>
            <w:r w:rsidRPr="009C3437">
              <w:rPr>
                <w:color w:val="000000"/>
                <w:lang w:val="sv-SE"/>
              </w:rPr>
              <w:noBreakHyphen/>
              <w:t>5</w:t>
            </w:r>
          </w:p>
          <w:p w14:paraId="7A586087" w14:textId="77777777" w:rsidR="00547CA2" w:rsidRPr="005C1371" w:rsidRDefault="00547CA2" w:rsidP="00463647">
            <w:pPr>
              <w:pStyle w:val="EndnoteText"/>
              <w:keepNext/>
              <w:widowControl w:val="0"/>
              <w:rPr>
                <w:color w:val="000000"/>
                <w:lang w:val="sv-SE"/>
              </w:rPr>
            </w:pPr>
            <w:r w:rsidRPr="009C5490">
              <w:rPr>
                <w:color w:val="000000"/>
                <w:lang w:val="sv-SE"/>
              </w:rPr>
              <w:t>Ifosfamid (1.8 g/m</w:t>
            </w:r>
            <w:r w:rsidRPr="009C5490">
              <w:rPr>
                <w:color w:val="000000"/>
                <w:vertAlign w:val="superscript"/>
                <w:lang w:val="sv-SE"/>
              </w:rPr>
              <w:t>2</w:t>
            </w:r>
            <w:r w:rsidRPr="00065E92">
              <w:rPr>
                <w:color w:val="000000"/>
                <w:lang w:val="sv-SE"/>
              </w:rPr>
              <w:t>/dag</w:t>
            </w:r>
            <w:r w:rsidRPr="005C1371">
              <w:rPr>
                <w:color w:val="000000"/>
                <w:lang w:val="sv-SE"/>
              </w:rPr>
              <w:t>, IV): dagar 1</w:t>
            </w:r>
            <w:r w:rsidRPr="005C1371">
              <w:rPr>
                <w:color w:val="000000"/>
                <w:lang w:val="sv-SE"/>
              </w:rPr>
              <w:noBreakHyphen/>
              <w:t>5</w:t>
            </w:r>
          </w:p>
          <w:p w14:paraId="2B7C218A" w14:textId="77777777" w:rsidR="00547CA2" w:rsidRPr="005C1371" w:rsidRDefault="00547CA2" w:rsidP="00463647">
            <w:pPr>
              <w:pStyle w:val="EndnoteText"/>
              <w:keepNext/>
              <w:widowControl w:val="0"/>
              <w:rPr>
                <w:color w:val="000000"/>
                <w:lang w:val="sv-SE"/>
              </w:rPr>
            </w:pPr>
            <w:r w:rsidRPr="005C1371">
              <w:rPr>
                <w:color w:val="000000"/>
                <w:lang w:val="sv-SE"/>
              </w:rPr>
              <w:t>MESNA (360 mg/m</w:t>
            </w:r>
            <w:r w:rsidRPr="005C1371">
              <w:rPr>
                <w:color w:val="000000"/>
                <w:vertAlign w:val="superscript"/>
                <w:lang w:val="sv-SE"/>
              </w:rPr>
              <w:t>2</w:t>
            </w:r>
            <w:r w:rsidRPr="005C1371">
              <w:rPr>
                <w:color w:val="000000"/>
                <w:lang w:val="sv-SE"/>
              </w:rPr>
              <w:t>/dos q3tim, x 8 doser/dag, IV): dagar 1</w:t>
            </w:r>
            <w:r w:rsidRPr="005C1371">
              <w:rPr>
                <w:color w:val="000000"/>
                <w:lang w:val="sv-SE"/>
              </w:rPr>
              <w:noBreakHyphen/>
              <w:t>5</w:t>
            </w:r>
          </w:p>
          <w:p w14:paraId="541F86C5" w14:textId="77777777" w:rsidR="00547CA2" w:rsidRPr="009C3437" w:rsidRDefault="00547CA2" w:rsidP="00463647">
            <w:pPr>
              <w:pStyle w:val="EndnoteText"/>
              <w:keepNext/>
              <w:widowControl w:val="0"/>
              <w:rPr>
                <w:color w:val="000000"/>
                <w:lang w:val="sv-SE"/>
              </w:rPr>
            </w:pPr>
            <w:r w:rsidRPr="005C1371">
              <w:rPr>
                <w:color w:val="000000"/>
                <w:lang w:val="sv-SE"/>
              </w:rPr>
              <w:t>G-CSF (5 </w:t>
            </w:r>
            <w:r w:rsidRPr="005C1371">
              <w:rPr>
                <w:color w:val="000000"/>
              </w:rPr>
              <w:t>μ</w:t>
            </w:r>
            <w:r w:rsidRPr="00B52C37">
              <w:rPr>
                <w:color w:val="000000"/>
                <w:lang w:val="sv-SE"/>
              </w:rPr>
              <w:t>g/kg, SC): dagar 6</w:t>
            </w:r>
            <w:r w:rsidRPr="00B52C37">
              <w:rPr>
                <w:color w:val="000000"/>
                <w:lang w:val="sv-SE"/>
              </w:rPr>
              <w:noBreakHyphen/>
              <w:t>15 eller tills ANC &gt; 1500</w:t>
            </w:r>
            <w:r w:rsidRPr="00946267">
              <w:rPr>
                <w:color w:val="000000"/>
                <w:lang w:val="sv-SE"/>
              </w:rPr>
              <w:t> </w:t>
            </w:r>
            <w:r w:rsidRPr="009C3437">
              <w:rPr>
                <w:color w:val="000000"/>
                <w:lang w:val="sv-SE"/>
              </w:rPr>
              <w:t>efter nadir</w:t>
            </w:r>
          </w:p>
          <w:p w14:paraId="58821306" w14:textId="77777777" w:rsidR="00547CA2" w:rsidRPr="005C1371" w:rsidRDefault="00547CA2" w:rsidP="00463647">
            <w:pPr>
              <w:pStyle w:val="EndnoteText"/>
              <w:keepNext/>
              <w:widowControl w:val="0"/>
              <w:rPr>
                <w:color w:val="000000"/>
                <w:lang w:val="sv-SE"/>
              </w:rPr>
            </w:pPr>
            <w:r w:rsidRPr="009C5490">
              <w:rPr>
                <w:color w:val="000000"/>
                <w:lang w:val="sv-SE"/>
              </w:rPr>
              <w:t>IT Metotrexat (åldersjusterad</w:t>
            </w:r>
            <w:r w:rsidRPr="00065E92">
              <w:rPr>
                <w:color w:val="000000"/>
                <w:lang w:val="sv-SE"/>
              </w:rPr>
              <w:t>): dag</w:t>
            </w:r>
            <w:r w:rsidRPr="005C1371">
              <w:rPr>
                <w:color w:val="000000"/>
                <w:lang w:val="sv-SE"/>
              </w:rPr>
              <w:t> 1 ENBART</w:t>
            </w:r>
          </w:p>
          <w:p w14:paraId="1120B6C2" w14:textId="77777777" w:rsidR="00547CA2" w:rsidRPr="005C1371" w:rsidRDefault="00547CA2" w:rsidP="00463647">
            <w:pPr>
              <w:pStyle w:val="EndnoteText"/>
              <w:keepNext/>
              <w:widowControl w:val="0"/>
              <w:rPr>
                <w:color w:val="000000"/>
                <w:lang w:val="sv-SE"/>
              </w:rPr>
            </w:pPr>
            <w:r w:rsidRPr="005C1371">
              <w:rPr>
                <w:color w:val="000000"/>
                <w:lang w:val="sv-SE"/>
              </w:rPr>
              <w:t>Trippel IT terapi (åldersjusterad): dag 8, 15</w:t>
            </w:r>
          </w:p>
        </w:tc>
      </w:tr>
      <w:tr w:rsidR="00547CA2" w:rsidRPr="00644A2E" w14:paraId="667F95F4" w14:textId="77777777" w:rsidTr="0040304A">
        <w:trPr>
          <w:cantSplit/>
        </w:trPr>
        <w:tc>
          <w:tcPr>
            <w:tcW w:w="2358" w:type="dxa"/>
            <w:shd w:val="clear" w:color="auto" w:fill="auto"/>
          </w:tcPr>
          <w:p w14:paraId="0F443DD8" w14:textId="77777777" w:rsidR="00547CA2" w:rsidRDefault="00547CA2" w:rsidP="00463647">
            <w:pPr>
              <w:pStyle w:val="EndnoteText"/>
              <w:widowControl w:val="0"/>
              <w:rPr>
                <w:color w:val="000000"/>
              </w:rPr>
            </w:pPr>
            <w:r>
              <w:rPr>
                <w:color w:val="000000"/>
              </w:rPr>
              <w:t>Konsolideringsblock </w:t>
            </w:r>
            <w:r w:rsidRPr="00240FD6">
              <w:rPr>
                <w:color w:val="000000"/>
              </w:rPr>
              <w:t>2</w:t>
            </w:r>
          </w:p>
          <w:p w14:paraId="48053147" w14:textId="77777777" w:rsidR="00547CA2" w:rsidRPr="00240FD6" w:rsidRDefault="00547CA2" w:rsidP="00463647">
            <w:pPr>
              <w:pStyle w:val="EndnoteText"/>
              <w:widowControl w:val="0"/>
              <w:rPr>
                <w:color w:val="000000"/>
              </w:rPr>
            </w:pPr>
            <w:r w:rsidRPr="00240FD6">
              <w:rPr>
                <w:color w:val="000000"/>
              </w:rPr>
              <w:t>(3</w:t>
            </w:r>
            <w:r>
              <w:rPr>
                <w:color w:val="000000"/>
              </w:rPr>
              <w:t> veckor</w:t>
            </w:r>
            <w:r w:rsidRPr="00240FD6">
              <w:rPr>
                <w:color w:val="000000"/>
              </w:rPr>
              <w:t>)</w:t>
            </w:r>
          </w:p>
        </w:tc>
        <w:tc>
          <w:tcPr>
            <w:tcW w:w="6929" w:type="dxa"/>
            <w:shd w:val="clear" w:color="auto" w:fill="auto"/>
          </w:tcPr>
          <w:p w14:paraId="0A405846" w14:textId="77777777" w:rsidR="00547CA2" w:rsidRPr="009C3437" w:rsidRDefault="00547CA2" w:rsidP="00463647">
            <w:pPr>
              <w:pStyle w:val="EndnoteText"/>
              <w:widowControl w:val="0"/>
              <w:rPr>
                <w:color w:val="000000"/>
                <w:lang w:val="sv-SE"/>
              </w:rPr>
            </w:pPr>
            <w:r w:rsidRPr="009C3437">
              <w:rPr>
                <w:color w:val="000000"/>
                <w:lang w:val="sv-SE"/>
              </w:rPr>
              <w:t>Metotrexat (5 g/m</w:t>
            </w:r>
            <w:r w:rsidRPr="009C3437">
              <w:rPr>
                <w:color w:val="000000"/>
                <w:vertAlign w:val="superscript"/>
                <w:lang w:val="sv-SE"/>
              </w:rPr>
              <w:t>2</w:t>
            </w:r>
            <w:r w:rsidRPr="009C3437">
              <w:rPr>
                <w:color w:val="000000"/>
                <w:lang w:val="sv-SE"/>
              </w:rPr>
              <w:t xml:space="preserve"> över 24 timmar, IV): dag 1</w:t>
            </w:r>
          </w:p>
          <w:p w14:paraId="618722FC" w14:textId="77777777" w:rsidR="00547CA2" w:rsidRPr="00B52C37" w:rsidRDefault="00547CA2" w:rsidP="00463647">
            <w:pPr>
              <w:pStyle w:val="EndnoteText"/>
              <w:widowControl w:val="0"/>
              <w:rPr>
                <w:color w:val="000000"/>
                <w:lang w:val="sv-SE"/>
              </w:rPr>
            </w:pPr>
            <w:r w:rsidRPr="009C5490">
              <w:rPr>
                <w:color w:val="000000"/>
                <w:lang w:val="sv-SE"/>
              </w:rPr>
              <w:t>Leucovorin (75 mg/m</w:t>
            </w:r>
            <w:r w:rsidRPr="009C5490">
              <w:rPr>
                <w:color w:val="000000"/>
                <w:vertAlign w:val="superscript"/>
                <w:lang w:val="sv-SE"/>
              </w:rPr>
              <w:t>2</w:t>
            </w:r>
            <w:r w:rsidRPr="009C5490">
              <w:rPr>
                <w:color w:val="000000"/>
                <w:lang w:val="sv-SE"/>
              </w:rPr>
              <w:t xml:space="preserve"> </w:t>
            </w:r>
            <w:r w:rsidRPr="00065E92">
              <w:rPr>
                <w:color w:val="000000"/>
                <w:lang w:val="sv-SE"/>
              </w:rPr>
              <w:t>vid timme</w:t>
            </w:r>
            <w:r w:rsidRPr="005C1371">
              <w:rPr>
                <w:color w:val="000000"/>
                <w:lang w:val="sv-SE"/>
              </w:rPr>
              <w:t> 36, IV; 15 mg/m</w:t>
            </w:r>
            <w:r w:rsidRPr="005C1371">
              <w:rPr>
                <w:color w:val="000000"/>
                <w:vertAlign w:val="superscript"/>
                <w:lang w:val="sv-SE"/>
              </w:rPr>
              <w:t>2</w:t>
            </w:r>
            <w:r w:rsidRPr="005C1371">
              <w:rPr>
                <w:color w:val="000000"/>
                <w:lang w:val="sv-SE"/>
              </w:rPr>
              <w:t xml:space="preserve"> IV eller PO q6tim x 6 doser</w:t>
            </w:r>
            <w:r w:rsidRPr="00B52C37">
              <w:rPr>
                <w:color w:val="000000"/>
                <w:lang w:val="sv-SE"/>
              </w:rPr>
              <w:t>)iii: dagar 2 och 3</w:t>
            </w:r>
          </w:p>
          <w:p w14:paraId="1856082C" w14:textId="77777777" w:rsidR="00547CA2" w:rsidRPr="00946267" w:rsidRDefault="00547CA2" w:rsidP="00463647">
            <w:pPr>
              <w:pStyle w:val="EndnoteText"/>
              <w:widowControl w:val="0"/>
              <w:rPr>
                <w:color w:val="000000"/>
                <w:lang w:val="sv-SE"/>
              </w:rPr>
            </w:pPr>
            <w:r w:rsidRPr="00B52C37">
              <w:rPr>
                <w:color w:val="000000"/>
                <w:lang w:val="sv-SE"/>
              </w:rPr>
              <w:t>Trip</w:t>
            </w:r>
            <w:r w:rsidRPr="004327DE">
              <w:rPr>
                <w:color w:val="000000"/>
                <w:lang w:val="sv-SE"/>
              </w:rPr>
              <w:t>pel IT terapi</w:t>
            </w:r>
            <w:r w:rsidRPr="008A1A8C">
              <w:rPr>
                <w:color w:val="000000"/>
                <w:lang w:val="sv-SE"/>
              </w:rPr>
              <w:t xml:space="preserve"> (åldersjusterad): dag</w:t>
            </w:r>
            <w:r w:rsidRPr="00946267">
              <w:rPr>
                <w:color w:val="000000"/>
                <w:lang w:val="sv-SE"/>
              </w:rPr>
              <w:t> 1</w:t>
            </w:r>
          </w:p>
          <w:p w14:paraId="378445AB" w14:textId="77777777" w:rsidR="00547CA2" w:rsidRPr="005E4B92" w:rsidRDefault="00547CA2" w:rsidP="00463647">
            <w:pPr>
              <w:pStyle w:val="EndnoteText"/>
              <w:widowControl w:val="0"/>
              <w:rPr>
                <w:color w:val="000000"/>
                <w:lang w:val="sv-SE"/>
              </w:rPr>
            </w:pPr>
            <w:r w:rsidRPr="00717594">
              <w:rPr>
                <w:color w:val="000000"/>
                <w:lang w:val="sv-SE"/>
              </w:rPr>
              <w:t>ARA-C (3 g/m</w:t>
            </w:r>
            <w:r w:rsidRPr="00717594">
              <w:rPr>
                <w:color w:val="000000"/>
                <w:vertAlign w:val="superscript"/>
                <w:lang w:val="sv-SE"/>
              </w:rPr>
              <w:t>2</w:t>
            </w:r>
            <w:r w:rsidRPr="00717594">
              <w:rPr>
                <w:color w:val="000000"/>
                <w:lang w:val="sv-SE"/>
              </w:rPr>
              <w:t>/dos q 12 tim x 4, IV): dagar 2 och</w:t>
            </w:r>
            <w:r w:rsidRPr="005E4B92">
              <w:rPr>
                <w:color w:val="000000"/>
                <w:lang w:val="sv-SE"/>
              </w:rPr>
              <w:t xml:space="preserve"> 3</w:t>
            </w:r>
          </w:p>
          <w:p w14:paraId="6871881C" w14:textId="77777777" w:rsidR="00547CA2" w:rsidRPr="009C3437" w:rsidRDefault="00547CA2" w:rsidP="00463647">
            <w:pPr>
              <w:pStyle w:val="EndnoteText"/>
              <w:widowControl w:val="0"/>
              <w:rPr>
                <w:color w:val="000000"/>
                <w:lang w:val="sv-SE"/>
              </w:rPr>
            </w:pPr>
            <w:r w:rsidRPr="005E4B92">
              <w:rPr>
                <w:color w:val="000000"/>
                <w:lang w:val="sv-SE"/>
              </w:rPr>
              <w:t>G-CSF (5 </w:t>
            </w:r>
            <w:r w:rsidRPr="005E4B92">
              <w:rPr>
                <w:color w:val="000000"/>
              </w:rPr>
              <w:t>μ</w:t>
            </w:r>
            <w:r w:rsidRPr="005E4B92">
              <w:rPr>
                <w:color w:val="000000"/>
                <w:lang w:val="sv-SE"/>
              </w:rPr>
              <w:t>g/kg, SC): dagar 4-13 eller tills</w:t>
            </w:r>
            <w:r w:rsidRPr="00DE796E">
              <w:rPr>
                <w:color w:val="000000"/>
                <w:lang w:val="sv-SE"/>
              </w:rPr>
              <w:t xml:space="preserve"> ANC &gt; 1500</w:t>
            </w:r>
            <w:r w:rsidRPr="00946267">
              <w:rPr>
                <w:color w:val="000000"/>
                <w:lang w:val="sv-SE"/>
              </w:rPr>
              <w:t> </w:t>
            </w:r>
            <w:r w:rsidRPr="009C3437">
              <w:rPr>
                <w:color w:val="000000"/>
                <w:lang w:val="sv-SE"/>
              </w:rPr>
              <w:t>efter nadir</w:t>
            </w:r>
          </w:p>
        </w:tc>
      </w:tr>
      <w:tr w:rsidR="00547CA2" w:rsidRPr="00644A2E" w14:paraId="398F7F48" w14:textId="77777777" w:rsidTr="0040304A">
        <w:trPr>
          <w:cantSplit/>
        </w:trPr>
        <w:tc>
          <w:tcPr>
            <w:tcW w:w="2358" w:type="dxa"/>
            <w:shd w:val="clear" w:color="auto" w:fill="auto"/>
          </w:tcPr>
          <w:p w14:paraId="47A88E2D" w14:textId="77777777" w:rsidR="00547CA2" w:rsidRPr="00240FD6" w:rsidRDefault="00547CA2" w:rsidP="00463647">
            <w:pPr>
              <w:pStyle w:val="EndnoteText"/>
              <w:widowControl w:val="0"/>
              <w:rPr>
                <w:color w:val="000000"/>
              </w:rPr>
            </w:pPr>
            <w:r>
              <w:rPr>
                <w:color w:val="000000"/>
              </w:rPr>
              <w:t>Reinduktionsblock </w:t>
            </w:r>
            <w:r w:rsidRPr="00240FD6">
              <w:rPr>
                <w:color w:val="000000"/>
              </w:rPr>
              <w:t>1</w:t>
            </w:r>
          </w:p>
          <w:p w14:paraId="28633AB4" w14:textId="77777777" w:rsidR="00547CA2" w:rsidRPr="00240FD6" w:rsidRDefault="00547CA2" w:rsidP="00463647">
            <w:pPr>
              <w:pStyle w:val="EndnoteText"/>
              <w:widowControl w:val="0"/>
              <w:rPr>
                <w:color w:val="000000"/>
              </w:rPr>
            </w:pPr>
            <w:r w:rsidRPr="00240FD6">
              <w:rPr>
                <w:color w:val="000000"/>
              </w:rPr>
              <w:t>(3</w:t>
            </w:r>
            <w:r>
              <w:rPr>
                <w:color w:val="000000"/>
              </w:rPr>
              <w:t> veckor</w:t>
            </w:r>
            <w:r w:rsidRPr="00240FD6">
              <w:rPr>
                <w:color w:val="000000"/>
              </w:rPr>
              <w:t>)</w:t>
            </w:r>
          </w:p>
        </w:tc>
        <w:tc>
          <w:tcPr>
            <w:tcW w:w="6929" w:type="dxa"/>
            <w:shd w:val="clear" w:color="auto" w:fill="auto"/>
          </w:tcPr>
          <w:p w14:paraId="01CFC384" w14:textId="77777777" w:rsidR="00547CA2" w:rsidRPr="009C3437" w:rsidRDefault="00547CA2" w:rsidP="00463647">
            <w:pPr>
              <w:pStyle w:val="EndnoteText"/>
              <w:widowControl w:val="0"/>
              <w:rPr>
                <w:color w:val="000000"/>
                <w:lang w:val="sv-SE"/>
              </w:rPr>
            </w:pPr>
            <w:r w:rsidRPr="009C3437">
              <w:rPr>
                <w:color w:val="000000"/>
                <w:lang w:val="sv-SE"/>
              </w:rPr>
              <w:t>VCR (1.5 mg/m</w:t>
            </w:r>
            <w:r w:rsidRPr="009C3437">
              <w:rPr>
                <w:color w:val="000000"/>
                <w:vertAlign w:val="superscript"/>
                <w:lang w:val="sv-SE"/>
              </w:rPr>
              <w:t>2</w:t>
            </w:r>
            <w:r w:rsidRPr="009C3437">
              <w:rPr>
                <w:color w:val="000000"/>
                <w:lang w:val="sv-SE"/>
              </w:rPr>
              <w:t>/dag, IV): dagar 1, 8, och 15</w:t>
            </w:r>
          </w:p>
          <w:p w14:paraId="1A8C544E" w14:textId="77777777" w:rsidR="00547CA2" w:rsidRPr="005C1371" w:rsidRDefault="00547CA2" w:rsidP="00463647">
            <w:pPr>
              <w:pStyle w:val="EndnoteText"/>
              <w:widowControl w:val="0"/>
              <w:rPr>
                <w:color w:val="000000"/>
                <w:lang w:val="sv-SE"/>
              </w:rPr>
            </w:pPr>
            <w:r w:rsidRPr="009C5490">
              <w:rPr>
                <w:color w:val="000000"/>
                <w:lang w:val="sv-SE"/>
              </w:rPr>
              <w:t>DAUN (45 mg/m</w:t>
            </w:r>
            <w:r w:rsidRPr="009C5490">
              <w:rPr>
                <w:color w:val="000000"/>
                <w:vertAlign w:val="superscript"/>
                <w:lang w:val="sv-SE"/>
              </w:rPr>
              <w:t>2</w:t>
            </w:r>
            <w:r w:rsidRPr="009C5490">
              <w:rPr>
                <w:color w:val="000000"/>
                <w:lang w:val="sv-SE"/>
              </w:rPr>
              <w:t>/da</w:t>
            </w:r>
            <w:r w:rsidRPr="00065E92">
              <w:rPr>
                <w:color w:val="000000"/>
                <w:lang w:val="sv-SE"/>
              </w:rPr>
              <w:t>g bolus, IV): da</w:t>
            </w:r>
            <w:r w:rsidRPr="005C1371">
              <w:rPr>
                <w:color w:val="000000"/>
                <w:lang w:val="sv-SE"/>
              </w:rPr>
              <w:t>gar 1 och 2</w:t>
            </w:r>
          </w:p>
          <w:p w14:paraId="148AF468" w14:textId="77777777" w:rsidR="00547CA2" w:rsidRPr="00B52C37" w:rsidRDefault="00547CA2" w:rsidP="00463647">
            <w:pPr>
              <w:pStyle w:val="EndnoteText"/>
              <w:widowControl w:val="0"/>
              <w:rPr>
                <w:color w:val="000000"/>
                <w:lang w:val="sv-SE"/>
              </w:rPr>
            </w:pPr>
            <w:r w:rsidRPr="005C1371">
              <w:rPr>
                <w:color w:val="000000"/>
                <w:lang w:val="sv-SE"/>
              </w:rPr>
              <w:t>CPM (250 mg/m</w:t>
            </w:r>
            <w:r w:rsidRPr="00B52C37">
              <w:rPr>
                <w:color w:val="000000"/>
                <w:vertAlign w:val="superscript"/>
                <w:lang w:val="sv-SE"/>
              </w:rPr>
              <w:t>2</w:t>
            </w:r>
            <w:r w:rsidRPr="00B52C37">
              <w:rPr>
                <w:color w:val="000000"/>
                <w:lang w:val="sv-SE"/>
              </w:rPr>
              <w:t>/dos q12tim x 4 doser, IV): dagar 3 och 4</w:t>
            </w:r>
          </w:p>
          <w:p w14:paraId="31CEE983" w14:textId="77777777" w:rsidR="00547CA2" w:rsidRPr="00946267" w:rsidRDefault="00547CA2" w:rsidP="00463647">
            <w:pPr>
              <w:pStyle w:val="EndnoteText"/>
              <w:widowControl w:val="0"/>
              <w:rPr>
                <w:color w:val="000000"/>
                <w:lang w:val="de-DE"/>
              </w:rPr>
            </w:pPr>
            <w:r w:rsidRPr="00946267">
              <w:rPr>
                <w:color w:val="000000"/>
                <w:lang w:val="de-DE"/>
              </w:rPr>
              <w:t>PEG-ASP (2500 IE/m</w:t>
            </w:r>
            <w:r w:rsidRPr="00946267">
              <w:rPr>
                <w:color w:val="000000"/>
                <w:vertAlign w:val="superscript"/>
                <w:lang w:val="de-DE"/>
              </w:rPr>
              <w:t>2</w:t>
            </w:r>
            <w:r w:rsidRPr="00946267">
              <w:rPr>
                <w:color w:val="000000"/>
                <w:lang w:val="de-DE"/>
              </w:rPr>
              <w:t>, IM): dag 4</w:t>
            </w:r>
          </w:p>
          <w:p w14:paraId="69E1151D" w14:textId="77777777" w:rsidR="00547CA2" w:rsidRPr="009C3437" w:rsidRDefault="00547CA2" w:rsidP="00463647">
            <w:pPr>
              <w:pStyle w:val="EndnoteText"/>
              <w:widowControl w:val="0"/>
              <w:rPr>
                <w:color w:val="000000"/>
                <w:lang w:val="sv-SE"/>
              </w:rPr>
            </w:pPr>
            <w:r w:rsidRPr="005C1371">
              <w:rPr>
                <w:color w:val="000000"/>
                <w:lang w:val="sv-SE"/>
              </w:rPr>
              <w:t>G-CSF (5 </w:t>
            </w:r>
            <w:r w:rsidRPr="005C1371">
              <w:rPr>
                <w:color w:val="000000"/>
              </w:rPr>
              <w:t>μ</w:t>
            </w:r>
            <w:r w:rsidRPr="005C1371">
              <w:rPr>
                <w:color w:val="000000"/>
                <w:lang w:val="sv-SE"/>
              </w:rPr>
              <w:t>g/kg, SC): dagar 5</w:t>
            </w:r>
            <w:r w:rsidRPr="005C1371">
              <w:rPr>
                <w:color w:val="000000"/>
                <w:lang w:val="sv-SE"/>
              </w:rPr>
              <w:noBreakHyphen/>
              <w:t>14 eller tills ANC &gt; 1500</w:t>
            </w:r>
            <w:r w:rsidRPr="00946267">
              <w:rPr>
                <w:color w:val="000000"/>
                <w:lang w:val="sv-SE"/>
              </w:rPr>
              <w:t> </w:t>
            </w:r>
            <w:r w:rsidRPr="009C3437">
              <w:rPr>
                <w:color w:val="000000"/>
                <w:lang w:val="sv-SE"/>
              </w:rPr>
              <w:t>efter nadir</w:t>
            </w:r>
          </w:p>
          <w:p w14:paraId="7AF3E128" w14:textId="77777777" w:rsidR="00547CA2" w:rsidRPr="005C1371" w:rsidRDefault="00547CA2" w:rsidP="00463647">
            <w:pPr>
              <w:pStyle w:val="EndnoteText"/>
              <w:widowControl w:val="0"/>
              <w:rPr>
                <w:color w:val="000000"/>
                <w:lang w:val="sv-SE"/>
              </w:rPr>
            </w:pPr>
            <w:r w:rsidRPr="009C5490">
              <w:rPr>
                <w:color w:val="000000"/>
                <w:lang w:val="sv-SE"/>
              </w:rPr>
              <w:t>Trippel IT t</w:t>
            </w:r>
            <w:r w:rsidRPr="00065E92">
              <w:rPr>
                <w:color w:val="000000"/>
                <w:lang w:val="sv-SE"/>
              </w:rPr>
              <w:t>erapi (</w:t>
            </w:r>
            <w:r w:rsidRPr="005C1371">
              <w:rPr>
                <w:color w:val="000000"/>
                <w:lang w:val="sv-SE"/>
              </w:rPr>
              <w:t>åldersjusterad): dagar 1 och 15</w:t>
            </w:r>
          </w:p>
          <w:p w14:paraId="7911C3BF" w14:textId="77777777" w:rsidR="00547CA2" w:rsidRPr="00B52C37" w:rsidRDefault="00547CA2" w:rsidP="00463647">
            <w:pPr>
              <w:pStyle w:val="EndnoteText"/>
              <w:widowControl w:val="0"/>
              <w:rPr>
                <w:color w:val="000000"/>
                <w:lang w:val="sv-SE"/>
              </w:rPr>
            </w:pPr>
            <w:r w:rsidRPr="005C1371">
              <w:rPr>
                <w:color w:val="000000"/>
                <w:lang w:val="sv-SE"/>
              </w:rPr>
              <w:t>DEX (6 mg/m</w:t>
            </w:r>
            <w:r w:rsidRPr="00B52C37">
              <w:rPr>
                <w:color w:val="000000"/>
                <w:vertAlign w:val="superscript"/>
                <w:lang w:val="sv-SE"/>
              </w:rPr>
              <w:t>2</w:t>
            </w:r>
            <w:r w:rsidRPr="00B52C37">
              <w:rPr>
                <w:color w:val="000000"/>
                <w:lang w:val="sv-SE"/>
              </w:rPr>
              <w:t>/dag, PO): dagar 1</w:t>
            </w:r>
            <w:r w:rsidRPr="00B52C37">
              <w:rPr>
                <w:color w:val="000000"/>
                <w:lang w:val="sv-SE"/>
              </w:rPr>
              <w:noBreakHyphen/>
              <w:t>7 och 15</w:t>
            </w:r>
            <w:r w:rsidRPr="00B52C37">
              <w:rPr>
                <w:color w:val="000000"/>
                <w:lang w:val="sv-SE"/>
              </w:rPr>
              <w:noBreakHyphen/>
              <w:t>21</w:t>
            </w:r>
          </w:p>
        </w:tc>
      </w:tr>
      <w:tr w:rsidR="00547CA2" w:rsidRPr="00644A2E" w14:paraId="4889741B" w14:textId="77777777" w:rsidTr="0040304A">
        <w:trPr>
          <w:cantSplit/>
        </w:trPr>
        <w:tc>
          <w:tcPr>
            <w:tcW w:w="2358" w:type="dxa"/>
            <w:shd w:val="clear" w:color="auto" w:fill="auto"/>
          </w:tcPr>
          <w:p w14:paraId="5112C19A" w14:textId="77777777" w:rsidR="00547CA2" w:rsidRDefault="00547CA2" w:rsidP="00463647">
            <w:pPr>
              <w:pStyle w:val="EndnoteText"/>
              <w:widowControl w:val="0"/>
              <w:rPr>
                <w:color w:val="000000"/>
              </w:rPr>
            </w:pPr>
            <w:r>
              <w:rPr>
                <w:color w:val="000000"/>
              </w:rPr>
              <w:t>Intensifieringsblock </w:t>
            </w:r>
            <w:r w:rsidRPr="00240FD6">
              <w:rPr>
                <w:color w:val="000000"/>
              </w:rPr>
              <w:t>1</w:t>
            </w:r>
          </w:p>
          <w:p w14:paraId="5799FF9E" w14:textId="77777777" w:rsidR="00547CA2" w:rsidRPr="00240FD6" w:rsidRDefault="00547CA2" w:rsidP="00463647">
            <w:pPr>
              <w:pStyle w:val="EndnoteText"/>
              <w:widowControl w:val="0"/>
              <w:rPr>
                <w:color w:val="000000"/>
              </w:rPr>
            </w:pPr>
            <w:r w:rsidRPr="00240FD6">
              <w:rPr>
                <w:color w:val="000000"/>
              </w:rPr>
              <w:t>(9</w:t>
            </w:r>
            <w:r>
              <w:rPr>
                <w:color w:val="000000"/>
              </w:rPr>
              <w:t> veckor</w:t>
            </w:r>
            <w:r w:rsidRPr="00240FD6">
              <w:rPr>
                <w:color w:val="000000"/>
              </w:rPr>
              <w:t>)</w:t>
            </w:r>
          </w:p>
        </w:tc>
        <w:tc>
          <w:tcPr>
            <w:tcW w:w="6929" w:type="dxa"/>
            <w:shd w:val="clear" w:color="auto" w:fill="auto"/>
          </w:tcPr>
          <w:p w14:paraId="49F045F6" w14:textId="77777777" w:rsidR="00547CA2" w:rsidRPr="009C5490" w:rsidRDefault="00547CA2" w:rsidP="00463647">
            <w:pPr>
              <w:pStyle w:val="EndnoteText"/>
              <w:widowControl w:val="0"/>
              <w:rPr>
                <w:color w:val="000000"/>
                <w:lang w:val="sv-SE"/>
              </w:rPr>
            </w:pPr>
            <w:r w:rsidRPr="009C3437">
              <w:rPr>
                <w:color w:val="000000"/>
                <w:lang w:val="sv-SE"/>
              </w:rPr>
              <w:t>Metotrexat (5 g/m</w:t>
            </w:r>
            <w:r w:rsidRPr="009C3437">
              <w:rPr>
                <w:color w:val="000000"/>
                <w:vertAlign w:val="superscript"/>
                <w:lang w:val="sv-SE"/>
              </w:rPr>
              <w:t>2</w:t>
            </w:r>
            <w:r w:rsidRPr="009C3437">
              <w:rPr>
                <w:color w:val="000000"/>
                <w:lang w:val="sv-SE"/>
              </w:rPr>
              <w:t xml:space="preserve"> över 24 timmar, IV): dagar 1 och</w:t>
            </w:r>
            <w:r w:rsidRPr="009C5490">
              <w:rPr>
                <w:color w:val="000000"/>
                <w:lang w:val="sv-SE"/>
              </w:rPr>
              <w:t xml:space="preserve"> 15</w:t>
            </w:r>
          </w:p>
          <w:p w14:paraId="21B8C7FC" w14:textId="77777777" w:rsidR="00547CA2" w:rsidRPr="00B52C37" w:rsidRDefault="00547CA2" w:rsidP="00463647">
            <w:pPr>
              <w:pStyle w:val="EndnoteText"/>
              <w:widowControl w:val="0"/>
              <w:rPr>
                <w:color w:val="000000"/>
                <w:lang w:val="sv-SE"/>
              </w:rPr>
            </w:pPr>
            <w:r w:rsidRPr="00065E92">
              <w:rPr>
                <w:color w:val="000000"/>
                <w:lang w:val="sv-SE"/>
              </w:rPr>
              <w:t>Leucovorin (75 mg/m</w:t>
            </w:r>
            <w:r w:rsidRPr="00065E92">
              <w:rPr>
                <w:color w:val="000000"/>
                <w:vertAlign w:val="superscript"/>
                <w:lang w:val="sv-SE"/>
              </w:rPr>
              <w:t>2</w:t>
            </w:r>
            <w:r w:rsidRPr="005C1371">
              <w:rPr>
                <w:color w:val="000000"/>
                <w:lang w:val="sv-SE"/>
              </w:rPr>
              <w:t xml:space="preserve"> vid timme 36, IV; 15 mg/m</w:t>
            </w:r>
            <w:r w:rsidRPr="005C1371">
              <w:rPr>
                <w:color w:val="000000"/>
                <w:vertAlign w:val="superscript"/>
                <w:lang w:val="sv-SE"/>
              </w:rPr>
              <w:t>2</w:t>
            </w:r>
            <w:r w:rsidRPr="005C1371">
              <w:rPr>
                <w:color w:val="000000"/>
                <w:lang w:val="sv-SE"/>
              </w:rPr>
              <w:t xml:space="preserve"> IV eller PO q6tim x 6 dose</w:t>
            </w:r>
            <w:r w:rsidRPr="00B52C37">
              <w:rPr>
                <w:color w:val="000000"/>
                <w:lang w:val="sv-SE"/>
              </w:rPr>
              <w:t>r)iii: dagar 2, 3, 16, och 17</w:t>
            </w:r>
          </w:p>
          <w:p w14:paraId="48DCCB50" w14:textId="77777777" w:rsidR="00547CA2" w:rsidRPr="00946267" w:rsidRDefault="00547CA2" w:rsidP="00463647">
            <w:pPr>
              <w:pStyle w:val="EndnoteText"/>
              <w:widowControl w:val="0"/>
              <w:rPr>
                <w:color w:val="000000"/>
                <w:lang w:val="sv-SE"/>
              </w:rPr>
            </w:pPr>
            <w:r w:rsidRPr="00B52C37">
              <w:rPr>
                <w:color w:val="000000"/>
                <w:lang w:val="sv-SE"/>
              </w:rPr>
              <w:t>Tri</w:t>
            </w:r>
            <w:r w:rsidRPr="004327DE">
              <w:rPr>
                <w:color w:val="000000"/>
                <w:lang w:val="sv-SE"/>
              </w:rPr>
              <w:t>ppel</w:t>
            </w:r>
            <w:r w:rsidRPr="008A1A8C">
              <w:rPr>
                <w:color w:val="000000"/>
                <w:lang w:val="sv-SE"/>
              </w:rPr>
              <w:t xml:space="preserve"> IT terapi (åldersjusterad</w:t>
            </w:r>
            <w:r w:rsidRPr="00946267">
              <w:rPr>
                <w:color w:val="000000"/>
                <w:lang w:val="sv-SE"/>
              </w:rPr>
              <w:t>): dagar 1 och 22</w:t>
            </w:r>
          </w:p>
          <w:p w14:paraId="5970A1D0" w14:textId="77777777" w:rsidR="00547CA2" w:rsidRPr="00717594" w:rsidRDefault="00547CA2" w:rsidP="00463647">
            <w:pPr>
              <w:pStyle w:val="EndnoteText"/>
              <w:widowControl w:val="0"/>
              <w:rPr>
                <w:color w:val="000000"/>
                <w:lang w:val="sv-SE"/>
              </w:rPr>
            </w:pPr>
            <w:r w:rsidRPr="00717594">
              <w:rPr>
                <w:color w:val="000000"/>
                <w:lang w:val="sv-SE"/>
              </w:rPr>
              <w:t>VP-16 (100 mg/m</w:t>
            </w:r>
            <w:r w:rsidRPr="00717594">
              <w:rPr>
                <w:color w:val="000000"/>
                <w:vertAlign w:val="superscript"/>
                <w:lang w:val="sv-SE"/>
              </w:rPr>
              <w:t>2</w:t>
            </w:r>
            <w:r w:rsidRPr="00717594">
              <w:rPr>
                <w:color w:val="000000"/>
                <w:lang w:val="sv-SE"/>
              </w:rPr>
              <w:t>/dag, IV): dagar 22</w:t>
            </w:r>
            <w:r w:rsidRPr="00717594">
              <w:rPr>
                <w:color w:val="000000"/>
                <w:lang w:val="sv-SE"/>
              </w:rPr>
              <w:noBreakHyphen/>
              <w:t>26</w:t>
            </w:r>
          </w:p>
          <w:p w14:paraId="50FC9C07" w14:textId="77777777" w:rsidR="00547CA2" w:rsidRPr="005E4B92" w:rsidRDefault="00547CA2" w:rsidP="00463647">
            <w:pPr>
              <w:pStyle w:val="EndnoteText"/>
              <w:widowControl w:val="0"/>
              <w:rPr>
                <w:color w:val="000000"/>
                <w:lang w:val="sv-SE"/>
              </w:rPr>
            </w:pPr>
            <w:r w:rsidRPr="005E4B92">
              <w:rPr>
                <w:color w:val="000000"/>
                <w:lang w:val="sv-SE"/>
              </w:rPr>
              <w:t>CPM (300 mg/m</w:t>
            </w:r>
            <w:r w:rsidRPr="005E4B92">
              <w:rPr>
                <w:color w:val="000000"/>
                <w:vertAlign w:val="superscript"/>
                <w:lang w:val="sv-SE"/>
              </w:rPr>
              <w:t>2</w:t>
            </w:r>
            <w:r w:rsidRPr="005E4B92">
              <w:rPr>
                <w:color w:val="000000"/>
                <w:lang w:val="sv-SE"/>
              </w:rPr>
              <w:t>/dag, IV): dagar 22</w:t>
            </w:r>
            <w:r w:rsidRPr="005E4B92">
              <w:rPr>
                <w:color w:val="000000"/>
                <w:lang w:val="sv-SE"/>
              </w:rPr>
              <w:noBreakHyphen/>
              <w:t>26</w:t>
            </w:r>
          </w:p>
          <w:p w14:paraId="05FA8EDD" w14:textId="77777777" w:rsidR="00547CA2" w:rsidRPr="009652FC" w:rsidRDefault="00547CA2" w:rsidP="00463647">
            <w:pPr>
              <w:pStyle w:val="EndnoteText"/>
              <w:widowControl w:val="0"/>
              <w:rPr>
                <w:color w:val="000000"/>
                <w:lang w:val="sv-SE"/>
              </w:rPr>
            </w:pPr>
            <w:r w:rsidRPr="00DE796E">
              <w:rPr>
                <w:color w:val="000000"/>
                <w:lang w:val="sv-SE"/>
              </w:rPr>
              <w:t>MESNA (150 mg/m</w:t>
            </w:r>
            <w:r w:rsidRPr="00203BEF">
              <w:rPr>
                <w:color w:val="000000"/>
                <w:vertAlign w:val="superscript"/>
                <w:lang w:val="sv-SE"/>
              </w:rPr>
              <w:t>2</w:t>
            </w:r>
            <w:r w:rsidRPr="003960FF">
              <w:rPr>
                <w:color w:val="000000"/>
                <w:lang w:val="sv-SE"/>
              </w:rPr>
              <w:t>/dag</w:t>
            </w:r>
            <w:r w:rsidRPr="009652FC">
              <w:rPr>
                <w:color w:val="000000"/>
                <w:lang w:val="sv-SE"/>
              </w:rPr>
              <w:t>, IV): dagar 22</w:t>
            </w:r>
            <w:r w:rsidRPr="009652FC">
              <w:rPr>
                <w:color w:val="000000"/>
                <w:lang w:val="sv-SE"/>
              </w:rPr>
              <w:noBreakHyphen/>
              <w:t>26</w:t>
            </w:r>
          </w:p>
          <w:p w14:paraId="78477159" w14:textId="77777777" w:rsidR="00547CA2" w:rsidRPr="009C3437" w:rsidRDefault="00547CA2" w:rsidP="00463647">
            <w:pPr>
              <w:pStyle w:val="EndnoteText"/>
              <w:widowControl w:val="0"/>
              <w:rPr>
                <w:color w:val="000000"/>
                <w:lang w:val="sv-SE"/>
              </w:rPr>
            </w:pPr>
            <w:r w:rsidRPr="004E6EB6">
              <w:rPr>
                <w:color w:val="000000"/>
                <w:lang w:val="sv-SE"/>
              </w:rPr>
              <w:t>G-CSF (5 </w:t>
            </w:r>
            <w:r w:rsidRPr="004E6EB6">
              <w:rPr>
                <w:color w:val="000000"/>
              </w:rPr>
              <w:t>μ</w:t>
            </w:r>
            <w:r w:rsidRPr="00DA7134">
              <w:rPr>
                <w:color w:val="000000"/>
                <w:lang w:val="sv-SE"/>
              </w:rPr>
              <w:t>g/kg, SC): dagar</w:t>
            </w:r>
            <w:r w:rsidRPr="002B1538">
              <w:rPr>
                <w:color w:val="000000"/>
                <w:lang w:val="sv-SE"/>
              </w:rPr>
              <w:t xml:space="preserve"> 27-36 </w:t>
            </w:r>
            <w:r w:rsidRPr="00FD4105">
              <w:rPr>
                <w:color w:val="000000"/>
                <w:lang w:val="sv-SE"/>
              </w:rPr>
              <w:t>eller tills ANC &gt; 1500</w:t>
            </w:r>
            <w:r w:rsidRPr="009C3437">
              <w:rPr>
                <w:color w:val="000000"/>
                <w:lang w:val="sv-SE"/>
              </w:rPr>
              <w:t> efter nadir</w:t>
            </w:r>
          </w:p>
          <w:p w14:paraId="67D464F5" w14:textId="77777777" w:rsidR="00547CA2" w:rsidRPr="005C1371" w:rsidRDefault="00547CA2" w:rsidP="00463647">
            <w:pPr>
              <w:pStyle w:val="EndnoteText"/>
              <w:widowControl w:val="0"/>
              <w:rPr>
                <w:color w:val="000000"/>
                <w:lang w:val="sv-SE"/>
              </w:rPr>
            </w:pPr>
            <w:r w:rsidRPr="009C5490">
              <w:rPr>
                <w:color w:val="000000"/>
                <w:lang w:val="sv-SE"/>
              </w:rPr>
              <w:t>ARA-C (3 g/m</w:t>
            </w:r>
            <w:r w:rsidRPr="009C5490">
              <w:rPr>
                <w:color w:val="000000"/>
                <w:vertAlign w:val="superscript"/>
                <w:lang w:val="sv-SE"/>
              </w:rPr>
              <w:t>2</w:t>
            </w:r>
            <w:r w:rsidRPr="009C5490">
              <w:rPr>
                <w:color w:val="000000"/>
                <w:lang w:val="sv-SE"/>
              </w:rPr>
              <w:t>, q12</w:t>
            </w:r>
            <w:r w:rsidRPr="00065E92">
              <w:rPr>
                <w:color w:val="000000"/>
                <w:lang w:val="sv-SE"/>
              </w:rPr>
              <w:t>tim, IV): da</w:t>
            </w:r>
            <w:r w:rsidRPr="005C1371">
              <w:rPr>
                <w:color w:val="000000"/>
                <w:lang w:val="sv-SE"/>
              </w:rPr>
              <w:t>gar 43, 44</w:t>
            </w:r>
          </w:p>
          <w:p w14:paraId="5A31EE22" w14:textId="77777777" w:rsidR="00547CA2" w:rsidRPr="00946267" w:rsidRDefault="00547CA2" w:rsidP="00463647">
            <w:pPr>
              <w:pStyle w:val="EndnoteText"/>
              <w:widowControl w:val="0"/>
              <w:rPr>
                <w:color w:val="000000"/>
                <w:lang w:val="de-DE"/>
              </w:rPr>
            </w:pPr>
            <w:r w:rsidRPr="00946267">
              <w:rPr>
                <w:color w:val="000000"/>
                <w:lang w:val="de-DE"/>
              </w:rPr>
              <w:t>L-ASP (6000 IE/m</w:t>
            </w:r>
            <w:r w:rsidRPr="00946267">
              <w:rPr>
                <w:color w:val="000000"/>
                <w:vertAlign w:val="superscript"/>
                <w:lang w:val="de-DE"/>
              </w:rPr>
              <w:t>2</w:t>
            </w:r>
            <w:r w:rsidRPr="00946267">
              <w:rPr>
                <w:color w:val="000000"/>
                <w:lang w:val="de-DE"/>
              </w:rPr>
              <w:t>, IM): dag 44</w:t>
            </w:r>
          </w:p>
        </w:tc>
      </w:tr>
      <w:tr w:rsidR="00547CA2" w:rsidRPr="00644A2E" w14:paraId="2CC51496" w14:textId="77777777" w:rsidTr="0040304A">
        <w:trPr>
          <w:cantSplit/>
        </w:trPr>
        <w:tc>
          <w:tcPr>
            <w:tcW w:w="2358" w:type="dxa"/>
            <w:shd w:val="clear" w:color="auto" w:fill="auto"/>
          </w:tcPr>
          <w:p w14:paraId="5C37FCE9" w14:textId="77777777" w:rsidR="00547CA2" w:rsidRDefault="00547CA2" w:rsidP="00463647">
            <w:pPr>
              <w:pStyle w:val="EndnoteText"/>
              <w:widowControl w:val="0"/>
              <w:rPr>
                <w:color w:val="000000"/>
              </w:rPr>
            </w:pPr>
            <w:r>
              <w:rPr>
                <w:color w:val="000000"/>
              </w:rPr>
              <w:t>Reinduktionsblock </w:t>
            </w:r>
            <w:r w:rsidRPr="00240FD6">
              <w:rPr>
                <w:color w:val="000000"/>
              </w:rPr>
              <w:t>2</w:t>
            </w:r>
          </w:p>
          <w:p w14:paraId="6AEE4CF6" w14:textId="77777777" w:rsidR="00547CA2" w:rsidRPr="00240FD6" w:rsidRDefault="00547CA2" w:rsidP="00463647">
            <w:pPr>
              <w:pStyle w:val="EndnoteText"/>
              <w:widowControl w:val="0"/>
              <w:rPr>
                <w:color w:val="000000"/>
              </w:rPr>
            </w:pPr>
            <w:r w:rsidRPr="00240FD6">
              <w:rPr>
                <w:color w:val="000000"/>
              </w:rPr>
              <w:t>(3</w:t>
            </w:r>
            <w:r>
              <w:rPr>
                <w:color w:val="000000"/>
              </w:rPr>
              <w:t> veckor</w:t>
            </w:r>
            <w:r w:rsidRPr="00240FD6">
              <w:rPr>
                <w:color w:val="000000"/>
              </w:rPr>
              <w:t>)</w:t>
            </w:r>
          </w:p>
        </w:tc>
        <w:tc>
          <w:tcPr>
            <w:tcW w:w="6929" w:type="dxa"/>
            <w:shd w:val="clear" w:color="auto" w:fill="auto"/>
          </w:tcPr>
          <w:p w14:paraId="530B5CCC" w14:textId="77777777" w:rsidR="00547CA2" w:rsidRPr="009C3437" w:rsidRDefault="00547CA2" w:rsidP="00463647">
            <w:pPr>
              <w:pStyle w:val="EndnoteText"/>
              <w:widowControl w:val="0"/>
              <w:rPr>
                <w:color w:val="000000"/>
                <w:lang w:val="sv-SE"/>
              </w:rPr>
            </w:pPr>
            <w:r w:rsidRPr="009C3437">
              <w:rPr>
                <w:color w:val="000000"/>
                <w:lang w:val="sv-SE"/>
              </w:rPr>
              <w:t>VCR (1.5 mg/m</w:t>
            </w:r>
            <w:r w:rsidRPr="009C3437">
              <w:rPr>
                <w:color w:val="000000"/>
                <w:vertAlign w:val="superscript"/>
                <w:lang w:val="sv-SE"/>
              </w:rPr>
              <w:t>2</w:t>
            </w:r>
            <w:r w:rsidRPr="009C3437">
              <w:rPr>
                <w:color w:val="000000"/>
                <w:lang w:val="sv-SE"/>
              </w:rPr>
              <w:t>/dag, IV): dagar 1, 8 och 15</w:t>
            </w:r>
          </w:p>
          <w:p w14:paraId="75F3D972" w14:textId="77777777" w:rsidR="00547CA2" w:rsidRPr="005C1371" w:rsidRDefault="00547CA2" w:rsidP="00463647">
            <w:pPr>
              <w:pStyle w:val="EndnoteText"/>
              <w:widowControl w:val="0"/>
              <w:rPr>
                <w:color w:val="000000"/>
                <w:lang w:val="sv-SE"/>
              </w:rPr>
            </w:pPr>
            <w:r w:rsidRPr="009C5490">
              <w:rPr>
                <w:color w:val="000000"/>
                <w:lang w:val="sv-SE"/>
              </w:rPr>
              <w:t>DAUN (45 mg/m</w:t>
            </w:r>
            <w:r w:rsidRPr="009C5490">
              <w:rPr>
                <w:color w:val="000000"/>
                <w:vertAlign w:val="superscript"/>
                <w:lang w:val="sv-SE"/>
              </w:rPr>
              <w:t>2</w:t>
            </w:r>
            <w:r w:rsidRPr="009C5490">
              <w:rPr>
                <w:color w:val="000000"/>
                <w:lang w:val="sv-SE"/>
              </w:rPr>
              <w:t>/da</w:t>
            </w:r>
            <w:r w:rsidRPr="00065E92">
              <w:rPr>
                <w:color w:val="000000"/>
                <w:lang w:val="sv-SE"/>
              </w:rPr>
              <w:t>g bolus, IV): da</w:t>
            </w:r>
            <w:r w:rsidRPr="005C1371">
              <w:rPr>
                <w:color w:val="000000"/>
                <w:lang w:val="sv-SE"/>
              </w:rPr>
              <w:t>gar 1 och 2</w:t>
            </w:r>
          </w:p>
          <w:p w14:paraId="26E9D45D" w14:textId="77777777" w:rsidR="00547CA2" w:rsidRPr="00946267" w:rsidRDefault="00547CA2" w:rsidP="00463647">
            <w:pPr>
              <w:pStyle w:val="EndnoteText"/>
              <w:widowControl w:val="0"/>
              <w:rPr>
                <w:color w:val="000000"/>
                <w:lang w:val="sv-SE"/>
              </w:rPr>
            </w:pPr>
            <w:r w:rsidRPr="005C1371">
              <w:rPr>
                <w:color w:val="000000"/>
                <w:lang w:val="sv-SE"/>
              </w:rPr>
              <w:t>CPM (250 mg/m</w:t>
            </w:r>
            <w:r w:rsidRPr="008A1A8C">
              <w:rPr>
                <w:color w:val="000000"/>
                <w:vertAlign w:val="superscript"/>
                <w:lang w:val="sv-SE"/>
              </w:rPr>
              <w:t>2</w:t>
            </w:r>
            <w:r w:rsidRPr="008A1A8C">
              <w:rPr>
                <w:color w:val="000000"/>
                <w:lang w:val="sv-SE"/>
              </w:rPr>
              <w:t>/dos q12tim</w:t>
            </w:r>
            <w:r w:rsidRPr="00946267">
              <w:rPr>
                <w:color w:val="000000"/>
                <w:lang w:val="sv-SE"/>
              </w:rPr>
              <w:t xml:space="preserve"> x 4 doser, iv): dagar 3 och 4</w:t>
            </w:r>
          </w:p>
          <w:p w14:paraId="7384C7A1" w14:textId="77777777" w:rsidR="00547CA2" w:rsidRPr="00946267" w:rsidRDefault="00547CA2" w:rsidP="00463647">
            <w:pPr>
              <w:pStyle w:val="EndnoteText"/>
              <w:widowControl w:val="0"/>
              <w:rPr>
                <w:color w:val="000000"/>
                <w:lang w:val="de-DE"/>
              </w:rPr>
            </w:pPr>
            <w:r w:rsidRPr="00946267">
              <w:rPr>
                <w:color w:val="000000"/>
                <w:lang w:val="de-DE"/>
              </w:rPr>
              <w:t>PEG-ASP (2500 IE/m</w:t>
            </w:r>
            <w:r w:rsidRPr="00946267">
              <w:rPr>
                <w:color w:val="000000"/>
                <w:vertAlign w:val="superscript"/>
                <w:lang w:val="de-DE"/>
              </w:rPr>
              <w:t>2</w:t>
            </w:r>
            <w:r w:rsidRPr="00946267">
              <w:rPr>
                <w:color w:val="000000"/>
                <w:lang w:val="de-DE"/>
              </w:rPr>
              <w:t>, IM): dagar 4</w:t>
            </w:r>
          </w:p>
          <w:p w14:paraId="47EB4F25" w14:textId="77777777" w:rsidR="00547CA2" w:rsidRPr="009C3437" w:rsidRDefault="00547CA2" w:rsidP="00463647">
            <w:pPr>
              <w:pStyle w:val="EndnoteText"/>
              <w:widowControl w:val="0"/>
              <w:rPr>
                <w:color w:val="000000"/>
                <w:lang w:val="sv-SE"/>
              </w:rPr>
            </w:pPr>
            <w:r w:rsidRPr="00B52C37">
              <w:rPr>
                <w:color w:val="000000"/>
                <w:lang w:val="sv-SE"/>
              </w:rPr>
              <w:t>G-CSF (5 </w:t>
            </w:r>
            <w:r w:rsidRPr="00B52C37">
              <w:rPr>
                <w:color w:val="000000"/>
              </w:rPr>
              <w:t>μ</w:t>
            </w:r>
            <w:r w:rsidRPr="00B52C37">
              <w:rPr>
                <w:color w:val="000000"/>
                <w:lang w:val="sv-SE"/>
              </w:rPr>
              <w:t>g/kg, SC): dagar 5-14 eller tills ANC &gt; 1500</w:t>
            </w:r>
            <w:r w:rsidRPr="00946267">
              <w:rPr>
                <w:color w:val="000000"/>
                <w:lang w:val="sv-SE"/>
              </w:rPr>
              <w:t> </w:t>
            </w:r>
            <w:r w:rsidRPr="009C3437">
              <w:rPr>
                <w:color w:val="000000"/>
                <w:lang w:val="sv-SE"/>
              </w:rPr>
              <w:t>efter nadir</w:t>
            </w:r>
          </w:p>
          <w:p w14:paraId="29480866" w14:textId="77777777" w:rsidR="00547CA2" w:rsidRPr="005C1371" w:rsidRDefault="00547CA2" w:rsidP="00463647">
            <w:pPr>
              <w:pStyle w:val="EndnoteText"/>
              <w:widowControl w:val="0"/>
              <w:rPr>
                <w:color w:val="000000"/>
                <w:lang w:val="sv-SE"/>
              </w:rPr>
            </w:pPr>
            <w:r w:rsidRPr="009C5490">
              <w:rPr>
                <w:color w:val="000000"/>
                <w:lang w:val="sv-SE"/>
              </w:rPr>
              <w:t>Trippel IT t</w:t>
            </w:r>
            <w:r w:rsidRPr="00065E92">
              <w:rPr>
                <w:color w:val="000000"/>
                <w:lang w:val="sv-SE"/>
              </w:rPr>
              <w:t>erapi (</w:t>
            </w:r>
            <w:r w:rsidRPr="005C1371">
              <w:rPr>
                <w:color w:val="000000"/>
                <w:lang w:val="sv-SE"/>
              </w:rPr>
              <w:t>åldersjusterad): dagar 1 och 15</w:t>
            </w:r>
          </w:p>
          <w:p w14:paraId="4B76EF3F" w14:textId="77777777" w:rsidR="00547CA2" w:rsidRPr="00B52C37" w:rsidRDefault="00547CA2" w:rsidP="00463647">
            <w:pPr>
              <w:pStyle w:val="EndnoteText"/>
              <w:widowControl w:val="0"/>
              <w:rPr>
                <w:color w:val="000000"/>
                <w:lang w:val="sv-SE"/>
              </w:rPr>
            </w:pPr>
            <w:r w:rsidRPr="005C1371">
              <w:rPr>
                <w:color w:val="000000"/>
                <w:lang w:val="sv-SE"/>
              </w:rPr>
              <w:t>DEX (6 mg/m</w:t>
            </w:r>
            <w:r w:rsidRPr="005C1371">
              <w:rPr>
                <w:color w:val="000000"/>
                <w:vertAlign w:val="superscript"/>
                <w:lang w:val="sv-SE"/>
              </w:rPr>
              <w:t>2</w:t>
            </w:r>
            <w:r w:rsidRPr="005C1371">
              <w:rPr>
                <w:color w:val="000000"/>
                <w:lang w:val="sv-SE"/>
              </w:rPr>
              <w:t>/dag, PO): dagar</w:t>
            </w:r>
            <w:r w:rsidRPr="00B52C37">
              <w:rPr>
                <w:color w:val="000000"/>
                <w:lang w:val="sv-SE"/>
              </w:rPr>
              <w:t> 1</w:t>
            </w:r>
            <w:r w:rsidRPr="00B52C37">
              <w:rPr>
                <w:color w:val="000000"/>
                <w:lang w:val="sv-SE"/>
              </w:rPr>
              <w:noBreakHyphen/>
              <w:t>7 och 15</w:t>
            </w:r>
            <w:r w:rsidRPr="00B52C37">
              <w:rPr>
                <w:color w:val="000000"/>
                <w:lang w:val="sv-SE"/>
              </w:rPr>
              <w:noBreakHyphen/>
              <w:t>21</w:t>
            </w:r>
          </w:p>
        </w:tc>
      </w:tr>
      <w:tr w:rsidR="00547CA2" w:rsidRPr="00644A2E" w14:paraId="7769ADF1" w14:textId="77777777" w:rsidTr="0040304A">
        <w:trPr>
          <w:cantSplit/>
        </w:trPr>
        <w:tc>
          <w:tcPr>
            <w:tcW w:w="2358" w:type="dxa"/>
            <w:shd w:val="clear" w:color="auto" w:fill="auto"/>
          </w:tcPr>
          <w:p w14:paraId="1FB38A06" w14:textId="77777777" w:rsidR="00547CA2" w:rsidRDefault="00547CA2" w:rsidP="00463647">
            <w:pPr>
              <w:pStyle w:val="EndnoteText"/>
              <w:widowControl w:val="0"/>
              <w:rPr>
                <w:color w:val="000000"/>
              </w:rPr>
            </w:pPr>
            <w:r>
              <w:rPr>
                <w:color w:val="000000"/>
                <w:lang w:val="sv-SE"/>
              </w:rPr>
              <w:t>Intensifieringsblock</w:t>
            </w:r>
            <w:r>
              <w:rPr>
                <w:color w:val="000000"/>
              </w:rPr>
              <w:t> </w:t>
            </w:r>
            <w:r w:rsidRPr="00240FD6">
              <w:rPr>
                <w:color w:val="000000"/>
              </w:rPr>
              <w:t>2</w:t>
            </w:r>
          </w:p>
          <w:p w14:paraId="45C2BF41" w14:textId="77777777" w:rsidR="00547CA2" w:rsidRPr="00240FD6" w:rsidRDefault="00547CA2" w:rsidP="00463647">
            <w:pPr>
              <w:pStyle w:val="EndnoteText"/>
              <w:widowControl w:val="0"/>
              <w:rPr>
                <w:color w:val="000000"/>
              </w:rPr>
            </w:pPr>
            <w:r w:rsidRPr="00240FD6">
              <w:rPr>
                <w:color w:val="000000"/>
              </w:rPr>
              <w:t>(9</w:t>
            </w:r>
            <w:r>
              <w:rPr>
                <w:color w:val="000000"/>
              </w:rPr>
              <w:t> veckor</w:t>
            </w:r>
            <w:r w:rsidRPr="00240FD6">
              <w:rPr>
                <w:color w:val="000000"/>
              </w:rPr>
              <w:t>)</w:t>
            </w:r>
          </w:p>
        </w:tc>
        <w:tc>
          <w:tcPr>
            <w:tcW w:w="6929" w:type="dxa"/>
            <w:shd w:val="clear" w:color="auto" w:fill="auto"/>
          </w:tcPr>
          <w:p w14:paraId="5B2FE77E" w14:textId="77777777" w:rsidR="00547CA2" w:rsidRPr="009C5490" w:rsidRDefault="00547CA2" w:rsidP="00463647">
            <w:pPr>
              <w:pStyle w:val="EndnoteText"/>
              <w:widowControl w:val="0"/>
              <w:rPr>
                <w:color w:val="000000"/>
                <w:lang w:val="sv-SE"/>
              </w:rPr>
            </w:pPr>
            <w:r w:rsidRPr="009C3437">
              <w:rPr>
                <w:color w:val="000000"/>
                <w:lang w:val="sv-SE"/>
              </w:rPr>
              <w:t>Metotrexat (5 g/m</w:t>
            </w:r>
            <w:r w:rsidRPr="009C3437">
              <w:rPr>
                <w:color w:val="000000"/>
                <w:vertAlign w:val="superscript"/>
                <w:lang w:val="sv-SE"/>
              </w:rPr>
              <w:t>2</w:t>
            </w:r>
            <w:r w:rsidRPr="009C3437">
              <w:rPr>
                <w:color w:val="000000"/>
                <w:lang w:val="sv-SE"/>
              </w:rPr>
              <w:t xml:space="preserve"> över 24 timmar, IV): dagar 1 och</w:t>
            </w:r>
            <w:r w:rsidRPr="009C5490">
              <w:rPr>
                <w:color w:val="000000"/>
                <w:lang w:val="sv-SE"/>
              </w:rPr>
              <w:t xml:space="preserve"> 15</w:t>
            </w:r>
          </w:p>
          <w:p w14:paraId="57D0C688" w14:textId="77777777" w:rsidR="00547CA2" w:rsidRPr="00B52C37" w:rsidRDefault="00547CA2" w:rsidP="00463647">
            <w:pPr>
              <w:pStyle w:val="EndnoteText"/>
              <w:widowControl w:val="0"/>
              <w:rPr>
                <w:color w:val="000000"/>
                <w:lang w:val="sv-SE"/>
              </w:rPr>
            </w:pPr>
            <w:r w:rsidRPr="00065E92">
              <w:rPr>
                <w:color w:val="000000"/>
                <w:lang w:val="sv-SE"/>
              </w:rPr>
              <w:t>Leucovorin (75 mg/m</w:t>
            </w:r>
            <w:r w:rsidRPr="00065E92">
              <w:rPr>
                <w:color w:val="000000"/>
                <w:vertAlign w:val="superscript"/>
                <w:lang w:val="sv-SE"/>
              </w:rPr>
              <w:t>2</w:t>
            </w:r>
            <w:r w:rsidRPr="005C1371">
              <w:rPr>
                <w:color w:val="000000"/>
                <w:lang w:val="sv-SE"/>
              </w:rPr>
              <w:t xml:space="preserve"> vid timme 36, IV; 15 mg/m</w:t>
            </w:r>
            <w:r w:rsidRPr="005C1371">
              <w:rPr>
                <w:color w:val="000000"/>
                <w:vertAlign w:val="superscript"/>
                <w:lang w:val="sv-SE"/>
              </w:rPr>
              <w:t>2</w:t>
            </w:r>
            <w:r w:rsidRPr="005C1371">
              <w:rPr>
                <w:color w:val="000000"/>
                <w:lang w:val="sv-SE"/>
              </w:rPr>
              <w:t xml:space="preserve"> IV eller PO q6tim x 6 doser)iii: dagar 2, 3, 16, och</w:t>
            </w:r>
            <w:r w:rsidRPr="00B52C37">
              <w:rPr>
                <w:color w:val="000000"/>
                <w:lang w:val="sv-SE"/>
              </w:rPr>
              <w:t xml:space="preserve"> 17</w:t>
            </w:r>
          </w:p>
          <w:p w14:paraId="7F5D2F9C" w14:textId="77777777" w:rsidR="00547CA2" w:rsidRPr="00946267" w:rsidRDefault="00547CA2" w:rsidP="00463647">
            <w:pPr>
              <w:pStyle w:val="EndnoteText"/>
              <w:widowControl w:val="0"/>
              <w:rPr>
                <w:color w:val="000000"/>
                <w:lang w:val="sv-SE"/>
              </w:rPr>
            </w:pPr>
            <w:r w:rsidRPr="00B52C37">
              <w:rPr>
                <w:color w:val="000000"/>
                <w:lang w:val="sv-SE"/>
              </w:rPr>
              <w:t>Trip</w:t>
            </w:r>
            <w:r w:rsidRPr="004327DE">
              <w:rPr>
                <w:color w:val="000000"/>
                <w:lang w:val="sv-SE"/>
              </w:rPr>
              <w:t>pel IT terapi</w:t>
            </w:r>
            <w:r w:rsidRPr="008A1A8C">
              <w:rPr>
                <w:color w:val="000000"/>
                <w:lang w:val="sv-SE"/>
              </w:rPr>
              <w:t xml:space="preserve"> (åldersjusterad): dagar </w:t>
            </w:r>
            <w:r w:rsidRPr="00946267">
              <w:rPr>
                <w:color w:val="000000"/>
                <w:lang w:val="sv-SE"/>
              </w:rPr>
              <w:t>1 och 22</w:t>
            </w:r>
          </w:p>
          <w:p w14:paraId="34F87C91" w14:textId="77777777" w:rsidR="00547CA2" w:rsidRPr="00717594" w:rsidRDefault="00547CA2" w:rsidP="00463647">
            <w:pPr>
              <w:pStyle w:val="EndnoteText"/>
              <w:widowControl w:val="0"/>
              <w:rPr>
                <w:color w:val="000000"/>
                <w:lang w:val="sv-SE"/>
              </w:rPr>
            </w:pPr>
            <w:r w:rsidRPr="00717594">
              <w:rPr>
                <w:color w:val="000000"/>
                <w:lang w:val="sv-SE"/>
              </w:rPr>
              <w:t>VP-16 (100 mg/m</w:t>
            </w:r>
            <w:r w:rsidRPr="00717594">
              <w:rPr>
                <w:color w:val="000000"/>
                <w:vertAlign w:val="superscript"/>
                <w:lang w:val="sv-SE"/>
              </w:rPr>
              <w:t>2</w:t>
            </w:r>
            <w:r w:rsidRPr="00717594">
              <w:rPr>
                <w:color w:val="000000"/>
                <w:lang w:val="sv-SE"/>
              </w:rPr>
              <w:t>/dag, IV): dagar 22</w:t>
            </w:r>
            <w:r w:rsidRPr="00717594">
              <w:rPr>
                <w:color w:val="000000"/>
                <w:lang w:val="sv-SE"/>
              </w:rPr>
              <w:noBreakHyphen/>
              <w:t>26</w:t>
            </w:r>
          </w:p>
          <w:p w14:paraId="3BCF9B1F" w14:textId="77777777" w:rsidR="00547CA2" w:rsidRPr="005E4B92" w:rsidRDefault="00547CA2" w:rsidP="00463647">
            <w:pPr>
              <w:pStyle w:val="EndnoteText"/>
              <w:widowControl w:val="0"/>
              <w:rPr>
                <w:color w:val="000000"/>
                <w:lang w:val="sv-SE"/>
              </w:rPr>
            </w:pPr>
            <w:r w:rsidRPr="005E4B92">
              <w:rPr>
                <w:color w:val="000000"/>
                <w:lang w:val="sv-SE"/>
              </w:rPr>
              <w:t>CPM (300 mg/m</w:t>
            </w:r>
            <w:r w:rsidRPr="005E4B92">
              <w:rPr>
                <w:color w:val="000000"/>
                <w:vertAlign w:val="superscript"/>
                <w:lang w:val="sv-SE"/>
              </w:rPr>
              <w:t>2</w:t>
            </w:r>
            <w:r w:rsidRPr="005E4B92">
              <w:rPr>
                <w:color w:val="000000"/>
                <w:lang w:val="sv-SE"/>
              </w:rPr>
              <w:t>/dag, IV): dagar 22</w:t>
            </w:r>
            <w:r w:rsidRPr="005E4B92">
              <w:rPr>
                <w:color w:val="000000"/>
                <w:lang w:val="sv-SE"/>
              </w:rPr>
              <w:noBreakHyphen/>
              <w:t>26</w:t>
            </w:r>
          </w:p>
          <w:p w14:paraId="267EC2F0" w14:textId="77777777" w:rsidR="00547CA2" w:rsidRPr="009652FC" w:rsidRDefault="00547CA2" w:rsidP="00463647">
            <w:pPr>
              <w:pStyle w:val="EndnoteText"/>
              <w:widowControl w:val="0"/>
              <w:rPr>
                <w:color w:val="000000"/>
                <w:lang w:val="sv-SE"/>
              </w:rPr>
            </w:pPr>
            <w:r w:rsidRPr="00DE796E">
              <w:rPr>
                <w:color w:val="000000"/>
                <w:lang w:val="sv-SE"/>
              </w:rPr>
              <w:t>MESNA (150 mg/m</w:t>
            </w:r>
            <w:r w:rsidRPr="00203BEF">
              <w:rPr>
                <w:color w:val="000000"/>
                <w:vertAlign w:val="superscript"/>
                <w:lang w:val="sv-SE"/>
              </w:rPr>
              <w:t>2</w:t>
            </w:r>
            <w:r w:rsidRPr="003960FF">
              <w:rPr>
                <w:color w:val="000000"/>
                <w:lang w:val="sv-SE"/>
              </w:rPr>
              <w:t>/dag</w:t>
            </w:r>
            <w:r w:rsidRPr="009652FC">
              <w:rPr>
                <w:color w:val="000000"/>
                <w:lang w:val="sv-SE"/>
              </w:rPr>
              <w:t>, IV): dagar 22</w:t>
            </w:r>
            <w:r w:rsidRPr="009652FC">
              <w:rPr>
                <w:color w:val="000000"/>
                <w:lang w:val="sv-SE"/>
              </w:rPr>
              <w:noBreakHyphen/>
              <w:t>26</w:t>
            </w:r>
          </w:p>
          <w:p w14:paraId="68094062" w14:textId="77777777" w:rsidR="00547CA2" w:rsidRPr="009C3437" w:rsidRDefault="00547CA2" w:rsidP="00463647">
            <w:pPr>
              <w:pStyle w:val="EndnoteText"/>
              <w:widowControl w:val="0"/>
              <w:rPr>
                <w:color w:val="000000"/>
                <w:lang w:val="sv-SE"/>
              </w:rPr>
            </w:pPr>
            <w:r w:rsidRPr="004E6EB6">
              <w:rPr>
                <w:color w:val="000000"/>
                <w:lang w:val="sv-SE"/>
              </w:rPr>
              <w:t>G-CSF (5 </w:t>
            </w:r>
            <w:r w:rsidRPr="004E6EB6">
              <w:rPr>
                <w:color w:val="000000"/>
              </w:rPr>
              <w:t>μ</w:t>
            </w:r>
            <w:r w:rsidRPr="004E6EB6">
              <w:rPr>
                <w:color w:val="000000"/>
                <w:lang w:val="sv-SE"/>
              </w:rPr>
              <w:t>g/kg, SC): da</w:t>
            </w:r>
            <w:r w:rsidRPr="00DA7134">
              <w:rPr>
                <w:color w:val="000000"/>
                <w:lang w:val="sv-SE"/>
              </w:rPr>
              <w:t>gar 27</w:t>
            </w:r>
            <w:r w:rsidRPr="00DA7134">
              <w:rPr>
                <w:color w:val="000000"/>
                <w:lang w:val="sv-SE"/>
              </w:rPr>
              <w:noBreakHyphen/>
              <w:t xml:space="preserve">36 </w:t>
            </w:r>
            <w:r w:rsidRPr="002B1538">
              <w:rPr>
                <w:color w:val="000000"/>
                <w:lang w:val="sv-SE"/>
              </w:rPr>
              <w:t>eller tills</w:t>
            </w:r>
            <w:r w:rsidRPr="00FD4105">
              <w:rPr>
                <w:color w:val="000000"/>
                <w:lang w:val="sv-SE"/>
              </w:rPr>
              <w:t xml:space="preserve"> ANC &gt; 1500 </w:t>
            </w:r>
            <w:r w:rsidRPr="009C3437">
              <w:rPr>
                <w:color w:val="000000"/>
                <w:lang w:val="sv-SE"/>
              </w:rPr>
              <w:t>efter nadir</w:t>
            </w:r>
          </w:p>
          <w:p w14:paraId="45F7EF94" w14:textId="77777777" w:rsidR="00547CA2" w:rsidRPr="005C1371" w:rsidRDefault="00547CA2" w:rsidP="00463647">
            <w:pPr>
              <w:pStyle w:val="EndnoteText"/>
              <w:widowControl w:val="0"/>
              <w:rPr>
                <w:color w:val="000000"/>
                <w:lang w:val="sv-SE"/>
              </w:rPr>
            </w:pPr>
            <w:r w:rsidRPr="009C5490">
              <w:rPr>
                <w:color w:val="000000"/>
                <w:lang w:val="sv-SE"/>
              </w:rPr>
              <w:t>ARA-C (3 g/m</w:t>
            </w:r>
            <w:r w:rsidRPr="009C5490">
              <w:rPr>
                <w:color w:val="000000"/>
                <w:vertAlign w:val="superscript"/>
                <w:lang w:val="sv-SE"/>
              </w:rPr>
              <w:t>2</w:t>
            </w:r>
            <w:r w:rsidRPr="009C5490">
              <w:rPr>
                <w:color w:val="000000"/>
                <w:lang w:val="sv-SE"/>
              </w:rPr>
              <w:t>, q12</w:t>
            </w:r>
            <w:r w:rsidRPr="00065E92">
              <w:rPr>
                <w:color w:val="000000"/>
                <w:lang w:val="sv-SE"/>
              </w:rPr>
              <w:t>tim, IV): da</w:t>
            </w:r>
            <w:r w:rsidRPr="005C1371">
              <w:rPr>
                <w:color w:val="000000"/>
                <w:lang w:val="sv-SE"/>
              </w:rPr>
              <w:t>gar 43, 44</w:t>
            </w:r>
          </w:p>
          <w:p w14:paraId="53AEE3E5" w14:textId="77777777" w:rsidR="00547CA2" w:rsidRPr="00946267" w:rsidRDefault="00547CA2" w:rsidP="00463647">
            <w:pPr>
              <w:pStyle w:val="EndnoteText"/>
              <w:widowControl w:val="0"/>
              <w:rPr>
                <w:color w:val="000000"/>
                <w:lang w:val="de-DE"/>
              </w:rPr>
            </w:pPr>
            <w:r w:rsidRPr="00946267">
              <w:rPr>
                <w:color w:val="000000"/>
                <w:lang w:val="de-DE"/>
              </w:rPr>
              <w:t>L-ASP (6000 IE/m</w:t>
            </w:r>
            <w:r w:rsidRPr="00946267">
              <w:rPr>
                <w:color w:val="000000"/>
                <w:vertAlign w:val="superscript"/>
                <w:lang w:val="de-DE"/>
              </w:rPr>
              <w:t>2</w:t>
            </w:r>
            <w:r w:rsidRPr="00946267">
              <w:rPr>
                <w:color w:val="000000"/>
                <w:lang w:val="de-DE"/>
              </w:rPr>
              <w:t>, IM): dag 44</w:t>
            </w:r>
          </w:p>
        </w:tc>
      </w:tr>
      <w:tr w:rsidR="00547CA2" w:rsidRPr="00644A2E" w14:paraId="7726D85A" w14:textId="77777777" w:rsidTr="0040304A">
        <w:trPr>
          <w:cantSplit/>
        </w:trPr>
        <w:tc>
          <w:tcPr>
            <w:tcW w:w="2358" w:type="dxa"/>
            <w:shd w:val="clear" w:color="auto" w:fill="auto"/>
          </w:tcPr>
          <w:p w14:paraId="2C42EA04" w14:textId="77777777" w:rsidR="00547CA2" w:rsidRDefault="00547CA2" w:rsidP="00463647">
            <w:pPr>
              <w:pStyle w:val="EndnoteText"/>
              <w:widowControl w:val="0"/>
              <w:rPr>
                <w:color w:val="000000"/>
              </w:rPr>
            </w:pPr>
            <w:r>
              <w:rPr>
                <w:color w:val="000000"/>
              </w:rPr>
              <w:lastRenderedPageBreak/>
              <w:t>Underhållsbehandling</w:t>
            </w:r>
          </w:p>
          <w:p w14:paraId="1E1871D9" w14:textId="77777777" w:rsidR="00547CA2" w:rsidRDefault="00547CA2" w:rsidP="00463647">
            <w:pPr>
              <w:pStyle w:val="EndnoteText"/>
              <w:widowControl w:val="0"/>
              <w:rPr>
                <w:color w:val="000000"/>
              </w:rPr>
            </w:pPr>
            <w:r w:rsidRPr="00240FD6">
              <w:rPr>
                <w:color w:val="000000"/>
              </w:rPr>
              <w:t>(8-</w:t>
            </w:r>
            <w:r>
              <w:rPr>
                <w:color w:val="000000"/>
              </w:rPr>
              <w:t>veckors cykler</w:t>
            </w:r>
            <w:r w:rsidRPr="00240FD6">
              <w:rPr>
                <w:color w:val="000000"/>
              </w:rPr>
              <w:t>)</w:t>
            </w:r>
          </w:p>
          <w:p w14:paraId="2AD455DE" w14:textId="77777777" w:rsidR="00547CA2" w:rsidRPr="00240FD6" w:rsidRDefault="00547CA2" w:rsidP="00463647">
            <w:pPr>
              <w:pStyle w:val="EndnoteText"/>
              <w:widowControl w:val="0"/>
              <w:rPr>
                <w:color w:val="000000"/>
              </w:rPr>
            </w:pPr>
            <w:r>
              <w:rPr>
                <w:color w:val="000000"/>
              </w:rPr>
              <w:t>Cykler </w:t>
            </w:r>
            <w:r w:rsidRPr="00240FD6">
              <w:rPr>
                <w:color w:val="000000"/>
              </w:rPr>
              <w:t>1–4</w:t>
            </w:r>
          </w:p>
        </w:tc>
        <w:tc>
          <w:tcPr>
            <w:tcW w:w="6929" w:type="dxa"/>
            <w:shd w:val="clear" w:color="auto" w:fill="auto"/>
          </w:tcPr>
          <w:p w14:paraId="2EEEFCCB" w14:textId="77777777" w:rsidR="00547CA2" w:rsidRPr="009C3437" w:rsidRDefault="00547CA2" w:rsidP="00463647">
            <w:pPr>
              <w:pStyle w:val="EndnoteText"/>
              <w:widowControl w:val="0"/>
              <w:rPr>
                <w:color w:val="000000"/>
                <w:lang w:val="sv-SE"/>
              </w:rPr>
            </w:pPr>
            <w:r w:rsidRPr="009C3437">
              <w:rPr>
                <w:color w:val="000000"/>
                <w:lang w:val="sv-SE"/>
              </w:rPr>
              <w:t>MTX (5 g/m</w:t>
            </w:r>
            <w:r w:rsidRPr="009C3437">
              <w:rPr>
                <w:color w:val="000000"/>
                <w:vertAlign w:val="superscript"/>
                <w:lang w:val="sv-SE"/>
              </w:rPr>
              <w:t>2</w:t>
            </w:r>
            <w:r w:rsidRPr="009C3437">
              <w:rPr>
                <w:color w:val="000000"/>
                <w:lang w:val="sv-SE"/>
              </w:rPr>
              <w:t xml:space="preserve"> över 24 timmar, IV): dag 1</w:t>
            </w:r>
          </w:p>
          <w:p w14:paraId="2164B4BD" w14:textId="77777777" w:rsidR="00547CA2" w:rsidRPr="005C1371" w:rsidRDefault="00547CA2" w:rsidP="00463647">
            <w:pPr>
              <w:pStyle w:val="EndnoteText"/>
              <w:widowControl w:val="0"/>
              <w:rPr>
                <w:color w:val="000000"/>
                <w:lang w:val="sv-SE"/>
              </w:rPr>
            </w:pPr>
            <w:r w:rsidRPr="009C5490">
              <w:rPr>
                <w:color w:val="000000"/>
                <w:lang w:val="sv-SE"/>
              </w:rPr>
              <w:t>Leucovorin (75 mg/m</w:t>
            </w:r>
            <w:r w:rsidRPr="009C5490">
              <w:rPr>
                <w:color w:val="000000"/>
                <w:vertAlign w:val="superscript"/>
                <w:lang w:val="sv-SE"/>
              </w:rPr>
              <w:t>2</w:t>
            </w:r>
            <w:r w:rsidRPr="009C5490">
              <w:rPr>
                <w:color w:val="000000"/>
                <w:lang w:val="sv-SE"/>
              </w:rPr>
              <w:t xml:space="preserve"> </w:t>
            </w:r>
            <w:r w:rsidRPr="00065E92">
              <w:rPr>
                <w:color w:val="000000"/>
                <w:lang w:val="sv-SE"/>
              </w:rPr>
              <w:t>vid timme</w:t>
            </w:r>
            <w:r w:rsidRPr="005C1371">
              <w:rPr>
                <w:color w:val="000000"/>
                <w:lang w:val="sv-SE"/>
              </w:rPr>
              <w:t> 36, IV; 15 mg/m</w:t>
            </w:r>
            <w:r w:rsidRPr="005C1371">
              <w:rPr>
                <w:color w:val="000000"/>
                <w:vertAlign w:val="superscript"/>
                <w:lang w:val="sv-SE"/>
              </w:rPr>
              <w:t>2</w:t>
            </w:r>
            <w:r w:rsidRPr="005C1371">
              <w:rPr>
                <w:color w:val="000000"/>
                <w:lang w:val="sv-SE"/>
              </w:rPr>
              <w:t xml:space="preserve"> IV eller PO q6tim x 6 doser)iii: dagar 2 och 3</w:t>
            </w:r>
          </w:p>
          <w:p w14:paraId="2F768AF5" w14:textId="77777777" w:rsidR="00547CA2" w:rsidRPr="00B52C37" w:rsidRDefault="00547CA2" w:rsidP="00463647">
            <w:pPr>
              <w:pStyle w:val="EndnoteText"/>
              <w:widowControl w:val="0"/>
              <w:rPr>
                <w:color w:val="000000"/>
                <w:lang w:val="sv-SE"/>
              </w:rPr>
            </w:pPr>
            <w:r w:rsidRPr="00B52C37">
              <w:rPr>
                <w:color w:val="000000"/>
                <w:lang w:val="sv-SE"/>
              </w:rPr>
              <w:t>Trippel IT terapi (åldersjusterad): dagar 1, 29</w:t>
            </w:r>
          </w:p>
          <w:p w14:paraId="71BD99BD" w14:textId="77777777" w:rsidR="00547CA2" w:rsidRPr="008A1A8C" w:rsidRDefault="00547CA2" w:rsidP="00463647">
            <w:pPr>
              <w:pStyle w:val="EndnoteText"/>
              <w:widowControl w:val="0"/>
              <w:rPr>
                <w:color w:val="000000"/>
                <w:lang w:val="sv-SE"/>
              </w:rPr>
            </w:pPr>
            <w:r w:rsidRPr="00B52C37">
              <w:rPr>
                <w:color w:val="000000"/>
                <w:lang w:val="sv-SE"/>
              </w:rPr>
              <w:t>VCR (1.5 mg/m</w:t>
            </w:r>
            <w:r w:rsidRPr="008A1A8C">
              <w:rPr>
                <w:color w:val="000000"/>
                <w:vertAlign w:val="superscript"/>
                <w:lang w:val="sv-SE"/>
              </w:rPr>
              <w:t>2</w:t>
            </w:r>
            <w:r w:rsidRPr="008A1A8C">
              <w:rPr>
                <w:color w:val="000000"/>
                <w:lang w:val="sv-SE"/>
              </w:rPr>
              <w:t>, IV): dagar 1, 29</w:t>
            </w:r>
          </w:p>
          <w:p w14:paraId="11BFE578" w14:textId="77777777" w:rsidR="00547CA2" w:rsidRPr="00946267" w:rsidRDefault="00547CA2" w:rsidP="00463647">
            <w:pPr>
              <w:pStyle w:val="EndnoteText"/>
              <w:widowControl w:val="0"/>
              <w:rPr>
                <w:color w:val="000000"/>
                <w:lang w:val="sv-SE"/>
              </w:rPr>
            </w:pPr>
            <w:r w:rsidRPr="00946267">
              <w:rPr>
                <w:color w:val="000000"/>
                <w:lang w:val="sv-SE"/>
              </w:rPr>
              <w:t>DEX (6 mg/m</w:t>
            </w:r>
            <w:r w:rsidRPr="00946267">
              <w:rPr>
                <w:color w:val="000000"/>
                <w:vertAlign w:val="superscript"/>
                <w:lang w:val="sv-SE"/>
              </w:rPr>
              <w:t>2</w:t>
            </w:r>
            <w:r w:rsidRPr="00946267">
              <w:rPr>
                <w:color w:val="000000"/>
                <w:lang w:val="sv-SE"/>
              </w:rPr>
              <w:t>/dag PO): dagar 1</w:t>
            </w:r>
            <w:r w:rsidRPr="00946267">
              <w:rPr>
                <w:color w:val="000000"/>
                <w:lang w:val="sv-SE"/>
              </w:rPr>
              <w:noBreakHyphen/>
              <w:t>5; 29</w:t>
            </w:r>
            <w:r w:rsidRPr="00946267">
              <w:rPr>
                <w:color w:val="000000"/>
                <w:lang w:val="sv-SE"/>
              </w:rPr>
              <w:noBreakHyphen/>
              <w:t>33</w:t>
            </w:r>
          </w:p>
          <w:p w14:paraId="09D2DF2D" w14:textId="77777777" w:rsidR="00547CA2" w:rsidRPr="00717594" w:rsidRDefault="00547CA2" w:rsidP="00463647">
            <w:pPr>
              <w:pStyle w:val="EndnoteText"/>
              <w:widowControl w:val="0"/>
              <w:rPr>
                <w:color w:val="000000"/>
                <w:lang w:val="sv-SE"/>
              </w:rPr>
            </w:pPr>
            <w:r w:rsidRPr="00717594">
              <w:rPr>
                <w:color w:val="000000"/>
                <w:lang w:val="sv-SE"/>
              </w:rPr>
              <w:t>6-MP (75 mg/m</w:t>
            </w:r>
            <w:r w:rsidRPr="00717594">
              <w:rPr>
                <w:color w:val="000000"/>
                <w:vertAlign w:val="superscript"/>
                <w:lang w:val="sv-SE"/>
              </w:rPr>
              <w:t>2</w:t>
            </w:r>
            <w:r w:rsidRPr="00717594">
              <w:rPr>
                <w:color w:val="000000"/>
                <w:lang w:val="sv-SE"/>
              </w:rPr>
              <w:t>/dag, PO): dagar 8-28</w:t>
            </w:r>
          </w:p>
          <w:p w14:paraId="79C865C2" w14:textId="77777777" w:rsidR="00547CA2" w:rsidRPr="003960FF" w:rsidRDefault="00547CA2" w:rsidP="00463647">
            <w:pPr>
              <w:pStyle w:val="EndnoteText"/>
              <w:widowControl w:val="0"/>
              <w:rPr>
                <w:color w:val="000000"/>
                <w:lang w:val="sv-SE"/>
              </w:rPr>
            </w:pPr>
            <w:r w:rsidRPr="005E4B92">
              <w:rPr>
                <w:color w:val="000000"/>
                <w:lang w:val="sv-SE"/>
              </w:rPr>
              <w:t>Metotrexat (20 mg/m</w:t>
            </w:r>
            <w:r w:rsidRPr="005E4B92">
              <w:rPr>
                <w:color w:val="000000"/>
                <w:vertAlign w:val="superscript"/>
                <w:lang w:val="sv-SE"/>
              </w:rPr>
              <w:t>2</w:t>
            </w:r>
            <w:r w:rsidRPr="005E4B92">
              <w:rPr>
                <w:color w:val="000000"/>
                <w:lang w:val="sv-SE"/>
              </w:rPr>
              <w:t>/vecka, PO): da</w:t>
            </w:r>
            <w:r w:rsidRPr="00DE796E">
              <w:rPr>
                <w:color w:val="000000"/>
                <w:lang w:val="sv-SE"/>
              </w:rPr>
              <w:t>gar</w:t>
            </w:r>
            <w:r w:rsidRPr="00203BEF">
              <w:rPr>
                <w:color w:val="000000"/>
                <w:lang w:val="sv-SE"/>
              </w:rPr>
              <w:t> </w:t>
            </w:r>
            <w:r w:rsidRPr="003960FF">
              <w:rPr>
                <w:color w:val="000000"/>
                <w:lang w:val="sv-SE"/>
              </w:rPr>
              <w:t>8, 15, 22</w:t>
            </w:r>
          </w:p>
          <w:p w14:paraId="17F4CE52" w14:textId="77777777" w:rsidR="00547CA2" w:rsidRPr="004E6EB6" w:rsidRDefault="00547CA2" w:rsidP="00463647">
            <w:pPr>
              <w:pStyle w:val="EndnoteText"/>
              <w:widowControl w:val="0"/>
              <w:rPr>
                <w:color w:val="000000"/>
                <w:lang w:val="sv-SE"/>
              </w:rPr>
            </w:pPr>
            <w:r w:rsidRPr="003960FF">
              <w:rPr>
                <w:color w:val="000000"/>
                <w:lang w:val="sv-SE"/>
              </w:rPr>
              <w:t>VP-16 (100 mg/m</w:t>
            </w:r>
            <w:r w:rsidRPr="009652FC">
              <w:rPr>
                <w:color w:val="000000"/>
                <w:vertAlign w:val="superscript"/>
                <w:lang w:val="sv-SE"/>
              </w:rPr>
              <w:t>2</w:t>
            </w:r>
            <w:r w:rsidRPr="009652FC">
              <w:rPr>
                <w:color w:val="000000"/>
                <w:lang w:val="sv-SE"/>
              </w:rPr>
              <w:t>, IV): dagar</w:t>
            </w:r>
            <w:r w:rsidRPr="004E6EB6">
              <w:rPr>
                <w:color w:val="000000"/>
                <w:lang w:val="sv-SE"/>
              </w:rPr>
              <w:t> 29</w:t>
            </w:r>
            <w:r w:rsidRPr="004E6EB6">
              <w:rPr>
                <w:color w:val="000000"/>
                <w:lang w:val="sv-SE"/>
              </w:rPr>
              <w:noBreakHyphen/>
              <w:t>33</w:t>
            </w:r>
          </w:p>
          <w:p w14:paraId="259BE998" w14:textId="77777777" w:rsidR="00547CA2" w:rsidRPr="00FD4105" w:rsidRDefault="00547CA2" w:rsidP="00463647">
            <w:pPr>
              <w:pStyle w:val="EndnoteText"/>
              <w:widowControl w:val="0"/>
              <w:rPr>
                <w:color w:val="000000"/>
                <w:lang w:val="sv-SE"/>
              </w:rPr>
            </w:pPr>
            <w:r w:rsidRPr="00DA7134">
              <w:rPr>
                <w:color w:val="000000"/>
                <w:lang w:val="sv-SE"/>
              </w:rPr>
              <w:t>CPM (300 mg/m</w:t>
            </w:r>
            <w:r w:rsidRPr="00DA7134">
              <w:rPr>
                <w:color w:val="000000"/>
                <w:vertAlign w:val="superscript"/>
                <w:lang w:val="sv-SE"/>
              </w:rPr>
              <w:t>2</w:t>
            </w:r>
            <w:r w:rsidRPr="002B1538">
              <w:rPr>
                <w:color w:val="000000"/>
                <w:lang w:val="sv-SE"/>
              </w:rPr>
              <w:t>, IV): da</w:t>
            </w:r>
            <w:r w:rsidRPr="00FD4105">
              <w:rPr>
                <w:color w:val="000000"/>
                <w:lang w:val="sv-SE"/>
              </w:rPr>
              <w:t>gar 29</w:t>
            </w:r>
            <w:r w:rsidRPr="00FD4105">
              <w:rPr>
                <w:color w:val="000000"/>
                <w:lang w:val="sv-SE"/>
              </w:rPr>
              <w:noBreakHyphen/>
              <w:t>33</w:t>
            </w:r>
          </w:p>
          <w:p w14:paraId="695D42D5" w14:textId="77777777" w:rsidR="00547CA2" w:rsidRPr="00717594" w:rsidRDefault="00547CA2" w:rsidP="00463647">
            <w:pPr>
              <w:pStyle w:val="EndnoteText"/>
              <w:widowControl w:val="0"/>
              <w:rPr>
                <w:color w:val="000000"/>
                <w:lang w:val="sv-SE"/>
              </w:rPr>
            </w:pPr>
            <w:r w:rsidRPr="0043720A">
              <w:rPr>
                <w:color w:val="000000"/>
                <w:lang w:val="sv-SE"/>
              </w:rPr>
              <w:t>M</w:t>
            </w:r>
            <w:r>
              <w:rPr>
                <w:color w:val="000000"/>
                <w:lang w:val="sv-SE"/>
              </w:rPr>
              <w:t>ESNA</w:t>
            </w:r>
            <w:r w:rsidRPr="00717594">
              <w:rPr>
                <w:color w:val="000000"/>
                <w:lang w:val="sv-SE"/>
              </w:rPr>
              <w:t xml:space="preserve"> IV dagar 29</w:t>
            </w:r>
            <w:r w:rsidRPr="00717594">
              <w:rPr>
                <w:color w:val="000000"/>
                <w:lang w:val="sv-SE"/>
              </w:rPr>
              <w:noBreakHyphen/>
              <w:t>33</w:t>
            </w:r>
          </w:p>
          <w:p w14:paraId="39D9E4AF" w14:textId="77777777" w:rsidR="00547CA2" w:rsidRPr="00717594" w:rsidRDefault="00547CA2" w:rsidP="00463647">
            <w:pPr>
              <w:pStyle w:val="EndnoteText"/>
              <w:widowControl w:val="0"/>
              <w:rPr>
                <w:color w:val="000000"/>
                <w:lang w:val="sv-SE"/>
              </w:rPr>
            </w:pPr>
            <w:r w:rsidRPr="00717594">
              <w:rPr>
                <w:color w:val="000000"/>
                <w:lang w:val="sv-SE"/>
              </w:rPr>
              <w:t>G-CSF (5 </w:t>
            </w:r>
            <w:r w:rsidRPr="00717594">
              <w:rPr>
                <w:color w:val="000000"/>
              </w:rPr>
              <w:t>μ</w:t>
            </w:r>
            <w:r w:rsidRPr="00717594">
              <w:rPr>
                <w:color w:val="000000"/>
                <w:lang w:val="sv-SE"/>
              </w:rPr>
              <w:t>g/kg, SC): dagar 34</w:t>
            </w:r>
            <w:r w:rsidRPr="00717594">
              <w:rPr>
                <w:color w:val="000000"/>
                <w:lang w:val="sv-SE"/>
              </w:rPr>
              <w:noBreakHyphen/>
              <w:t>43</w:t>
            </w:r>
          </w:p>
        </w:tc>
      </w:tr>
      <w:tr w:rsidR="00547CA2" w:rsidRPr="00644A2E" w14:paraId="70787F79" w14:textId="77777777" w:rsidTr="0040304A">
        <w:trPr>
          <w:cantSplit/>
        </w:trPr>
        <w:tc>
          <w:tcPr>
            <w:tcW w:w="2358" w:type="dxa"/>
            <w:shd w:val="clear" w:color="auto" w:fill="auto"/>
          </w:tcPr>
          <w:p w14:paraId="2846D92D" w14:textId="77777777" w:rsidR="00547CA2" w:rsidRDefault="00547CA2" w:rsidP="00463647">
            <w:pPr>
              <w:pStyle w:val="EndnoteText"/>
              <w:widowControl w:val="0"/>
              <w:rPr>
                <w:color w:val="000000"/>
              </w:rPr>
            </w:pPr>
            <w:r>
              <w:rPr>
                <w:color w:val="000000"/>
              </w:rPr>
              <w:t>Underhållsbehandling</w:t>
            </w:r>
          </w:p>
          <w:p w14:paraId="41065D27" w14:textId="77777777" w:rsidR="00547CA2" w:rsidRDefault="00547CA2" w:rsidP="00463647">
            <w:pPr>
              <w:pStyle w:val="EndnoteText"/>
              <w:widowControl w:val="0"/>
              <w:rPr>
                <w:color w:val="000000"/>
              </w:rPr>
            </w:pPr>
            <w:r w:rsidRPr="00240FD6">
              <w:rPr>
                <w:color w:val="000000"/>
              </w:rPr>
              <w:t>(8-</w:t>
            </w:r>
            <w:r>
              <w:rPr>
                <w:color w:val="000000"/>
              </w:rPr>
              <w:t>veckors cykler</w:t>
            </w:r>
            <w:r w:rsidRPr="00240FD6">
              <w:rPr>
                <w:color w:val="000000"/>
              </w:rPr>
              <w:t>)</w:t>
            </w:r>
          </w:p>
          <w:p w14:paraId="2C3077C9" w14:textId="77777777" w:rsidR="00547CA2" w:rsidRPr="00240FD6" w:rsidRDefault="00547CA2" w:rsidP="00463647">
            <w:pPr>
              <w:pStyle w:val="EndnoteText"/>
              <w:widowControl w:val="0"/>
              <w:rPr>
                <w:color w:val="000000"/>
              </w:rPr>
            </w:pPr>
            <w:r>
              <w:rPr>
                <w:color w:val="000000"/>
              </w:rPr>
              <w:t>Cykel </w:t>
            </w:r>
            <w:r w:rsidRPr="00240FD6">
              <w:rPr>
                <w:color w:val="000000"/>
              </w:rPr>
              <w:t>5</w:t>
            </w:r>
          </w:p>
        </w:tc>
        <w:tc>
          <w:tcPr>
            <w:tcW w:w="6929" w:type="dxa"/>
            <w:shd w:val="clear" w:color="auto" w:fill="auto"/>
          </w:tcPr>
          <w:p w14:paraId="5A7032F5" w14:textId="77777777" w:rsidR="00547CA2" w:rsidRPr="00791CB5" w:rsidRDefault="00547CA2" w:rsidP="00463647">
            <w:pPr>
              <w:pStyle w:val="EndnoteText"/>
              <w:widowControl w:val="0"/>
              <w:rPr>
                <w:color w:val="000000"/>
                <w:lang w:val="sv-SE"/>
              </w:rPr>
            </w:pPr>
            <w:r w:rsidRPr="00791CB5">
              <w:rPr>
                <w:color w:val="000000"/>
                <w:lang w:val="sv-SE"/>
              </w:rPr>
              <w:t xml:space="preserve">Kraniell </w:t>
            </w:r>
            <w:r>
              <w:rPr>
                <w:color w:val="000000"/>
                <w:lang w:val="sv-SE"/>
              </w:rPr>
              <w:t>bestrålning</w:t>
            </w:r>
            <w:r w:rsidRPr="00791CB5">
              <w:rPr>
                <w:color w:val="000000"/>
                <w:lang w:val="sv-SE"/>
              </w:rPr>
              <w:t xml:space="preserve"> (Block 5 enbart)</w:t>
            </w:r>
          </w:p>
          <w:p w14:paraId="1D5FD226" w14:textId="77777777" w:rsidR="00547CA2" w:rsidRPr="00791CB5" w:rsidRDefault="00547CA2" w:rsidP="00463647">
            <w:pPr>
              <w:pStyle w:val="EndnoteText"/>
              <w:widowControl w:val="0"/>
              <w:rPr>
                <w:color w:val="000000"/>
                <w:lang w:val="sv-SE"/>
              </w:rPr>
            </w:pPr>
            <w:r w:rsidRPr="00791CB5">
              <w:rPr>
                <w:color w:val="000000"/>
                <w:lang w:val="sv-SE"/>
              </w:rPr>
              <w:t>12 Gy i 8 fraktioner för alla patienter som är CNS1 och CNS2 vid diagnos</w:t>
            </w:r>
          </w:p>
          <w:p w14:paraId="000DB9ED" w14:textId="77777777" w:rsidR="00547CA2" w:rsidRPr="00791CB5" w:rsidRDefault="00547CA2" w:rsidP="00463647">
            <w:pPr>
              <w:pStyle w:val="EndnoteText"/>
              <w:widowControl w:val="0"/>
              <w:rPr>
                <w:color w:val="000000"/>
                <w:lang w:val="sv-SE"/>
              </w:rPr>
            </w:pPr>
            <w:r w:rsidRPr="00791CB5">
              <w:rPr>
                <w:color w:val="000000"/>
                <w:lang w:val="sv-SE"/>
              </w:rPr>
              <w:t>18 Gy i 10 fraktioner för patienter som är CNS3 vid diagnos</w:t>
            </w:r>
          </w:p>
          <w:p w14:paraId="29A25C77" w14:textId="77777777" w:rsidR="00547CA2" w:rsidRPr="00B6645D" w:rsidRDefault="00547CA2" w:rsidP="00463647">
            <w:pPr>
              <w:pStyle w:val="EndnoteText"/>
              <w:widowControl w:val="0"/>
              <w:rPr>
                <w:color w:val="000000"/>
                <w:lang w:val="sv-SE"/>
              </w:rPr>
            </w:pPr>
            <w:r w:rsidRPr="00B6645D">
              <w:rPr>
                <w:color w:val="000000"/>
                <w:lang w:val="sv-SE"/>
              </w:rPr>
              <w:t>VCR (1.5 mg/m</w:t>
            </w:r>
            <w:r w:rsidRPr="00B6645D">
              <w:rPr>
                <w:color w:val="000000"/>
                <w:vertAlign w:val="superscript"/>
                <w:lang w:val="sv-SE"/>
              </w:rPr>
              <w:t>2</w:t>
            </w:r>
            <w:r w:rsidRPr="00B6645D">
              <w:rPr>
                <w:color w:val="000000"/>
                <w:lang w:val="sv-SE"/>
              </w:rPr>
              <w:t>/dag, IV): dagar 1, 29</w:t>
            </w:r>
          </w:p>
          <w:p w14:paraId="54C210E1" w14:textId="77777777" w:rsidR="00547CA2" w:rsidRPr="00B6645D" w:rsidRDefault="00547CA2" w:rsidP="00463647">
            <w:pPr>
              <w:pStyle w:val="EndnoteText"/>
              <w:widowControl w:val="0"/>
              <w:rPr>
                <w:color w:val="000000"/>
                <w:lang w:val="sv-SE"/>
              </w:rPr>
            </w:pPr>
            <w:r w:rsidRPr="00B6645D">
              <w:rPr>
                <w:color w:val="000000"/>
                <w:lang w:val="sv-SE"/>
              </w:rPr>
              <w:t>DEX (6 mg/m</w:t>
            </w:r>
            <w:r w:rsidRPr="00B6645D">
              <w:rPr>
                <w:color w:val="000000"/>
                <w:vertAlign w:val="superscript"/>
                <w:lang w:val="sv-SE"/>
              </w:rPr>
              <w:t>2</w:t>
            </w:r>
            <w:r w:rsidRPr="00B6645D">
              <w:rPr>
                <w:color w:val="000000"/>
                <w:lang w:val="sv-SE"/>
              </w:rPr>
              <w:t>/dag, PO): dagar 1</w:t>
            </w:r>
            <w:r w:rsidRPr="00B6645D">
              <w:rPr>
                <w:color w:val="000000"/>
                <w:lang w:val="sv-SE"/>
              </w:rPr>
              <w:noBreakHyphen/>
              <w:t>5; 29</w:t>
            </w:r>
            <w:r w:rsidRPr="00B6645D">
              <w:rPr>
                <w:color w:val="000000"/>
                <w:lang w:val="sv-SE"/>
              </w:rPr>
              <w:noBreakHyphen/>
              <w:t>33</w:t>
            </w:r>
          </w:p>
          <w:p w14:paraId="340E7270" w14:textId="77777777" w:rsidR="00547CA2" w:rsidRPr="00B6645D" w:rsidRDefault="00547CA2" w:rsidP="00463647">
            <w:pPr>
              <w:pStyle w:val="EndnoteText"/>
              <w:widowControl w:val="0"/>
              <w:rPr>
                <w:color w:val="000000"/>
                <w:lang w:val="sv-SE"/>
              </w:rPr>
            </w:pPr>
            <w:r w:rsidRPr="00B6645D">
              <w:rPr>
                <w:color w:val="000000"/>
                <w:lang w:val="sv-SE"/>
              </w:rPr>
              <w:t>6-MP (75 mg/m</w:t>
            </w:r>
            <w:r w:rsidRPr="00B6645D">
              <w:rPr>
                <w:color w:val="000000"/>
                <w:vertAlign w:val="superscript"/>
                <w:lang w:val="sv-SE"/>
              </w:rPr>
              <w:t>2</w:t>
            </w:r>
            <w:r w:rsidRPr="00B6645D">
              <w:rPr>
                <w:color w:val="000000"/>
                <w:lang w:val="sv-SE"/>
              </w:rPr>
              <w:t>/dag, PO): dagar 11</w:t>
            </w:r>
            <w:r w:rsidRPr="00B6645D">
              <w:rPr>
                <w:color w:val="000000"/>
                <w:lang w:val="sv-SE"/>
              </w:rPr>
              <w:noBreakHyphen/>
              <w:t>56 (</w:t>
            </w:r>
            <w:r>
              <w:rPr>
                <w:color w:val="000000"/>
                <w:lang w:val="sv-SE"/>
              </w:rPr>
              <w:t>Avvakta med</w:t>
            </w:r>
            <w:r w:rsidRPr="00B6645D">
              <w:rPr>
                <w:color w:val="000000"/>
                <w:lang w:val="sv-SE"/>
              </w:rPr>
              <w:t xml:space="preserve"> 6-MP under de 6</w:t>
            </w:r>
            <w:r w:rsidRPr="00B6645D">
              <w:rPr>
                <w:color w:val="000000"/>
                <w:lang w:val="sv-SE"/>
              </w:rPr>
              <w:noBreakHyphen/>
              <w:t xml:space="preserve">10 dagar av kraniell </w:t>
            </w:r>
            <w:r>
              <w:rPr>
                <w:color w:val="000000"/>
                <w:lang w:val="sv-SE"/>
              </w:rPr>
              <w:t>bestrålning</w:t>
            </w:r>
            <w:r w:rsidRPr="00B6645D">
              <w:rPr>
                <w:color w:val="000000"/>
                <w:lang w:val="sv-SE"/>
              </w:rPr>
              <w:t xml:space="preserve"> som startar på dag 1 av Cykel 5. </w:t>
            </w:r>
            <w:r w:rsidRPr="00894BFB">
              <w:rPr>
                <w:color w:val="000000"/>
                <w:lang w:val="sv-SE"/>
              </w:rPr>
              <w:t>Start</w:t>
            </w:r>
            <w:r>
              <w:rPr>
                <w:color w:val="000000"/>
                <w:lang w:val="sv-SE"/>
              </w:rPr>
              <w:t>a</w:t>
            </w:r>
            <w:r w:rsidRPr="00894BFB">
              <w:rPr>
                <w:color w:val="000000"/>
                <w:lang w:val="sv-SE"/>
              </w:rPr>
              <w:t xml:space="preserve"> 6-MP </w:t>
            </w:r>
            <w:r w:rsidRPr="00B6645D">
              <w:rPr>
                <w:color w:val="000000"/>
                <w:lang w:val="sv-SE"/>
              </w:rPr>
              <w:t>på första dagen efter</w:t>
            </w:r>
            <w:r>
              <w:rPr>
                <w:color w:val="000000"/>
                <w:lang w:val="sv-SE"/>
              </w:rPr>
              <w:t xml:space="preserve"> fullföljd</w:t>
            </w:r>
            <w:r w:rsidRPr="00B6645D">
              <w:rPr>
                <w:color w:val="000000"/>
                <w:lang w:val="sv-SE"/>
              </w:rPr>
              <w:t xml:space="preserve"> kraniell </w:t>
            </w:r>
            <w:r>
              <w:rPr>
                <w:color w:val="000000"/>
                <w:lang w:val="sv-SE"/>
              </w:rPr>
              <w:t>bestrålning</w:t>
            </w:r>
            <w:r w:rsidRPr="00B6645D">
              <w:rPr>
                <w:color w:val="000000"/>
                <w:lang w:val="sv-SE"/>
              </w:rPr>
              <w:t>.)</w:t>
            </w:r>
          </w:p>
          <w:p w14:paraId="2948FF57" w14:textId="3169B353" w:rsidR="00547CA2" w:rsidRPr="00B6645D" w:rsidRDefault="00547CA2" w:rsidP="00463647">
            <w:pPr>
              <w:pStyle w:val="EndnoteText"/>
              <w:widowControl w:val="0"/>
              <w:rPr>
                <w:color w:val="000000"/>
                <w:lang w:val="sv-SE"/>
              </w:rPr>
            </w:pPr>
            <w:r w:rsidRPr="00B6645D">
              <w:rPr>
                <w:color w:val="000000"/>
                <w:lang w:val="sv-SE"/>
              </w:rPr>
              <w:t>Metotrexat (20 mg/m</w:t>
            </w:r>
            <w:r w:rsidRPr="00B6645D">
              <w:rPr>
                <w:color w:val="000000"/>
                <w:vertAlign w:val="superscript"/>
                <w:lang w:val="sv-SE"/>
              </w:rPr>
              <w:t>2</w:t>
            </w:r>
            <w:r w:rsidRPr="00B6645D">
              <w:rPr>
                <w:color w:val="000000"/>
                <w:lang w:val="sv-SE"/>
              </w:rPr>
              <w:t>/vecka, PO): dagar 8, 15, 22, 29, 36, 43, 50</w:t>
            </w:r>
          </w:p>
        </w:tc>
      </w:tr>
      <w:tr w:rsidR="00547CA2" w:rsidRPr="00644A2E" w14:paraId="083EC714" w14:textId="77777777" w:rsidTr="0040304A">
        <w:trPr>
          <w:cantSplit/>
          <w:trHeight w:val="1297"/>
        </w:trPr>
        <w:tc>
          <w:tcPr>
            <w:tcW w:w="2358" w:type="dxa"/>
            <w:shd w:val="clear" w:color="auto" w:fill="auto"/>
          </w:tcPr>
          <w:p w14:paraId="59BF411D" w14:textId="77777777" w:rsidR="00547CA2" w:rsidRDefault="00547CA2" w:rsidP="00463647">
            <w:pPr>
              <w:pStyle w:val="EndnoteText"/>
              <w:keepNext/>
              <w:keepLines/>
              <w:widowControl w:val="0"/>
              <w:rPr>
                <w:color w:val="000000"/>
              </w:rPr>
            </w:pPr>
            <w:r>
              <w:rPr>
                <w:color w:val="000000"/>
                <w:lang w:val="sv-SE"/>
              </w:rPr>
              <w:t>Underhållsbehandling</w:t>
            </w:r>
          </w:p>
          <w:p w14:paraId="1931CEA1" w14:textId="77777777" w:rsidR="00547CA2" w:rsidRDefault="00547CA2" w:rsidP="00463647">
            <w:pPr>
              <w:pStyle w:val="EndnoteText"/>
              <w:keepNext/>
              <w:keepLines/>
              <w:widowControl w:val="0"/>
              <w:rPr>
                <w:color w:val="000000"/>
              </w:rPr>
            </w:pPr>
            <w:r w:rsidRPr="00240FD6">
              <w:rPr>
                <w:color w:val="000000"/>
              </w:rPr>
              <w:t>(8</w:t>
            </w:r>
            <w:r>
              <w:rPr>
                <w:color w:val="000000"/>
              </w:rPr>
              <w:t>-veckors cykler</w:t>
            </w:r>
            <w:r w:rsidRPr="00240FD6">
              <w:rPr>
                <w:color w:val="000000"/>
              </w:rPr>
              <w:t>)</w:t>
            </w:r>
          </w:p>
          <w:p w14:paraId="26D0A8D8" w14:textId="77777777" w:rsidR="00547CA2" w:rsidRPr="00240FD6" w:rsidRDefault="00547CA2" w:rsidP="00463647">
            <w:pPr>
              <w:pStyle w:val="EndnoteText"/>
              <w:keepNext/>
              <w:keepLines/>
              <w:widowControl w:val="0"/>
              <w:rPr>
                <w:color w:val="000000"/>
              </w:rPr>
            </w:pPr>
            <w:r w:rsidRPr="00240FD6">
              <w:rPr>
                <w:color w:val="000000"/>
              </w:rPr>
              <w:t>Cy</w:t>
            </w:r>
            <w:r>
              <w:rPr>
                <w:color w:val="000000"/>
              </w:rPr>
              <w:t>kler </w:t>
            </w:r>
            <w:r w:rsidRPr="00240FD6">
              <w:rPr>
                <w:color w:val="000000"/>
              </w:rPr>
              <w:t>6</w:t>
            </w:r>
            <w:r>
              <w:rPr>
                <w:color w:val="000000"/>
              </w:rPr>
              <w:noBreakHyphen/>
            </w:r>
            <w:r w:rsidRPr="00240FD6">
              <w:rPr>
                <w:color w:val="000000"/>
              </w:rPr>
              <w:t>12</w:t>
            </w:r>
          </w:p>
        </w:tc>
        <w:tc>
          <w:tcPr>
            <w:tcW w:w="6929" w:type="dxa"/>
            <w:shd w:val="clear" w:color="auto" w:fill="auto"/>
          </w:tcPr>
          <w:p w14:paraId="2DEA1C58" w14:textId="77777777" w:rsidR="00547CA2" w:rsidRPr="00B6645D" w:rsidRDefault="00547CA2" w:rsidP="00463647">
            <w:pPr>
              <w:pStyle w:val="EndnoteText"/>
              <w:keepNext/>
              <w:keepLines/>
              <w:widowControl w:val="0"/>
              <w:rPr>
                <w:color w:val="000000"/>
                <w:lang w:val="sv-SE"/>
              </w:rPr>
            </w:pPr>
            <w:r w:rsidRPr="00894BFB">
              <w:rPr>
                <w:color w:val="000000"/>
                <w:lang w:val="sv-SE"/>
              </w:rPr>
              <w:t>VCR (1.5 mg/m</w:t>
            </w:r>
            <w:r w:rsidRPr="00B6645D">
              <w:rPr>
                <w:color w:val="000000"/>
                <w:vertAlign w:val="superscript"/>
                <w:lang w:val="sv-SE"/>
              </w:rPr>
              <w:t>2</w:t>
            </w:r>
            <w:r w:rsidRPr="00B6645D">
              <w:rPr>
                <w:color w:val="000000"/>
                <w:lang w:val="sv-SE"/>
              </w:rPr>
              <w:t>/dag, IV): dagar 1, 29</w:t>
            </w:r>
          </w:p>
          <w:p w14:paraId="094E2673" w14:textId="77777777" w:rsidR="00547CA2" w:rsidRPr="00B6645D" w:rsidRDefault="00547CA2" w:rsidP="00463647">
            <w:pPr>
              <w:pStyle w:val="EndnoteText"/>
              <w:keepNext/>
              <w:keepLines/>
              <w:widowControl w:val="0"/>
              <w:rPr>
                <w:color w:val="000000"/>
                <w:lang w:val="sv-SE"/>
              </w:rPr>
            </w:pPr>
            <w:r w:rsidRPr="00B6645D">
              <w:rPr>
                <w:color w:val="000000"/>
                <w:lang w:val="sv-SE"/>
              </w:rPr>
              <w:t>DEX (6 mg/m</w:t>
            </w:r>
            <w:r w:rsidRPr="00B6645D">
              <w:rPr>
                <w:color w:val="000000"/>
                <w:vertAlign w:val="superscript"/>
                <w:lang w:val="sv-SE"/>
              </w:rPr>
              <w:t>2</w:t>
            </w:r>
            <w:r w:rsidRPr="00B6645D">
              <w:rPr>
                <w:color w:val="000000"/>
                <w:lang w:val="sv-SE"/>
              </w:rPr>
              <w:t>/dag, PO): dagar 1</w:t>
            </w:r>
            <w:r w:rsidRPr="00B6645D">
              <w:rPr>
                <w:color w:val="000000"/>
                <w:lang w:val="sv-SE"/>
              </w:rPr>
              <w:noBreakHyphen/>
              <w:t>5; 29</w:t>
            </w:r>
            <w:r w:rsidRPr="00B6645D">
              <w:rPr>
                <w:color w:val="000000"/>
                <w:lang w:val="sv-SE"/>
              </w:rPr>
              <w:noBreakHyphen/>
              <w:t>33</w:t>
            </w:r>
          </w:p>
          <w:p w14:paraId="1625D263" w14:textId="77777777" w:rsidR="00547CA2" w:rsidRPr="00B6645D" w:rsidRDefault="00547CA2" w:rsidP="00463647">
            <w:pPr>
              <w:pStyle w:val="EndnoteText"/>
              <w:keepNext/>
              <w:keepLines/>
              <w:widowControl w:val="0"/>
              <w:rPr>
                <w:color w:val="000000"/>
                <w:lang w:val="sv-SE"/>
              </w:rPr>
            </w:pPr>
            <w:r w:rsidRPr="00B6645D">
              <w:rPr>
                <w:color w:val="000000"/>
                <w:lang w:val="sv-SE"/>
              </w:rPr>
              <w:t>6-MP (75 mg/m</w:t>
            </w:r>
            <w:r w:rsidRPr="00B6645D">
              <w:rPr>
                <w:color w:val="000000"/>
                <w:vertAlign w:val="superscript"/>
                <w:lang w:val="sv-SE"/>
              </w:rPr>
              <w:t>2</w:t>
            </w:r>
            <w:r w:rsidRPr="00B6645D">
              <w:rPr>
                <w:color w:val="000000"/>
                <w:lang w:val="sv-SE"/>
              </w:rPr>
              <w:t>/dag, PO): dagar 1</w:t>
            </w:r>
            <w:r w:rsidRPr="00B6645D">
              <w:rPr>
                <w:color w:val="000000"/>
                <w:lang w:val="sv-SE"/>
              </w:rPr>
              <w:noBreakHyphen/>
              <w:t>56</w:t>
            </w:r>
          </w:p>
          <w:p w14:paraId="4404D3D1" w14:textId="77777777" w:rsidR="00547CA2" w:rsidRPr="00B6645D" w:rsidRDefault="00547CA2" w:rsidP="00463647">
            <w:pPr>
              <w:pStyle w:val="EndnoteText"/>
              <w:keepNext/>
              <w:keepLines/>
              <w:widowControl w:val="0"/>
              <w:rPr>
                <w:color w:val="000000"/>
                <w:lang w:val="sv-SE"/>
              </w:rPr>
            </w:pPr>
            <w:r w:rsidRPr="00B6645D">
              <w:rPr>
                <w:color w:val="000000"/>
                <w:lang w:val="sv-SE"/>
              </w:rPr>
              <w:t>Metotrexat (20 mg/m</w:t>
            </w:r>
            <w:r w:rsidRPr="00B6645D">
              <w:rPr>
                <w:color w:val="000000"/>
                <w:vertAlign w:val="superscript"/>
                <w:lang w:val="sv-SE"/>
              </w:rPr>
              <w:t>2</w:t>
            </w:r>
            <w:r w:rsidRPr="00B6645D">
              <w:rPr>
                <w:color w:val="000000"/>
                <w:lang w:val="sv-SE"/>
              </w:rPr>
              <w:t>/vecka, PO): dagar 1, 8, 15, 22, 29, 36, 43, 50</w:t>
            </w:r>
          </w:p>
        </w:tc>
      </w:tr>
    </w:tbl>
    <w:p w14:paraId="6B680F0C" w14:textId="77777777" w:rsidR="00547CA2" w:rsidRPr="00894BFB" w:rsidRDefault="00547CA2" w:rsidP="00463647">
      <w:pPr>
        <w:pStyle w:val="EndnoteText"/>
        <w:keepNext/>
        <w:keepLines/>
        <w:widowControl w:val="0"/>
        <w:rPr>
          <w:color w:val="000000"/>
          <w:szCs w:val="22"/>
          <w:lang w:val="sv-SE"/>
        </w:rPr>
      </w:pPr>
      <w:r w:rsidRPr="009C5490">
        <w:rPr>
          <w:color w:val="000000"/>
          <w:szCs w:val="22"/>
          <w:lang w:val="sv-SE"/>
        </w:rPr>
        <w:t>G-CSF = granulocyte colony stimulating factor, VP-16 = etoposid, MTX = metotrexat, IV = intravenös, SC = sub</w:t>
      </w:r>
      <w:r w:rsidRPr="00065E92">
        <w:rPr>
          <w:color w:val="000000"/>
          <w:szCs w:val="22"/>
          <w:lang w:val="sv-SE"/>
        </w:rPr>
        <w:t>kutan, IT = intratekal, PO = oral, IM = intramuskulär, ARA-C = cytarabin, CPM = cyclofosfoamid</w:t>
      </w:r>
      <w:r w:rsidRPr="005C1371">
        <w:rPr>
          <w:color w:val="000000"/>
          <w:szCs w:val="22"/>
          <w:lang w:val="sv-SE"/>
        </w:rPr>
        <w:t>, VCR = vink</w:t>
      </w:r>
      <w:r w:rsidRPr="00B52C37">
        <w:rPr>
          <w:color w:val="000000"/>
          <w:szCs w:val="22"/>
          <w:lang w:val="sv-SE"/>
        </w:rPr>
        <w:t>ristin, DEX = dexametason, DAUN = daunorubicin, 6-MP = 6-merkaptopurin, E.Coli L-ASP = L-asparaginas, PEG-ASP = PEG asparaginas, MESNA= 2-</w:t>
      </w:r>
      <w:r w:rsidRPr="009C5490">
        <w:rPr>
          <w:color w:val="000000"/>
          <w:szCs w:val="22"/>
          <w:lang w:val="sv-SE"/>
        </w:rPr>
        <w:t>merkaptoetan sulfonat natrium,</w:t>
      </w:r>
      <w:r w:rsidRPr="00894BFB">
        <w:rPr>
          <w:color w:val="000000"/>
          <w:szCs w:val="22"/>
          <w:lang w:val="sv-SE"/>
        </w:rPr>
        <w:t xml:space="preserve"> iii= </w:t>
      </w:r>
      <w:r>
        <w:rPr>
          <w:color w:val="000000"/>
          <w:szCs w:val="22"/>
          <w:lang w:val="sv-SE"/>
        </w:rPr>
        <w:t>eller tills</w:t>
      </w:r>
      <w:r w:rsidRPr="00894BFB">
        <w:rPr>
          <w:color w:val="000000"/>
          <w:szCs w:val="22"/>
          <w:lang w:val="sv-SE"/>
        </w:rPr>
        <w:t xml:space="preserve"> MTX </w:t>
      </w:r>
      <w:r>
        <w:rPr>
          <w:color w:val="000000"/>
          <w:szCs w:val="22"/>
          <w:lang w:val="sv-SE"/>
        </w:rPr>
        <w:t>nivå är</w:t>
      </w:r>
      <w:r w:rsidRPr="00894BFB">
        <w:rPr>
          <w:color w:val="000000"/>
          <w:szCs w:val="22"/>
          <w:lang w:val="sv-SE"/>
        </w:rPr>
        <w:t xml:space="preserve"> &lt; 0</w:t>
      </w:r>
      <w:r>
        <w:rPr>
          <w:color w:val="000000"/>
          <w:szCs w:val="22"/>
          <w:lang w:val="sv-SE"/>
        </w:rPr>
        <w:t>,</w:t>
      </w:r>
      <w:r w:rsidRPr="00894BFB">
        <w:rPr>
          <w:color w:val="000000"/>
          <w:szCs w:val="22"/>
          <w:lang w:val="sv-SE"/>
        </w:rPr>
        <w:t>1 µM, q6</w:t>
      </w:r>
      <w:r>
        <w:rPr>
          <w:color w:val="000000"/>
          <w:szCs w:val="22"/>
          <w:lang w:val="sv-SE"/>
        </w:rPr>
        <w:t>tim</w:t>
      </w:r>
      <w:r w:rsidRPr="00894BFB">
        <w:rPr>
          <w:color w:val="000000"/>
          <w:szCs w:val="22"/>
          <w:lang w:val="sv-SE"/>
        </w:rPr>
        <w:t xml:space="preserve"> = </w:t>
      </w:r>
      <w:r>
        <w:rPr>
          <w:color w:val="000000"/>
          <w:szCs w:val="22"/>
          <w:lang w:val="sv-SE"/>
        </w:rPr>
        <w:t>var</w:t>
      </w:r>
      <w:r w:rsidRPr="00894BFB">
        <w:rPr>
          <w:color w:val="000000"/>
          <w:szCs w:val="22"/>
          <w:lang w:val="sv-SE"/>
        </w:rPr>
        <w:t xml:space="preserve"> 6</w:t>
      </w:r>
      <w:r>
        <w:rPr>
          <w:color w:val="000000"/>
          <w:szCs w:val="22"/>
          <w:lang w:val="sv-SE"/>
        </w:rPr>
        <w:t>:e</w:t>
      </w:r>
      <w:r w:rsidRPr="00894BFB">
        <w:rPr>
          <w:color w:val="000000"/>
          <w:szCs w:val="22"/>
          <w:lang w:val="sv-SE"/>
        </w:rPr>
        <w:t> </w:t>
      </w:r>
      <w:r>
        <w:rPr>
          <w:color w:val="000000"/>
          <w:szCs w:val="22"/>
          <w:lang w:val="sv-SE"/>
        </w:rPr>
        <w:t>timme</w:t>
      </w:r>
      <w:r w:rsidRPr="00894BFB">
        <w:rPr>
          <w:color w:val="000000"/>
          <w:szCs w:val="22"/>
          <w:lang w:val="sv-SE"/>
        </w:rPr>
        <w:t>, Gy= Gray</w:t>
      </w:r>
    </w:p>
    <w:p w14:paraId="121635D3" w14:textId="77777777" w:rsidR="00547CA2" w:rsidRPr="00894BFB" w:rsidRDefault="00547CA2" w:rsidP="00463647">
      <w:pPr>
        <w:pStyle w:val="EndnoteText"/>
        <w:widowControl w:val="0"/>
        <w:jc w:val="both"/>
        <w:rPr>
          <w:color w:val="000000"/>
          <w:sz w:val="20"/>
          <w:lang w:val="sv-SE"/>
        </w:rPr>
      </w:pPr>
    </w:p>
    <w:p w14:paraId="791B99DE" w14:textId="77777777" w:rsidR="00547CA2" w:rsidRPr="00894BFB" w:rsidRDefault="00547CA2" w:rsidP="00463647">
      <w:pPr>
        <w:pStyle w:val="EndnoteText"/>
        <w:widowControl w:val="0"/>
        <w:rPr>
          <w:color w:val="000000"/>
          <w:lang w:val="sv-SE"/>
        </w:rPr>
      </w:pPr>
      <w:r w:rsidRPr="00894BFB">
        <w:rPr>
          <w:color w:val="000000"/>
          <w:szCs w:val="22"/>
          <w:lang w:val="sv-SE"/>
        </w:rPr>
        <w:t>Studie AIT07 var en multicente</w:t>
      </w:r>
      <w:r>
        <w:rPr>
          <w:color w:val="000000"/>
          <w:szCs w:val="22"/>
          <w:lang w:val="sv-SE"/>
        </w:rPr>
        <w:t>r</w:t>
      </w:r>
      <w:r w:rsidRPr="00894BFB">
        <w:rPr>
          <w:color w:val="000000"/>
          <w:szCs w:val="22"/>
          <w:lang w:val="sv-SE"/>
        </w:rPr>
        <w:t>, öppen, randomiserad, fas II/III studie som inkluderade 128 patienter (1 till</w:t>
      </w:r>
      <w:r>
        <w:rPr>
          <w:color w:val="000000"/>
          <w:szCs w:val="22"/>
          <w:lang w:val="sv-SE"/>
        </w:rPr>
        <w:t xml:space="preserve"> </w:t>
      </w:r>
      <w:r w:rsidRPr="00894BFB">
        <w:rPr>
          <w:color w:val="000000"/>
          <w:szCs w:val="22"/>
          <w:lang w:val="sv-SE"/>
        </w:rPr>
        <w:t xml:space="preserve">&lt; 18 år) </w:t>
      </w:r>
      <w:r>
        <w:rPr>
          <w:color w:val="000000"/>
          <w:szCs w:val="22"/>
          <w:lang w:val="sv-SE"/>
        </w:rPr>
        <w:t>som behandlats med imatinib i k</w:t>
      </w:r>
      <w:r w:rsidRPr="00894BFB">
        <w:rPr>
          <w:color w:val="000000"/>
          <w:szCs w:val="22"/>
          <w:lang w:val="sv-SE"/>
        </w:rPr>
        <w:t xml:space="preserve">ombination med kemoterapi. Säkerhetsdata från denna studie </w:t>
      </w:r>
      <w:r>
        <w:rPr>
          <w:color w:val="000000"/>
          <w:szCs w:val="22"/>
          <w:lang w:val="sv-SE"/>
        </w:rPr>
        <w:t xml:space="preserve">förefaller vara i enlighet med </w:t>
      </w:r>
      <w:r w:rsidRPr="00894BFB">
        <w:rPr>
          <w:color w:val="000000"/>
          <w:szCs w:val="22"/>
          <w:lang w:val="sv-SE"/>
        </w:rPr>
        <w:t>säkerhetsprofilen för imatinib hos Ph+ ALL patienter.</w:t>
      </w:r>
    </w:p>
    <w:p w14:paraId="32EADF06" w14:textId="77777777" w:rsidR="00547CA2" w:rsidRPr="00894BFB" w:rsidRDefault="00547CA2" w:rsidP="00463647">
      <w:pPr>
        <w:pStyle w:val="EndnoteText"/>
        <w:widowControl w:val="0"/>
        <w:rPr>
          <w:color w:val="000000"/>
          <w:szCs w:val="22"/>
          <w:lang w:val="sv-SE"/>
        </w:rPr>
      </w:pPr>
    </w:p>
    <w:p w14:paraId="777AA8F1" w14:textId="77777777" w:rsidR="00547CA2" w:rsidRPr="000E7AE9" w:rsidRDefault="00547CA2" w:rsidP="00463647">
      <w:pPr>
        <w:pStyle w:val="EndnoteText"/>
        <w:widowControl w:val="0"/>
        <w:tabs>
          <w:tab w:val="clear" w:pos="567"/>
        </w:tabs>
        <w:rPr>
          <w:color w:val="000000"/>
          <w:szCs w:val="22"/>
          <w:lang w:val="sv-SE"/>
        </w:rPr>
      </w:pPr>
      <w:r w:rsidRPr="000E7AE9">
        <w:rPr>
          <w:i/>
          <w:color w:val="000000"/>
          <w:szCs w:val="22"/>
          <w:lang w:val="sv-SE"/>
        </w:rPr>
        <w:t>Recidiverande/refraktära Ph+ ALL:</w:t>
      </w:r>
      <w:r w:rsidRPr="000E7AE9">
        <w:rPr>
          <w:color w:val="000000"/>
          <w:szCs w:val="22"/>
          <w:lang w:val="sv-SE"/>
        </w:rPr>
        <w:t xml:space="preserve"> När imatinib användes som monoterapi för patienter med recidiverande/refraktär Ph+ ALL, ledde det till en frekvens på 30</w:t>
      </w:r>
      <w:r>
        <w:rPr>
          <w:color w:val="000000"/>
          <w:szCs w:val="22"/>
          <w:lang w:val="sv-SE"/>
        </w:rPr>
        <w:t> </w:t>
      </w:r>
      <w:r w:rsidRPr="000E7AE9">
        <w:rPr>
          <w:color w:val="000000"/>
          <w:szCs w:val="22"/>
          <w:lang w:val="sv-SE"/>
        </w:rPr>
        <w:t>% för hematologiskt svar (9</w:t>
      </w:r>
      <w:r>
        <w:rPr>
          <w:color w:val="000000"/>
          <w:szCs w:val="22"/>
          <w:lang w:val="sv-SE"/>
        </w:rPr>
        <w:t> </w:t>
      </w:r>
      <w:r w:rsidRPr="000E7AE9">
        <w:rPr>
          <w:color w:val="000000"/>
          <w:szCs w:val="22"/>
          <w:lang w:val="sv-SE"/>
        </w:rPr>
        <w:t>% fullständig) och en frekvens på 23</w:t>
      </w:r>
      <w:r>
        <w:rPr>
          <w:color w:val="000000"/>
          <w:szCs w:val="22"/>
          <w:lang w:val="sv-SE"/>
        </w:rPr>
        <w:t> </w:t>
      </w:r>
      <w:r w:rsidRPr="000E7AE9">
        <w:rPr>
          <w:color w:val="000000"/>
          <w:szCs w:val="22"/>
          <w:lang w:val="sv-SE"/>
        </w:rPr>
        <w:t>% för betydande cytogenetiskt svar för 53 av de 411 patienter som var utvärderbara för svar. (Obs! Av de 411 patienterna behandlades 353 i ett utvidgat accessprogram utan insamlande av primära svarsdata). Mediantiden till progression i den totala populationen på 411 patienter med recidiverande/refraktär Ph+ ALL varierade mellan 2,6 och 3,1 månader. Mediantiden för totalöverlevnad var mellan 4,9 och 9 månader för de 401 utvärderbara patienterna. Data var likartade vid reanalys av enbart patienter vid ålder 55 år eller äldre.</w:t>
      </w:r>
    </w:p>
    <w:p w14:paraId="37B0157F" w14:textId="77777777" w:rsidR="00547CA2" w:rsidRPr="000E7AE9" w:rsidRDefault="00547CA2" w:rsidP="00463647">
      <w:pPr>
        <w:pStyle w:val="EndnoteText"/>
        <w:widowControl w:val="0"/>
        <w:tabs>
          <w:tab w:val="clear" w:pos="567"/>
        </w:tabs>
        <w:rPr>
          <w:color w:val="000000"/>
          <w:szCs w:val="22"/>
          <w:lang w:val="sv-SE"/>
        </w:rPr>
      </w:pPr>
    </w:p>
    <w:p w14:paraId="79356AFF" w14:textId="77777777" w:rsidR="00547CA2" w:rsidRPr="000E7AE9" w:rsidRDefault="00547CA2" w:rsidP="00463647">
      <w:pPr>
        <w:pStyle w:val="EndnoteText"/>
        <w:keepNext/>
        <w:widowControl w:val="0"/>
        <w:tabs>
          <w:tab w:val="clear" w:pos="567"/>
        </w:tabs>
        <w:rPr>
          <w:color w:val="000000"/>
          <w:szCs w:val="22"/>
          <w:u w:val="single"/>
          <w:lang w:val="sv-SE"/>
        </w:rPr>
      </w:pPr>
      <w:r w:rsidRPr="000E7AE9">
        <w:rPr>
          <w:color w:val="000000"/>
          <w:szCs w:val="22"/>
          <w:u w:val="single"/>
          <w:lang w:val="sv-SE"/>
        </w:rPr>
        <w:t>Kliniska studier vid MDS/MPD</w:t>
      </w:r>
    </w:p>
    <w:p w14:paraId="1156ABE1" w14:textId="77777777" w:rsidR="00B67ABB" w:rsidRDefault="00547CA2" w:rsidP="00463647">
      <w:pPr>
        <w:pStyle w:val="EndnoteText"/>
        <w:widowControl w:val="0"/>
        <w:tabs>
          <w:tab w:val="clear" w:pos="567"/>
        </w:tabs>
        <w:rPr>
          <w:color w:val="000000"/>
          <w:szCs w:val="22"/>
          <w:lang w:val="sv-SE"/>
        </w:rPr>
      </w:pPr>
      <w:r w:rsidRPr="000E7AE9">
        <w:rPr>
          <w:color w:val="000000"/>
          <w:szCs w:val="22"/>
          <w:lang w:val="sv-SE"/>
        </w:rPr>
        <w:t xml:space="preserve">Erfarenhet med Glivec vid denna indikation är mycket begränsad och baseras på hematologiska och cytogenetiska svarsfrekvenser. Det finns inga kontrollerade studier som uppvisa en klinisk nytta eller ökad överlevnad. En öppen multicenter-, fas-II, klinisk studie (studie B2225) </w:t>
      </w:r>
      <w:r w:rsidRPr="000E7AE9">
        <w:rPr>
          <w:rFonts w:eastAsia="MS Mincho"/>
          <w:color w:val="000000"/>
          <w:lang w:val="sv-SE" w:eastAsia="ja-JP"/>
        </w:rPr>
        <w:t>utfördes där Glivec testades på olika populationer av patienter med livshotande sjukdomar sammankopplade med Abl-, Kit- eller PDGFR-proteintyrosinkinaser</w:t>
      </w:r>
      <w:r w:rsidRPr="000E7AE9">
        <w:rPr>
          <w:color w:val="000000"/>
          <w:szCs w:val="22"/>
          <w:lang w:val="sv-SE"/>
        </w:rPr>
        <w:t>. Denna studie inkluderade 7 patienter med MDS/MPD, som behandlades med Glivec 400 mg dagligen. Tre patienter uppvisade ett fullständigt hematologiskt svar (FHS) och en patient hade ett partiellt hematologiskt svar (PHS). Vid tiden för originalanalysen utvecklade tre av fyra patienter med klarlagt rearrangemang av PDGFR-genen ett hematologiskt svar (2 FHS och 1 PHS). Åldern på dessa patienter varierade från 20 till 72 år.</w:t>
      </w:r>
    </w:p>
    <w:p w14:paraId="450C984D" w14:textId="77777777" w:rsidR="00B67ABB" w:rsidRDefault="00B67ABB" w:rsidP="00463647">
      <w:pPr>
        <w:pStyle w:val="EndnoteText"/>
        <w:widowControl w:val="0"/>
        <w:tabs>
          <w:tab w:val="clear" w:pos="567"/>
        </w:tabs>
        <w:rPr>
          <w:color w:val="000000"/>
          <w:szCs w:val="22"/>
          <w:lang w:val="sv-SE"/>
        </w:rPr>
      </w:pPr>
    </w:p>
    <w:p w14:paraId="0F3B9958" w14:textId="77777777" w:rsidR="00B67ABB" w:rsidRDefault="00B67ABB" w:rsidP="00463647">
      <w:pPr>
        <w:pStyle w:val="EndnoteText"/>
        <w:widowControl w:val="0"/>
        <w:tabs>
          <w:tab w:val="clear" w:pos="567"/>
        </w:tabs>
        <w:rPr>
          <w:color w:val="000000"/>
          <w:szCs w:val="22"/>
          <w:lang w:val="sv-SE"/>
        </w:rPr>
      </w:pPr>
      <w:r>
        <w:rPr>
          <w:color w:val="000000"/>
          <w:szCs w:val="22"/>
          <w:lang w:val="sv-SE"/>
        </w:rPr>
        <w:t>En observationell registerstudie (L2401) genomfördes för att samla in långsiktiga data om säkerhet och effekt hos patienter med myeloproliferativa neoplasier med rearrangemang av PDGFR-</w:t>
      </w:r>
      <w:r w:rsidRPr="00E04387">
        <w:rPr>
          <w:color w:val="000000"/>
          <w:szCs w:val="22"/>
          <w:lang w:val="sv-SE"/>
        </w:rPr>
        <w:t xml:space="preserve"> </w:t>
      </w:r>
      <w:r w:rsidRPr="008F0D5D">
        <w:rPr>
          <w:color w:val="000000"/>
          <w:szCs w:val="22"/>
          <w:lang w:val="en-US"/>
        </w:rPr>
        <w:t>β</w:t>
      </w:r>
      <w:r w:rsidRPr="00C36B3F">
        <w:rPr>
          <w:color w:val="000000"/>
          <w:szCs w:val="22"/>
          <w:lang w:val="sv-SE"/>
        </w:rPr>
        <w:t xml:space="preserve"> </w:t>
      </w:r>
      <w:r w:rsidRPr="008A2839">
        <w:rPr>
          <w:color w:val="000000"/>
          <w:szCs w:val="22"/>
          <w:lang w:val="sv-SE"/>
        </w:rPr>
        <w:t xml:space="preserve">som behandlades med Glivec. </w:t>
      </w:r>
      <w:r>
        <w:rPr>
          <w:color w:val="000000"/>
          <w:szCs w:val="22"/>
          <w:lang w:val="sv-SE"/>
        </w:rPr>
        <w:t>De 23 patienter som ingick i detta register fick Glivec i en daglig dos om 264 mg i median (intervall: 100 till 400 mg) under en medianduration om 7,2 år (intervall 0,1 till 12,7 år). På grund av registrets observationella karaktär fanns hematologiska, cytogenetiska och molekylära data tillgängliga för 22, 9 respektive 17 av de 23 patienter som inkluderats. Vid konservativt antagande att patienter där data saknades inte svarat på behandlingen observerades FHS hos 20 av 23 (87 %) patienter, FCyS hos 9 av 23 (39,1 %) patienter respektive molekylärt svar hos 11 av 23 (47,8 %) patienter. Beräknat utifrån patienter med minst en giltig utvärdering var svarsfrekvensen för FHS, FCyS och molekylärt svar 20/22 (90,9 %), 9/9 (100 %) respektive 11/17 (64,7 %).</w:t>
      </w:r>
    </w:p>
    <w:p w14:paraId="7C767080" w14:textId="77777777" w:rsidR="00B67ABB" w:rsidRDefault="00B67ABB" w:rsidP="00463647">
      <w:pPr>
        <w:pStyle w:val="EndnoteText"/>
        <w:widowControl w:val="0"/>
        <w:tabs>
          <w:tab w:val="clear" w:pos="567"/>
        </w:tabs>
        <w:rPr>
          <w:color w:val="000000"/>
          <w:szCs w:val="22"/>
          <w:lang w:val="sv-SE"/>
        </w:rPr>
      </w:pPr>
    </w:p>
    <w:p w14:paraId="66C6CCCB"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Ytterligare 24 patienter med MDS/MPD rapporterades i 13 publikationer. 21 patienter behandlades med 400 mg dagligen, medan de 3 andra patienterna erhöll lägre doser. Hos elva patienter upptäcktes rearrangemang av PDGFR-genen, varav 9 av dem nådde FHS och 1 PHS. Åldern på dessa patienter varierade från 2 till 79 år. I en nyligen publicerad artikel med uppdaterad information från 6 av dessa 11 patienter klarlades att alla dessa patienter förblev i cytogenetisk remission (intervall 32</w:t>
      </w:r>
      <w:r w:rsidRPr="000E7AE9">
        <w:rPr>
          <w:color w:val="000000"/>
          <w:szCs w:val="22"/>
          <w:lang w:val="sv-SE"/>
        </w:rPr>
        <w:noBreakHyphen/>
        <w:t>38 månader). Samma publikation rapporterade om data från långtidsuppföljning av 12 MDS/MPD-patienter med rearrangemang av PDGFR-genen (5 patienter från studie B2225). Dessa patienter erhöll Glivec under en median av 47 månader (intervall 24 dagar – 60 månader). Hos 6 av dessa patienter överstiger nu uppföljningen 4 år. Elva patienter uppnådde snabbt FHS, 10 hade fullständig utläkning av cytogenetiska abnormiteter och en minskning eller försvinnande av fusionstranskript bestämt med RT-PCR. Hematologiskt och cytogenetiskt svar har kvarstått i median 49 månader (intervall 19</w:t>
      </w:r>
      <w:r w:rsidRPr="000E7AE9">
        <w:rPr>
          <w:color w:val="000000"/>
          <w:szCs w:val="22"/>
          <w:lang w:val="sv-SE"/>
        </w:rPr>
        <w:noBreakHyphen/>
        <w:t>60) respektive 47 månader (intervall 16</w:t>
      </w:r>
      <w:r w:rsidRPr="000E7AE9">
        <w:rPr>
          <w:color w:val="000000"/>
          <w:szCs w:val="22"/>
          <w:lang w:val="sv-SE"/>
        </w:rPr>
        <w:noBreakHyphen/>
        <w:t>59). Den sammantagna överlevnaden är 65 månader sedan diagnos (intervall 25</w:t>
      </w:r>
      <w:r w:rsidRPr="000E7AE9">
        <w:rPr>
          <w:color w:val="000000"/>
          <w:szCs w:val="22"/>
          <w:lang w:val="sv-SE"/>
        </w:rPr>
        <w:noBreakHyphen/>
        <w:t>234). Glivec givet till patienter utan den genetiska translokationen resulterar vanligen inte i någon förbättring.</w:t>
      </w:r>
    </w:p>
    <w:p w14:paraId="73AB6FF8" w14:textId="77777777" w:rsidR="00547CA2" w:rsidRDefault="00547CA2" w:rsidP="00463647">
      <w:pPr>
        <w:pStyle w:val="EndnoteText"/>
        <w:widowControl w:val="0"/>
        <w:tabs>
          <w:tab w:val="clear" w:pos="567"/>
        </w:tabs>
        <w:rPr>
          <w:color w:val="000000"/>
          <w:szCs w:val="22"/>
          <w:lang w:val="sv-SE"/>
        </w:rPr>
      </w:pPr>
    </w:p>
    <w:p w14:paraId="12F37056" w14:textId="77777777" w:rsidR="00547CA2" w:rsidRPr="00134EC1" w:rsidRDefault="00547CA2" w:rsidP="00463647">
      <w:pPr>
        <w:pStyle w:val="EndnoteText"/>
        <w:widowControl w:val="0"/>
        <w:tabs>
          <w:tab w:val="clear" w:pos="567"/>
        </w:tabs>
        <w:rPr>
          <w:color w:val="000000"/>
          <w:szCs w:val="22"/>
          <w:lang w:val="sv-SE"/>
        </w:rPr>
      </w:pPr>
      <w:r>
        <w:rPr>
          <w:color w:val="000000"/>
          <w:szCs w:val="22"/>
          <w:lang w:val="sv-SE"/>
        </w:rPr>
        <w:t>Det finns inga kliniska studier hos barnpatienter med MDS/MPD. Fem (5) patienter med MDS/MPD associerat med rearrangemang av PDGFR-genen har rapporterats i 4 publikationer. Åldern på dessa patienter sträckte sig från 3 månader till 4 år och imatinib gavs i en dos om 50 mg dagligen eller doser från 92,5 till 340 mg/m</w:t>
      </w:r>
      <w:r w:rsidRPr="00134EC1">
        <w:rPr>
          <w:color w:val="000000"/>
          <w:szCs w:val="22"/>
          <w:vertAlign w:val="superscript"/>
          <w:lang w:val="sv-SE"/>
        </w:rPr>
        <w:t>2</w:t>
      </w:r>
      <w:r>
        <w:rPr>
          <w:color w:val="000000"/>
          <w:szCs w:val="22"/>
          <w:lang w:val="sv-SE"/>
        </w:rPr>
        <w:t xml:space="preserve"> dagligen. Alla patienter uppnådde fullständigt hematologiskt svar, cytogenetiskt svar och/eller kliniskt svar.</w:t>
      </w:r>
    </w:p>
    <w:p w14:paraId="202954CF" w14:textId="77777777" w:rsidR="00547CA2" w:rsidRPr="000E7AE9" w:rsidRDefault="00547CA2" w:rsidP="00463647">
      <w:pPr>
        <w:pStyle w:val="EndnoteText"/>
        <w:widowControl w:val="0"/>
        <w:tabs>
          <w:tab w:val="clear" w:pos="567"/>
        </w:tabs>
        <w:rPr>
          <w:color w:val="000000"/>
          <w:szCs w:val="22"/>
          <w:lang w:val="sv-SE"/>
        </w:rPr>
      </w:pPr>
    </w:p>
    <w:p w14:paraId="6CA73A33" w14:textId="77777777" w:rsidR="00547CA2" w:rsidRPr="000E7AE9" w:rsidRDefault="00547CA2" w:rsidP="00463647">
      <w:pPr>
        <w:pStyle w:val="EndnoteText"/>
        <w:keepNext/>
        <w:widowControl w:val="0"/>
        <w:tabs>
          <w:tab w:val="clear" w:pos="567"/>
        </w:tabs>
        <w:rPr>
          <w:color w:val="000000"/>
          <w:szCs w:val="22"/>
          <w:u w:val="single"/>
          <w:lang w:val="sv-SE"/>
        </w:rPr>
      </w:pPr>
      <w:r w:rsidRPr="000E7AE9">
        <w:rPr>
          <w:color w:val="000000"/>
          <w:szCs w:val="22"/>
          <w:u w:val="single"/>
          <w:lang w:val="sv-SE"/>
        </w:rPr>
        <w:t>Kliniska studier vid HES/CEL</w:t>
      </w:r>
    </w:p>
    <w:p w14:paraId="6670AEC9"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 xml:space="preserve">En öppen, multicenter, fas-II klinisk studie (studie B2225) som testade Glivec hos olika populationer av patienter med livshotande sjukdomar förknippade med Abl, Kit eller PDGFR-protein-tyrosinkinaser genomfördes. I denna studie behandlades 14 patienter med HES/CEL med 100 mg till 1 000 mg Glivec dagligen. Ytterligare 162 patienter med HES/CEL, rapporterade i 35 publicerade fallrapporter och fallserier erhöll Glivec i doser om 75 mg till 800 mg dagligen. Cytogenetiska abnormiteter utvärderades hos 117 av den totala populationen om 176 patienter. Hos 61 av dessa 117 patienter identifierades FIP1L1-PDGFRα-fusionskinas. Ytterligare fyra patienter med HES var positiva för FIP1L1-PDGFRα-fusionskinas i 3 andra publicerade rapporter. Alla 65 patienter som var positiva för FIP1L1-PDGFRα-fusionskinas uppnådde ett fullständigt hematologiskt svar (FHS) som bibehölls i månader (intervall från 1+ till 44+ månader </w:t>
      </w:r>
      <w:r w:rsidRPr="000E7AE9">
        <w:rPr>
          <w:bCs/>
          <w:color w:val="000000"/>
          <w:szCs w:val="22"/>
          <w:lang w:val="sv-SE"/>
        </w:rPr>
        <w:t>uteslutna</w:t>
      </w:r>
      <w:r w:rsidRPr="000E7AE9">
        <w:rPr>
          <w:color w:val="000000"/>
          <w:szCs w:val="22"/>
          <w:lang w:val="sv-SE"/>
        </w:rPr>
        <w:t xml:space="preserve"> vid datum för rapportering). Som rapporterats i en nyligen utgiven publikation, uppnådde 21 av dessa 65 patienter en fullständig cytogenetisk remission med en medianuppföljning på 28 månader (intervall 13</w:t>
      </w:r>
      <w:r w:rsidRPr="000E7AE9">
        <w:rPr>
          <w:color w:val="000000"/>
          <w:szCs w:val="22"/>
          <w:lang w:val="sv-SE"/>
        </w:rPr>
        <w:noBreakHyphen/>
        <w:t>67 månader). Åldern på dessa patienter varierade från 25 till 72 år. Dessutom rapporterade prövarna i fallrapporterna om förbättringar i symtomatologi och andra abnorma organdysfunktioner. Förbättringar i organsystemen rapporterades för hjärta, nervsystemet, hud/subkutan vävnad, andningsvägar/bröstkorg/mediastinum/muskuloskeletala systemet/bindväv/blodkärl och magtarmkanalen.</w:t>
      </w:r>
    </w:p>
    <w:p w14:paraId="0BEE4364" w14:textId="77777777" w:rsidR="00547CA2" w:rsidRDefault="00547CA2" w:rsidP="00463647">
      <w:pPr>
        <w:pStyle w:val="EndnoteText"/>
        <w:widowControl w:val="0"/>
        <w:tabs>
          <w:tab w:val="clear" w:pos="567"/>
        </w:tabs>
        <w:rPr>
          <w:color w:val="000000"/>
          <w:szCs w:val="22"/>
          <w:lang w:val="sv-SE"/>
        </w:rPr>
      </w:pPr>
    </w:p>
    <w:p w14:paraId="4E9C1C28" w14:textId="77777777" w:rsidR="00547CA2" w:rsidRPr="00134EC1" w:rsidRDefault="00547CA2" w:rsidP="00463647">
      <w:pPr>
        <w:pStyle w:val="EndnoteText"/>
        <w:widowControl w:val="0"/>
        <w:tabs>
          <w:tab w:val="clear" w:pos="567"/>
        </w:tabs>
        <w:rPr>
          <w:color w:val="000000"/>
          <w:szCs w:val="22"/>
          <w:lang w:val="sv-SE"/>
        </w:rPr>
      </w:pPr>
      <w:r>
        <w:rPr>
          <w:color w:val="000000"/>
          <w:szCs w:val="22"/>
          <w:lang w:val="sv-SE"/>
        </w:rPr>
        <w:t>Det finns inga kontrollerade studier hos barnpatienter med HES/CEL. Tre (3) patienter med HES/CEL associerat med rearrangemang av PDGFR-genen har rapporterats i 3 publikationer. Åldern på dessa patienter sträckte sig från 2 till 16 år och imatinib gavs i en dos om 300 mg/m</w:t>
      </w:r>
      <w:r w:rsidRPr="00452EF8">
        <w:rPr>
          <w:color w:val="000000"/>
          <w:szCs w:val="22"/>
          <w:vertAlign w:val="superscript"/>
          <w:lang w:val="sv-SE"/>
        </w:rPr>
        <w:t>2</w:t>
      </w:r>
      <w:r>
        <w:rPr>
          <w:color w:val="000000"/>
          <w:szCs w:val="22"/>
          <w:lang w:val="sv-SE"/>
        </w:rPr>
        <w:t xml:space="preserve"> dagligen och doser från 200 till 400 mg dagligen. Alla patienter uppnådde fullständigt hematologiskt svar, fullständigt </w:t>
      </w:r>
      <w:r>
        <w:rPr>
          <w:color w:val="000000"/>
          <w:szCs w:val="22"/>
          <w:lang w:val="sv-SE"/>
        </w:rPr>
        <w:lastRenderedPageBreak/>
        <w:t>cytogenetiskt svar och/eller fullständigt molekylärt svar.</w:t>
      </w:r>
    </w:p>
    <w:p w14:paraId="55F119A6" w14:textId="77777777" w:rsidR="00547CA2" w:rsidRPr="000E7AE9" w:rsidRDefault="00547CA2" w:rsidP="00463647">
      <w:pPr>
        <w:pStyle w:val="EndnoteText"/>
        <w:widowControl w:val="0"/>
        <w:tabs>
          <w:tab w:val="clear" w:pos="567"/>
        </w:tabs>
        <w:rPr>
          <w:color w:val="000000"/>
          <w:szCs w:val="22"/>
          <w:lang w:val="sv-SE"/>
        </w:rPr>
      </w:pPr>
    </w:p>
    <w:p w14:paraId="1D71DD75" w14:textId="77777777" w:rsidR="00547CA2" w:rsidRPr="000E7AE9" w:rsidRDefault="00547CA2" w:rsidP="00463647">
      <w:pPr>
        <w:pStyle w:val="EndnoteText"/>
        <w:keepNext/>
        <w:widowControl w:val="0"/>
        <w:tabs>
          <w:tab w:val="clear" w:pos="567"/>
        </w:tabs>
        <w:rPr>
          <w:color w:val="000000"/>
          <w:szCs w:val="22"/>
          <w:u w:val="single"/>
          <w:lang w:val="sv-SE"/>
        </w:rPr>
      </w:pPr>
      <w:r w:rsidRPr="000E7AE9">
        <w:rPr>
          <w:color w:val="000000"/>
          <w:szCs w:val="22"/>
          <w:u w:val="single"/>
          <w:lang w:val="sv-SE"/>
        </w:rPr>
        <w:t xml:space="preserve">Kliniska studier vid </w:t>
      </w:r>
      <w:r>
        <w:rPr>
          <w:color w:val="000000"/>
          <w:szCs w:val="22"/>
          <w:u w:val="single"/>
          <w:lang w:val="sv-SE"/>
        </w:rPr>
        <w:t xml:space="preserve">icke-resercerbar och/eller metastaserande </w:t>
      </w:r>
      <w:r w:rsidRPr="000E7AE9">
        <w:rPr>
          <w:color w:val="000000"/>
          <w:szCs w:val="22"/>
          <w:u w:val="single"/>
          <w:lang w:val="sv-SE"/>
        </w:rPr>
        <w:t>GIST</w:t>
      </w:r>
    </w:p>
    <w:p w14:paraId="3449976A"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En fas-2, öppen, randomiserad, okontrollerad, multinationell studie genomfördes på patienter med icke-resecerbara eller metastaserande, maligna gastrointestinala stromacellstumörer (GIST). I denna studie rekryterades och randomiserades 147 patienter att erhålla endera 400 mg eller 600 mg Glivec en gång dagligen oralt i upp till 36 månader. Dessa patienter varierade i ålder mellan 18 och 83 år och hade en patologisk diagnos av Kit-positiv, malign GIST som var icke-resecerbar och/eller metastaserande. Immunohistokemi utfördes rutinmässigt med Kit-antikropp (A-4502, polyklonalt kaninantiserum, 1:100; DAKO Corporation, Carpinteria, CA) i enlighet med analys med en avidin-biotin-peroxidas-komplexmetod efter antigenåtervinning.</w:t>
      </w:r>
    </w:p>
    <w:p w14:paraId="0642830C" w14:textId="77777777" w:rsidR="00547CA2" w:rsidRPr="000E7AE9" w:rsidRDefault="00547CA2" w:rsidP="00463647">
      <w:pPr>
        <w:pStyle w:val="EndnoteText"/>
        <w:widowControl w:val="0"/>
        <w:tabs>
          <w:tab w:val="clear" w:pos="567"/>
        </w:tabs>
        <w:rPr>
          <w:color w:val="000000"/>
          <w:szCs w:val="22"/>
          <w:lang w:val="sv-SE"/>
        </w:rPr>
      </w:pPr>
    </w:p>
    <w:p w14:paraId="40AA060D"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Det primära beviset på effektivitet baserades på objektiva svar. Det krävdes att tumörerna var mätbara vid åtminstone ett sjukdomsställe och svarskarakteriseringen baserades på kriterier från Southwestern Oncology Group (SWOG). Resultaten anges i Tabell </w:t>
      </w:r>
      <w:r w:rsidR="00BA7C65">
        <w:rPr>
          <w:color w:val="000000"/>
          <w:szCs w:val="22"/>
          <w:lang w:val="sv-SE"/>
        </w:rPr>
        <w:t>6</w:t>
      </w:r>
      <w:r w:rsidRPr="000E7AE9">
        <w:rPr>
          <w:color w:val="000000"/>
          <w:szCs w:val="22"/>
          <w:lang w:val="sv-SE"/>
        </w:rPr>
        <w:t>.</w:t>
      </w:r>
    </w:p>
    <w:p w14:paraId="55B6FE62" w14:textId="77777777" w:rsidR="00547CA2" w:rsidRPr="000E7AE9" w:rsidRDefault="00547CA2" w:rsidP="00463647">
      <w:pPr>
        <w:pStyle w:val="EndnoteText"/>
        <w:widowControl w:val="0"/>
        <w:tabs>
          <w:tab w:val="clear" w:pos="567"/>
        </w:tabs>
        <w:rPr>
          <w:color w:val="000000"/>
          <w:szCs w:val="22"/>
          <w:lang w:val="sv-SE"/>
        </w:rPr>
      </w:pPr>
    </w:p>
    <w:p w14:paraId="6849D163" w14:textId="77777777" w:rsidR="00547CA2" w:rsidRPr="000E7AE9" w:rsidRDefault="00547CA2" w:rsidP="00463647">
      <w:pPr>
        <w:pStyle w:val="EndnoteText"/>
        <w:keepNext/>
        <w:keepLines/>
        <w:widowControl w:val="0"/>
        <w:tabs>
          <w:tab w:val="clear" w:pos="567"/>
          <w:tab w:val="left" w:pos="1134"/>
        </w:tabs>
        <w:rPr>
          <w:b/>
          <w:color w:val="000000"/>
          <w:szCs w:val="22"/>
          <w:lang w:val="sv-SE"/>
        </w:rPr>
      </w:pPr>
      <w:r w:rsidRPr="000E7AE9">
        <w:rPr>
          <w:b/>
          <w:color w:val="000000"/>
          <w:szCs w:val="22"/>
          <w:lang w:val="sv-SE"/>
        </w:rPr>
        <w:t>Tabell </w:t>
      </w:r>
      <w:r w:rsidR="00BA7C65">
        <w:rPr>
          <w:b/>
          <w:color w:val="000000"/>
          <w:szCs w:val="22"/>
          <w:lang w:val="sv-SE"/>
        </w:rPr>
        <w:t>6</w:t>
      </w:r>
      <w:r w:rsidRPr="000E7AE9">
        <w:rPr>
          <w:b/>
          <w:color w:val="000000"/>
          <w:szCs w:val="22"/>
          <w:lang w:val="sv-SE"/>
        </w:rPr>
        <w:tab/>
        <w:t>Bästa tumörsvaren i studie STIB2222 (GIST)</w:t>
      </w:r>
    </w:p>
    <w:p w14:paraId="72F2B05B" w14:textId="77777777" w:rsidR="00547CA2" w:rsidRPr="000E7AE9" w:rsidRDefault="00547CA2" w:rsidP="00463647">
      <w:pPr>
        <w:pStyle w:val="EndnoteText"/>
        <w:keepNext/>
        <w:keepLines/>
        <w:widowControl w:val="0"/>
        <w:tabs>
          <w:tab w:val="clear" w:pos="567"/>
        </w:tabs>
        <w:rPr>
          <w:color w:val="000000"/>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547CA2" w:rsidRPr="000E7AE9" w14:paraId="6B305A44" w14:textId="77777777" w:rsidTr="0040304A">
        <w:trPr>
          <w:cantSplit/>
        </w:trPr>
        <w:tc>
          <w:tcPr>
            <w:tcW w:w="4643" w:type="dxa"/>
            <w:tcBorders>
              <w:left w:val="nil"/>
              <w:bottom w:val="single" w:sz="4" w:space="0" w:color="auto"/>
              <w:right w:val="nil"/>
            </w:tcBorders>
          </w:tcPr>
          <w:p w14:paraId="63649AC0" w14:textId="77777777" w:rsidR="00547CA2" w:rsidRPr="000E7AE9" w:rsidRDefault="00547CA2" w:rsidP="00463647">
            <w:pPr>
              <w:pStyle w:val="EndnoteText"/>
              <w:keepNext/>
              <w:keepLines/>
              <w:widowControl w:val="0"/>
              <w:tabs>
                <w:tab w:val="clear" w:pos="567"/>
              </w:tabs>
              <w:rPr>
                <w:color w:val="000000"/>
                <w:szCs w:val="22"/>
                <w:lang w:val="sv-SE"/>
              </w:rPr>
            </w:pPr>
          </w:p>
          <w:p w14:paraId="2591B628" w14:textId="77777777" w:rsidR="00547CA2" w:rsidRPr="000E7AE9" w:rsidRDefault="00547CA2" w:rsidP="00463647">
            <w:pPr>
              <w:pStyle w:val="EndnoteText"/>
              <w:keepNext/>
              <w:keepLines/>
              <w:widowControl w:val="0"/>
              <w:tabs>
                <w:tab w:val="clear" w:pos="567"/>
              </w:tabs>
              <w:rPr>
                <w:color w:val="000000"/>
                <w:szCs w:val="22"/>
                <w:lang w:val="sv-SE"/>
              </w:rPr>
            </w:pPr>
          </w:p>
          <w:p w14:paraId="6205E06A" w14:textId="77777777" w:rsidR="00547CA2" w:rsidRPr="000E7AE9" w:rsidRDefault="00547CA2" w:rsidP="00463647">
            <w:pPr>
              <w:pStyle w:val="EndnoteText"/>
              <w:keepNext/>
              <w:keepLines/>
              <w:widowControl w:val="0"/>
              <w:tabs>
                <w:tab w:val="clear" w:pos="567"/>
              </w:tabs>
              <w:rPr>
                <w:color w:val="000000"/>
                <w:szCs w:val="22"/>
                <w:lang w:val="sv-SE"/>
              </w:rPr>
            </w:pPr>
          </w:p>
          <w:p w14:paraId="167F3214"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Bästa svar</w:t>
            </w:r>
          </w:p>
        </w:tc>
        <w:tc>
          <w:tcPr>
            <w:tcW w:w="4643" w:type="dxa"/>
            <w:tcBorders>
              <w:left w:val="nil"/>
              <w:bottom w:val="single" w:sz="4" w:space="0" w:color="auto"/>
              <w:right w:val="nil"/>
            </w:tcBorders>
          </w:tcPr>
          <w:p w14:paraId="28B0EE80"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Alla doser (n=147)</w:t>
            </w:r>
          </w:p>
          <w:p w14:paraId="26BA780C"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400 mg (n=73)</w:t>
            </w:r>
          </w:p>
          <w:p w14:paraId="5A9C2C24"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600 mg (n=74)</w:t>
            </w:r>
          </w:p>
          <w:p w14:paraId="34563B5E"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n (%)</w:t>
            </w:r>
          </w:p>
        </w:tc>
      </w:tr>
      <w:tr w:rsidR="00547CA2" w:rsidRPr="000E7AE9" w14:paraId="0F16E1A4" w14:textId="77777777" w:rsidTr="0040304A">
        <w:trPr>
          <w:cantSplit/>
        </w:trPr>
        <w:tc>
          <w:tcPr>
            <w:tcW w:w="4643" w:type="dxa"/>
            <w:tcBorders>
              <w:top w:val="nil"/>
              <w:left w:val="nil"/>
              <w:bottom w:val="nil"/>
              <w:right w:val="nil"/>
            </w:tcBorders>
          </w:tcPr>
          <w:p w14:paraId="3903C9BB"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Fullständigt svar</w:t>
            </w:r>
          </w:p>
        </w:tc>
        <w:tc>
          <w:tcPr>
            <w:tcW w:w="4643" w:type="dxa"/>
            <w:tcBorders>
              <w:top w:val="nil"/>
              <w:left w:val="nil"/>
              <w:bottom w:val="nil"/>
              <w:right w:val="nil"/>
            </w:tcBorders>
          </w:tcPr>
          <w:p w14:paraId="615EDB7B"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1 (0,7)</w:t>
            </w:r>
          </w:p>
        </w:tc>
      </w:tr>
      <w:tr w:rsidR="00547CA2" w:rsidRPr="000E7AE9" w14:paraId="22B06C98" w14:textId="77777777" w:rsidTr="0040304A">
        <w:trPr>
          <w:cantSplit/>
        </w:trPr>
        <w:tc>
          <w:tcPr>
            <w:tcW w:w="4643" w:type="dxa"/>
            <w:tcBorders>
              <w:top w:val="nil"/>
              <w:left w:val="nil"/>
              <w:bottom w:val="nil"/>
              <w:right w:val="nil"/>
            </w:tcBorders>
          </w:tcPr>
          <w:p w14:paraId="7BDB0FE4"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Partiellt svar</w:t>
            </w:r>
          </w:p>
        </w:tc>
        <w:tc>
          <w:tcPr>
            <w:tcW w:w="4643" w:type="dxa"/>
            <w:tcBorders>
              <w:top w:val="nil"/>
              <w:left w:val="nil"/>
              <w:bottom w:val="nil"/>
              <w:right w:val="nil"/>
            </w:tcBorders>
          </w:tcPr>
          <w:p w14:paraId="1DFD8A54"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98 (66,7)</w:t>
            </w:r>
          </w:p>
        </w:tc>
      </w:tr>
      <w:tr w:rsidR="00547CA2" w:rsidRPr="000E7AE9" w14:paraId="5CBA492F" w14:textId="77777777" w:rsidTr="0040304A">
        <w:trPr>
          <w:cantSplit/>
        </w:trPr>
        <w:tc>
          <w:tcPr>
            <w:tcW w:w="4643" w:type="dxa"/>
            <w:tcBorders>
              <w:top w:val="nil"/>
              <w:left w:val="nil"/>
              <w:bottom w:val="nil"/>
              <w:right w:val="nil"/>
            </w:tcBorders>
          </w:tcPr>
          <w:p w14:paraId="6542BFE9"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Stabil sjukdom</w:t>
            </w:r>
          </w:p>
        </w:tc>
        <w:tc>
          <w:tcPr>
            <w:tcW w:w="4643" w:type="dxa"/>
            <w:tcBorders>
              <w:top w:val="nil"/>
              <w:left w:val="nil"/>
              <w:bottom w:val="nil"/>
              <w:right w:val="nil"/>
            </w:tcBorders>
          </w:tcPr>
          <w:p w14:paraId="4CC92C6E"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23 (15,6)</w:t>
            </w:r>
          </w:p>
        </w:tc>
      </w:tr>
      <w:tr w:rsidR="00547CA2" w:rsidRPr="000E7AE9" w14:paraId="4267F570" w14:textId="77777777" w:rsidTr="0040304A">
        <w:trPr>
          <w:cantSplit/>
        </w:trPr>
        <w:tc>
          <w:tcPr>
            <w:tcW w:w="4643" w:type="dxa"/>
            <w:tcBorders>
              <w:top w:val="nil"/>
              <w:left w:val="nil"/>
              <w:bottom w:val="nil"/>
              <w:right w:val="nil"/>
            </w:tcBorders>
          </w:tcPr>
          <w:p w14:paraId="71966604"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Progressiv sjukdom</w:t>
            </w:r>
          </w:p>
        </w:tc>
        <w:tc>
          <w:tcPr>
            <w:tcW w:w="4643" w:type="dxa"/>
            <w:tcBorders>
              <w:top w:val="nil"/>
              <w:left w:val="nil"/>
              <w:bottom w:val="nil"/>
              <w:right w:val="nil"/>
            </w:tcBorders>
          </w:tcPr>
          <w:p w14:paraId="31D48E68"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18 (12,2)</w:t>
            </w:r>
          </w:p>
        </w:tc>
      </w:tr>
      <w:tr w:rsidR="00547CA2" w:rsidRPr="000E7AE9" w14:paraId="3442E3E9" w14:textId="77777777" w:rsidTr="0040304A">
        <w:trPr>
          <w:cantSplit/>
        </w:trPr>
        <w:tc>
          <w:tcPr>
            <w:tcW w:w="4643" w:type="dxa"/>
            <w:tcBorders>
              <w:top w:val="nil"/>
              <w:left w:val="nil"/>
              <w:bottom w:val="nil"/>
              <w:right w:val="nil"/>
            </w:tcBorders>
          </w:tcPr>
          <w:p w14:paraId="293F925F"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Inte mätbart</w:t>
            </w:r>
          </w:p>
        </w:tc>
        <w:tc>
          <w:tcPr>
            <w:tcW w:w="4643" w:type="dxa"/>
            <w:tcBorders>
              <w:top w:val="nil"/>
              <w:left w:val="nil"/>
              <w:bottom w:val="nil"/>
              <w:right w:val="nil"/>
            </w:tcBorders>
          </w:tcPr>
          <w:p w14:paraId="06DF0156"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5 (3,4)</w:t>
            </w:r>
          </w:p>
        </w:tc>
      </w:tr>
      <w:tr w:rsidR="00547CA2" w:rsidRPr="000E7AE9" w14:paraId="72A5A368" w14:textId="77777777" w:rsidTr="0040304A">
        <w:trPr>
          <w:cantSplit/>
        </w:trPr>
        <w:tc>
          <w:tcPr>
            <w:tcW w:w="4643" w:type="dxa"/>
            <w:tcBorders>
              <w:top w:val="nil"/>
              <w:left w:val="nil"/>
              <w:right w:val="nil"/>
            </w:tcBorders>
          </w:tcPr>
          <w:p w14:paraId="052E26CF" w14:textId="77777777" w:rsidR="00547CA2" w:rsidRPr="000E7AE9" w:rsidRDefault="00547CA2" w:rsidP="00463647">
            <w:pPr>
              <w:pStyle w:val="EndnoteText"/>
              <w:keepNext/>
              <w:keepLines/>
              <w:widowControl w:val="0"/>
              <w:tabs>
                <w:tab w:val="clear" w:pos="567"/>
              </w:tabs>
              <w:rPr>
                <w:color w:val="000000"/>
                <w:szCs w:val="22"/>
                <w:lang w:val="sv-SE"/>
              </w:rPr>
            </w:pPr>
            <w:r w:rsidRPr="000E7AE9">
              <w:rPr>
                <w:color w:val="000000"/>
                <w:szCs w:val="22"/>
                <w:lang w:val="sv-SE"/>
              </w:rPr>
              <w:t>Okänt</w:t>
            </w:r>
          </w:p>
        </w:tc>
        <w:tc>
          <w:tcPr>
            <w:tcW w:w="4643" w:type="dxa"/>
            <w:tcBorders>
              <w:top w:val="nil"/>
              <w:left w:val="nil"/>
              <w:right w:val="nil"/>
            </w:tcBorders>
          </w:tcPr>
          <w:p w14:paraId="56937969" w14:textId="77777777" w:rsidR="00547CA2" w:rsidRPr="000E7AE9" w:rsidRDefault="00547CA2" w:rsidP="00463647">
            <w:pPr>
              <w:pStyle w:val="EndnoteText"/>
              <w:keepNext/>
              <w:keepLines/>
              <w:widowControl w:val="0"/>
              <w:tabs>
                <w:tab w:val="clear" w:pos="567"/>
              </w:tabs>
              <w:jc w:val="center"/>
              <w:rPr>
                <w:color w:val="000000"/>
                <w:szCs w:val="22"/>
                <w:lang w:val="sv-SE"/>
              </w:rPr>
            </w:pPr>
            <w:r w:rsidRPr="000E7AE9">
              <w:rPr>
                <w:color w:val="000000"/>
                <w:szCs w:val="22"/>
                <w:lang w:val="sv-SE"/>
              </w:rPr>
              <w:t>2 (1,4)</w:t>
            </w:r>
          </w:p>
        </w:tc>
      </w:tr>
    </w:tbl>
    <w:p w14:paraId="577ACD0F" w14:textId="77777777" w:rsidR="00547CA2" w:rsidRPr="000E7AE9" w:rsidRDefault="00547CA2" w:rsidP="00463647">
      <w:pPr>
        <w:pStyle w:val="EndnoteText"/>
        <w:widowControl w:val="0"/>
        <w:tabs>
          <w:tab w:val="clear" w:pos="567"/>
        </w:tabs>
        <w:rPr>
          <w:color w:val="000000"/>
          <w:szCs w:val="22"/>
          <w:lang w:val="sv-SE"/>
        </w:rPr>
      </w:pPr>
    </w:p>
    <w:p w14:paraId="1D199118"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Det var ingen skillnad i svarsfrekvens mellan de båda dosgrupperna. Ett betydande antal patienter som hade en stabil sjukdom vid tiden för interimsanalysen uppnådde partiellt svar vid längre behandling (medianuppföljning 31 månader). Mediantiden till svar var 13 veckor (95</w:t>
      </w:r>
      <w:r>
        <w:rPr>
          <w:color w:val="000000"/>
          <w:szCs w:val="22"/>
          <w:lang w:val="sv-SE"/>
        </w:rPr>
        <w:t> </w:t>
      </w:r>
      <w:r w:rsidRPr="000E7AE9">
        <w:rPr>
          <w:color w:val="000000"/>
          <w:szCs w:val="22"/>
          <w:lang w:val="sv-SE"/>
        </w:rPr>
        <w:t xml:space="preserve">% </w:t>
      </w:r>
      <w:r>
        <w:rPr>
          <w:color w:val="000000"/>
          <w:szCs w:val="22"/>
          <w:lang w:val="sv-SE"/>
        </w:rPr>
        <w:t>KI</w:t>
      </w:r>
      <w:r w:rsidRPr="000E7AE9">
        <w:rPr>
          <w:color w:val="000000"/>
          <w:szCs w:val="22"/>
          <w:lang w:val="sv-SE"/>
        </w:rPr>
        <w:t xml:space="preserve"> 12–23). Mediantiden till behandlingssvikt hos de som svarat var 122 veckor (95</w:t>
      </w:r>
      <w:r>
        <w:rPr>
          <w:color w:val="000000"/>
          <w:szCs w:val="22"/>
          <w:lang w:val="sv-SE"/>
        </w:rPr>
        <w:t> </w:t>
      </w:r>
      <w:r w:rsidRPr="000E7AE9">
        <w:rPr>
          <w:color w:val="000000"/>
          <w:szCs w:val="22"/>
          <w:lang w:val="sv-SE"/>
        </w:rPr>
        <w:t xml:space="preserve">% </w:t>
      </w:r>
      <w:r>
        <w:rPr>
          <w:color w:val="000000"/>
          <w:szCs w:val="22"/>
          <w:lang w:val="sv-SE"/>
        </w:rPr>
        <w:t>KI</w:t>
      </w:r>
      <w:r w:rsidRPr="000E7AE9">
        <w:rPr>
          <w:color w:val="000000"/>
          <w:szCs w:val="22"/>
          <w:lang w:val="sv-SE"/>
        </w:rPr>
        <w:t xml:space="preserve"> 106–147), medan den för patientpopulationen i stort var 84 veckor (95</w:t>
      </w:r>
      <w:r>
        <w:rPr>
          <w:color w:val="000000"/>
          <w:szCs w:val="22"/>
          <w:lang w:val="sv-SE"/>
        </w:rPr>
        <w:t> </w:t>
      </w:r>
      <w:r w:rsidRPr="000E7AE9">
        <w:rPr>
          <w:color w:val="000000"/>
          <w:szCs w:val="22"/>
          <w:lang w:val="sv-SE"/>
        </w:rPr>
        <w:t xml:space="preserve">% </w:t>
      </w:r>
      <w:r>
        <w:rPr>
          <w:color w:val="000000"/>
          <w:szCs w:val="22"/>
          <w:lang w:val="sv-SE"/>
        </w:rPr>
        <w:t>KI</w:t>
      </w:r>
      <w:r w:rsidRPr="000E7AE9">
        <w:rPr>
          <w:color w:val="000000"/>
          <w:szCs w:val="22"/>
          <w:lang w:val="sv-SE"/>
        </w:rPr>
        <w:t xml:space="preserve"> 71–109). Medianöverlevnaden har inte nåtts. Uppskattad överlevnad efter 36 månaders uppföljning enligt Kaplan-Meier är 68</w:t>
      </w:r>
      <w:r>
        <w:rPr>
          <w:color w:val="000000"/>
          <w:szCs w:val="22"/>
          <w:lang w:val="sv-SE"/>
        </w:rPr>
        <w:t> </w:t>
      </w:r>
      <w:r w:rsidRPr="000E7AE9">
        <w:rPr>
          <w:color w:val="000000"/>
          <w:szCs w:val="22"/>
          <w:lang w:val="sv-SE"/>
        </w:rPr>
        <w:t>%.</w:t>
      </w:r>
    </w:p>
    <w:p w14:paraId="78DFF49F" w14:textId="77777777" w:rsidR="00547CA2" w:rsidRPr="000E7AE9" w:rsidRDefault="00547CA2" w:rsidP="00463647">
      <w:pPr>
        <w:pStyle w:val="EndnoteText"/>
        <w:widowControl w:val="0"/>
        <w:tabs>
          <w:tab w:val="clear" w:pos="567"/>
        </w:tabs>
        <w:rPr>
          <w:color w:val="000000"/>
          <w:szCs w:val="22"/>
          <w:lang w:val="sv-SE"/>
        </w:rPr>
      </w:pPr>
    </w:p>
    <w:p w14:paraId="42B86CBA"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I två kliniska prövningar (studie B2222 och intergruppstudien S0033) ökades den dagliga dosen av Glivec till 800 mg hos patienter som sviktade på de lägre dagliga doserna på 400 mg eller 600 mg. Den dagliga dosen ökades till 800 mg hos totalt 103 patienter; 6 patienter uppnådde partiellt svar och 21 stabiliserad sjukdom efter dosökning till en generell klinisk nytta på 26</w:t>
      </w:r>
      <w:r>
        <w:rPr>
          <w:color w:val="000000"/>
          <w:szCs w:val="22"/>
          <w:lang w:val="sv-SE"/>
        </w:rPr>
        <w:t> </w:t>
      </w:r>
      <w:r w:rsidRPr="000E7AE9">
        <w:rPr>
          <w:color w:val="000000"/>
          <w:szCs w:val="22"/>
          <w:lang w:val="sv-SE"/>
        </w:rPr>
        <w:t>%. Från de säkerhetsdata som finns tillgängliga verkade inte en ökad dos till 800 mg dagligen hos patienter som sviktade på lägre doser på 400 mg eller 600 mg dagligen påverka säkerhetsprofilen för Glivec.</w:t>
      </w:r>
    </w:p>
    <w:p w14:paraId="382FE3E0" w14:textId="77777777" w:rsidR="00547CA2" w:rsidRPr="000E7AE9" w:rsidRDefault="00547CA2" w:rsidP="00463647">
      <w:pPr>
        <w:pStyle w:val="EndnoteText"/>
        <w:widowControl w:val="0"/>
        <w:tabs>
          <w:tab w:val="clear" w:pos="567"/>
        </w:tabs>
        <w:rPr>
          <w:color w:val="000000"/>
          <w:szCs w:val="22"/>
          <w:lang w:val="sv-SE"/>
        </w:rPr>
      </w:pPr>
    </w:p>
    <w:p w14:paraId="2045ED15" w14:textId="77777777" w:rsidR="00547CA2" w:rsidRDefault="00547CA2" w:rsidP="00463647">
      <w:pPr>
        <w:pStyle w:val="Nottoc-headings"/>
        <w:keepLines w:val="0"/>
        <w:widowControl w:val="0"/>
        <w:spacing w:before="0" w:after="0"/>
        <w:rPr>
          <w:rFonts w:ascii="Times New Roman" w:eastAsia="MS Mincho" w:hAnsi="Times New Roman"/>
          <w:b w:val="0"/>
          <w:color w:val="000000"/>
          <w:sz w:val="22"/>
          <w:szCs w:val="22"/>
          <w:u w:val="single"/>
          <w:lang w:val="sv-SE" w:eastAsia="ja-JP"/>
        </w:rPr>
      </w:pPr>
      <w:r>
        <w:rPr>
          <w:rFonts w:ascii="Times New Roman" w:eastAsia="MS Mincho" w:hAnsi="Times New Roman"/>
          <w:b w:val="0"/>
          <w:color w:val="000000"/>
          <w:sz w:val="22"/>
          <w:szCs w:val="22"/>
          <w:u w:val="single"/>
          <w:lang w:val="sv-SE" w:eastAsia="ja-JP"/>
        </w:rPr>
        <w:t>Kliniska studier vid adjuvant GIST</w:t>
      </w:r>
    </w:p>
    <w:p w14:paraId="35A4F6E7" w14:textId="77777777" w:rsidR="00547CA2" w:rsidRDefault="00547CA2" w:rsidP="00463647">
      <w:pPr>
        <w:pStyle w:val="EndnoteText"/>
        <w:widowControl w:val="0"/>
        <w:tabs>
          <w:tab w:val="clear" w:pos="567"/>
        </w:tabs>
        <w:rPr>
          <w:rFonts w:eastAsia="MS Mincho"/>
          <w:lang w:val="sv-SE" w:eastAsia="ja-JP"/>
        </w:rPr>
      </w:pPr>
      <w:r>
        <w:rPr>
          <w:rFonts w:eastAsia="MS Mincho"/>
          <w:lang w:val="sv-SE" w:eastAsia="ja-JP"/>
        </w:rPr>
        <w:t>Glivec studerades som adjuvant terapi i en multicenter, dubbelblind, långtids, placebokontrollerad fas III studie (Z9001) omfattande 773</w:t>
      </w:r>
      <w:r w:rsidRPr="000E7AE9">
        <w:rPr>
          <w:color w:val="000000"/>
          <w:szCs w:val="22"/>
          <w:lang w:val="sv-SE"/>
        </w:rPr>
        <w:t> </w:t>
      </w:r>
      <w:r>
        <w:rPr>
          <w:rFonts w:eastAsia="MS Mincho"/>
          <w:lang w:val="sv-SE" w:eastAsia="ja-JP"/>
        </w:rPr>
        <w:t>patienter. Åldrarna hos dessa patienter sträckte sig från 18 till 91</w:t>
      </w:r>
      <w:r w:rsidRPr="000E7AE9">
        <w:rPr>
          <w:color w:val="000000"/>
          <w:szCs w:val="22"/>
          <w:lang w:val="sv-SE"/>
        </w:rPr>
        <w:t> </w:t>
      </w:r>
      <w:r>
        <w:rPr>
          <w:rFonts w:eastAsia="MS Mincho"/>
          <w:lang w:val="sv-SE" w:eastAsia="ja-JP"/>
        </w:rPr>
        <w:t>år. Patienter som hade en histologisk diagnos av primär GIST uttryckande Kit protein vid immunokemi och en tumörstorlek ≥</w:t>
      </w:r>
      <w:r w:rsidRPr="000E7AE9">
        <w:rPr>
          <w:color w:val="000000"/>
          <w:szCs w:val="22"/>
          <w:lang w:val="sv-SE"/>
        </w:rPr>
        <w:t> </w:t>
      </w:r>
      <w:r>
        <w:rPr>
          <w:rFonts w:eastAsia="MS Mincho"/>
          <w:lang w:val="sv-SE" w:eastAsia="ja-JP"/>
        </w:rPr>
        <w:t>3</w:t>
      </w:r>
      <w:r w:rsidRPr="000E7AE9">
        <w:rPr>
          <w:color w:val="000000"/>
          <w:szCs w:val="22"/>
          <w:lang w:val="sv-SE"/>
        </w:rPr>
        <w:t> </w:t>
      </w:r>
      <w:r>
        <w:rPr>
          <w:rFonts w:eastAsia="MS Mincho"/>
          <w:lang w:val="sv-SE" w:eastAsia="ja-JP"/>
        </w:rPr>
        <w:t>cm i maximal dimension, med radikal resektion av primär GIST inom 14</w:t>
      </w:r>
      <w:r>
        <w:rPr>
          <w:rFonts w:eastAsia="MS Mincho"/>
          <w:lang w:val="sv-SE" w:eastAsia="ja-JP"/>
        </w:rPr>
        <w:noBreakHyphen/>
        <w:t>70</w:t>
      </w:r>
      <w:r w:rsidRPr="000E7AE9">
        <w:rPr>
          <w:color w:val="000000"/>
          <w:szCs w:val="22"/>
          <w:lang w:val="sv-SE"/>
        </w:rPr>
        <w:t> </w:t>
      </w:r>
      <w:r>
        <w:rPr>
          <w:rFonts w:eastAsia="MS Mincho"/>
          <w:lang w:val="sv-SE" w:eastAsia="ja-JP"/>
        </w:rPr>
        <w:t>dagar före registrering</w:t>
      </w:r>
      <w:r w:rsidRPr="00C817BA">
        <w:rPr>
          <w:rFonts w:eastAsia="MS Mincho"/>
          <w:lang w:val="sv-SE" w:eastAsia="ja-JP"/>
        </w:rPr>
        <w:t xml:space="preserve"> </w:t>
      </w:r>
      <w:r>
        <w:rPr>
          <w:rFonts w:eastAsia="MS Mincho"/>
          <w:lang w:val="sv-SE" w:eastAsia="ja-JP"/>
        </w:rPr>
        <w:t>inkluderades. Efter resektion av primär GIST, randomiserades patienter till en av de två armarna: Glivec 400</w:t>
      </w:r>
      <w:r w:rsidRPr="000E7AE9">
        <w:rPr>
          <w:color w:val="000000"/>
          <w:szCs w:val="22"/>
          <w:lang w:val="sv-SE"/>
        </w:rPr>
        <w:t> </w:t>
      </w:r>
      <w:r>
        <w:rPr>
          <w:rFonts w:eastAsia="MS Mincho"/>
          <w:lang w:val="sv-SE" w:eastAsia="ja-JP"/>
        </w:rPr>
        <w:t>mg/dag eller motsvarande placebo under ett år.</w:t>
      </w:r>
    </w:p>
    <w:p w14:paraId="14A0BF35" w14:textId="77777777" w:rsidR="00547CA2" w:rsidRDefault="00547CA2" w:rsidP="00463647">
      <w:pPr>
        <w:pStyle w:val="EndnoteText"/>
        <w:widowControl w:val="0"/>
        <w:tabs>
          <w:tab w:val="clear" w:pos="567"/>
        </w:tabs>
        <w:rPr>
          <w:rFonts w:eastAsia="MS Mincho"/>
          <w:lang w:val="sv-SE" w:eastAsia="ja-JP"/>
        </w:rPr>
      </w:pPr>
    </w:p>
    <w:p w14:paraId="75D40C13" w14:textId="77777777" w:rsidR="00547CA2" w:rsidRDefault="00547CA2" w:rsidP="00463647">
      <w:pPr>
        <w:pStyle w:val="EndnoteText"/>
        <w:widowControl w:val="0"/>
        <w:tabs>
          <w:tab w:val="clear" w:pos="567"/>
        </w:tabs>
        <w:rPr>
          <w:rFonts w:eastAsia="MS Mincho"/>
          <w:lang w:val="sv-SE" w:eastAsia="ja-JP"/>
        </w:rPr>
      </w:pPr>
      <w:r w:rsidRPr="001D2B9C">
        <w:rPr>
          <w:rFonts w:eastAsia="MS Mincho"/>
          <w:lang w:val="sv-SE" w:eastAsia="ja-JP"/>
        </w:rPr>
        <w:t xml:space="preserve">Studiens primära endpoint var återfallsfri överlevnad </w:t>
      </w:r>
      <w:r w:rsidRPr="00C817BA">
        <w:rPr>
          <w:rFonts w:eastAsia="MS Mincho"/>
          <w:lang w:val="sv-SE" w:eastAsia="ja-JP"/>
        </w:rPr>
        <w:t>(RFS),</w:t>
      </w:r>
      <w:r w:rsidRPr="001D2B9C">
        <w:rPr>
          <w:rFonts w:eastAsia="MS Mincho"/>
          <w:lang w:val="sv-SE" w:eastAsia="ja-JP"/>
        </w:rPr>
        <w:t xml:space="preserve"> definierad som tiden från randomiseringsdagen till da</w:t>
      </w:r>
      <w:r>
        <w:rPr>
          <w:rFonts w:eastAsia="MS Mincho"/>
          <w:lang w:val="sv-SE" w:eastAsia="ja-JP"/>
        </w:rPr>
        <w:t>gen</w:t>
      </w:r>
      <w:r w:rsidRPr="001D2B9C">
        <w:rPr>
          <w:rFonts w:eastAsia="MS Mincho"/>
          <w:lang w:val="sv-SE" w:eastAsia="ja-JP"/>
        </w:rPr>
        <w:t xml:space="preserve"> för återfall eller </w:t>
      </w:r>
      <w:r w:rsidRPr="00C817BA">
        <w:rPr>
          <w:rFonts w:eastAsia="MS Mincho"/>
          <w:lang w:val="sv-SE" w:eastAsia="ja-JP"/>
        </w:rPr>
        <w:t xml:space="preserve">död </w:t>
      </w:r>
      <w:r>
        <w:rPr>
          <w:rFonts w:eastAsia="MS Mincho"/>
          <w:lang w:val="sv-SE" w:eastAsia="ja-JP"/>
        </w:rPr>
        <w:t>oavsett</w:t>
      </w:r>
      <w:r w:rsidRPr="00C817BA">
        <w:rPr>
          <w:rFonts w:eastAsia="MS Mincho"/>
          <w:lang w:val="sv-SE" w:eastAsia="ja-JP"/>
        </w:rPr>
        <w:t xml:space="preserve"> orsak.</w:t>
      </w:r>
    </w:p>
    <w:p w14:paraId="62E01B1A" w14:textId="77777777" w:rsidR="00547CA2" w:rsidRDefault="00547CA2" w:rsidP="00463647">
      <w:pPr>
        <w:pStyle w:val="EndnoteText"/>
        <w:widowControl w:val="0"/>
        <w:tabs>
          <w:tab w:val="clear" w:pos="567"/>
        </w:tabs>
        <w:rPr>
          <w:rFonts w:eastAsia="MS Mincho"/>
          <w:lang w:val="sv-SE" w:eastAsia="ja-JP"/>
        </w:rPr>
      </w:pPr>
    </w:p>
    <w:p w14:paraId="4A7CAB5B" w14:textId="77777777" w:rsidR="00547CA2" w:rsidRDefault="00547CA2" w:rsidP="00463647">
      <w:pPr>
        <w:pStyle w:val="EndnoteText"/>
        <w:widowControl w:val="0"/>
        <w:tabs>
          <w:tab w:val="clear" w:pos="567"/>
        </w:tabs>
        <w:rPr>
          <w:rFonts w:eastAsia="MS Mincho"/>
          <w:lang w:val="sv-SE" w:eastAsia="ja-JP"/>
        </w:rPr>
      </w:pPr>
      <w:r>
        <w:rPr>
          <w:rFonts w:eastAsia="MS Mincho"/>
          <w:lang w:val="sv-SE" w:eastAsia="ja-JP"/>
        </w:rPr>
        <w:t>Glivec förlängde signifikant RFS, med 75 % av patienterna återfallsfria vid 38</w:t>
      </w:r>
      <w:r w:rsidRPr="000E7AE9">
        <w:rPr>
          <w:color w:val="000000"/>
          <w:szCs w:val="22"/>
          <w:lang w:val="sv-SE"/>
        </w:rPr>
        <w:t> </w:t>
      </w:r>
      <w:r>
        <w:rPr>
          <w:rFonts w:eastAsia="MS Mincho"/>
          <w:lang w:val="sv-SE" w:eastAsia="ja-JP"/>
        </w:rPr>
        <w:t>månader i Glivec-gruppen gentemot 20</w:t>
      </w:r>
      <w:r w:rsidRPr="000E7AE9">
        <w:rPr>
          <w:color w:val="000000"/>
          <w:szCs w:val="22"/>
          <w:lang w:val="sv-SE"/>
        </w:rPr>
        <w:t> </w:t>
      </w:r>
      <w:r>
        <w:rPr>
          <w:rFonts w:eastAsia="MS Mincho"/>
          <w:lang w:val="sv-SE" w:eastAsia="ja-JP"/>
        </w:rPr>
        <w:t>månader i placebogruppen (95 % KI, [30 - icke uppskattningsbart]; respective [14 - icke uppskattningsbart]; (hazard ratio = 0,398 [0,259</w:t>
      </w:r>
      <w:r>
        <w:rPr>
          <w:rFonts w:eastAsia="MS Mincho"/>
          <w:lang w:val="sv-SE" w:eastAsia="ja-JP"/>
        </w:rPr>
        <w:noBreakHyphen/>
        <w:t xml:space="preserve">0,610], p&lt;0,0001). Vid ett år var total RFS </w:t>
      </w:r>
      <w:r>
        <w:rPr>
          <w:rFonts w:eastAsia="MS Mincho"/>
          <w:lang w:val="sv-SE" w:eastAsia="ja-JP"/>
        </w:rPr>
        <w:lastRenderedPageBreak/>
        <w:t>signifikant bättre för Glivec (97,7 %) gentemot placebo (82,3 %), (p&lt;0,0001). Risken för återfall reducerades alltså med cirka 89 % jämfört med placebo (hazard ratio = 0,113 [0,049</w:t>
      </w:r>
      <w:r>
        <w:rPr>
          <w:rFonts w:eastAsia="MS Mincho"/>
          <w:lang w:val="sv-SE" w:eastAsia="ja-JP"/>
        </w:rPr>
        <w:noBreakHyphen/>
        <w:t>0,264].</w:t>
      </w:r>
    </w:p>
    <w:p w14:paraId="2BC6A604" w14:textId="77777777" w:rsidR="00547CA2" w:rsidRDefault="00547CA2" w:rsidP="00463647">
      <w:pPr>
        <w:pStyle w:val="EndnoteText"/>
        <w:widowControl w:val="0"/>
        <w:tabs>
          <w:tab w:val="clear" w:pos="567"/>
        </w:tabs>
        <w:rPr>
          <w:rFonts w:eastAsia="MS Mincho"/>
          <w:lang w:val="sv-SE" w:eastAsia="ja-JP"/>
        </w:rPr>
      </w:pPr>
    </w:p>
    <w:p w14:paraId="7EDBA6C4" w14:textId="77777777" w:rsidR="00547CA2" w:rsidRPr="008C2DDF" w:rsidRDefault="00547CA2" w:rsidP="00463647">
      <w:pPr>
        <w:pStyle w:val="EndnoteText"/>
        <w:widowControl w:val="0"/>
        <w:tabs>
          <w:tab w:val="clear" w:pos="567"/>
        </w:tabs>
        <w:rPr>
          <w:rFonts w:eastAsia="MS Mincho"/>
          <w:lang w:val="sv-SE" w:eastAsia="ja-JP"/>
        </w:rPr>
      </w:pPr>
      <w:r w:rsidRPr="008C2DDF">
        <w:rPr>
          <w:rFonts w:eastAsia="MS Mincho"/>
          <w:lang w:val="sv-SE" w:eastAsia="ja-JP"/>
        </w:rPr>
        <w:t>Risken för återfall hos patienter efter kirurgi av deras primära GIST bedömdes retrospektivt baserat på följande prognostiska faktorer: tumörstorlek, mitotiskt inde</w:t>
      </w:r>
      <w:r>
        <w:rPr>
          <w:rFonts w:eastAsia="MS Mincho"/>
          <w:lang w:val="sv-SE" w:eastAsia="ja-JP"/>
        </w:rPr>
        <w:t>x</w:t>
      </w:r>
      <w:r w:rsidRPr="008C2DDF">
        <w:rPr>
          <w:rFonts w:eastAsia="MS Mincho"/>
          <w:lang w:val="sv-SE" w:eastAsia="ja-JP"/>
        </w:rPr>
        <w:t>, tumörens plats. Data för mitotiskt index var tillgängliga för 556 av de 7</w:t>
      </w:r>
      <w:r>
        <w:rPr>
          <w:rFonts w:eastAsia="MS Mincho"/>
          <w:lang w:val="sv-SE" w:eastAsia="ja-JP"/>
        </w:rPr>
        <w:t>1</w:t>
      </w:r>
      <w:r w:rsidRPr="008C2DDF">
        <w:rPr>
          <w:rFonts w:eastAsia="MS Mincho"/>
          <w:lang w:val="sv-SE" w:eastAsia="ja-JP"/>
        </w:rPr>
        <w:t>3</w:t>
      </w:r>
      <w:r w:rsidRPr="008C2DDF">
        <w:rPr>
          <w:color w:val="000000"/>
          <w:szCs w:val="22"/>
          <w:lang w:val="sv-SE"/>
        </w:rPr>
        <w:t xml:space="preserve"> i </w:t>
      </w:r>
      <w:r w:rsidRPr="008C2DDF">
        <w:rPr>
          <w:rFonts w:eastAsia="MS Mincho"/>
          <w:lang w:val="sv-SE" w:eastAsia="ja-JP"/>
        </w:rPr>
        <w:t xml:space="preserve">intention-to-treat (ITT)-poulationen. Resultaten av subgruppsanalyser i enlighet med </w:t>
      </w:r>
      <w:r>
        <w:rPr>
          <w:rFonts w:eastAsia="MS Mincho"/>
          <w:lang w:val="sv-SE" w:eastAsia="ja-JP"/>
        </w:rPr>
        <w:t xml:space="preserve">riskklassificeringar enligt United States National Institutes of Health (NIH) och </w:t>
      </w:r>
      <w:r w:rsidRPr="008C2DDF">
        <w:rPr>
          <w:rFonts w:eastAsia="MS Mincho"/>
          <w:lang w:val="sv-SE" w:eastAsia="ja-JP"/>
        </w:rPr>
        <w:t>Armed Forces Institute of Pathology (AFIP)- visas i Tabell</w:t>
      </w:r>
      <w:r w:rsidRPr="008C2DDF">
        <w:rPr>
          <w:color w:val="000000"/>
          <w:szCs w:val="22"/>
          <w:lang w:val="sv-SE"/>
        </w:rPr>
        <w:t> </w:t>
      </w:r>
      <w:r w:rsidR="00BA7C65">
        <w:rPr>
          <w:rFonts w:eastAsia="MS Mincho"/>
          <w:lang w:val="sv-SE" w:eastAsia="ja-JP"/>
        </w:rPr>
        <w:t>7</w:t>
      </w:r>
      <w:r w:rsidRPr="008C2DDF">
        <w:rPr>
          <w:rFonts w:eastAsia="MS Mincho"/>
          <w:lang w:val="sv-SE" w:eastAsia="ja-JP"/>
        </w:rPr>
        <w:t>.</w:t>
      </w:r>
      <w:r>
        <w:rPr>
          <w:rFonts w:eastAsia="MS Mincho"/>
          <w:lang w:val="sv-SE" w:eastAsia="ja-JP"/>
        </w:rPr>
        <w:t xml:space="preserve"> Ingen fördel observerades i låg- och mycket lågrisk-grupperna. Ingen fördel beträffande total överlevnad har observerats.</w:t>
      </w:r>
    </w:p>
    <w:p w14:paraId="4B9999B3" w14:textId="77777777" w:rsidR="00547CA2" w:rsidRPr="008C2DDF" w:rsidRDefault="00547CA2" w:rsidP="00463647">
      <w:pPr>
        <w:pStyle w:val="EndnoteText"/>
        <w:widowControl w:val="0"/>
        <w:tabs>
          <w:tab w:val="clear" w:pos="567"/>
        </w:tabs>
        <w:rPr>
          <w:rFonts w:eastAsia="MS Mincho"/>
          <w:lang w:val="sv-SE" w:eastAsia="ja-JP"/>
        </w:rPr>
      </w:pPr>
    </w:p>
    <w:p w14:paraId="5EAA4277" w14:textId="7C19794B" w:rsidR="00547CA2" w:rsidRPr="00126508" w:rsidRDefault="00547CA2" w:rsidP="00463647">
      <w:pPr>
        <w:pStyle w:val="Heading6"/>
        <w:keepLines/>
        <w:widowControl w:val="0"/>
        <w:tabs>
          <w:tab w:val="clear" w:pos="567"/>
          <w:tab w:val="clear" w:pos="4536"/>
          <w:tab w:val="left" w:pos="1134"/>
        </w:tabs>
        <w:spacing w:line="240" w:lineRule="auto"/>
        <w:rPr>
          <w:rFonts w:eastAsia="MS Mincho"/>
          <w:b/>
          <w:i w:val="0"/>
          <w:color w:val="000000"/>
          <w:szCs w:val="22"/>
          <w:lang w:val="sv-SE" w:eastAsia="ja-JP"/>
        </w:rPr>
      </w:pPr>
      <w:r w:rsidRPr="00126508">
        <w:rPr>
          <w:rFonts w:eastAsia="MS Mincho"/>
          <w:b/>
          <w:i w:val="0"/>
          <w:color w:val="000000"/>
          <w:szCs w:val="22"/>
          <w:lang w:val="sv-SE" w:eastAsia="ja-JP"/>
        </w:rPr>
        <w:t>Tabell </w:t>
      </w:r>
      <w:r w:rsidR="00BA7C65">
        <w:rPr>
          <w:rFonts w:eastAsia="MS Mincho"/>
          <w:b/>
          <w:i w:val="0"/>
          <w:color w:val="000000"/>
          <w:szCs w:val="22"/>
          <w:lang w:val="sv-SE" w:eastAsia="ja-JP"/>
        </w:rPr>
        <w:t>7</w:t>
      </w:r>
      <w:r w:rsidRPr="00126508">
        <w:rPr>
          <w:rFonts w:eastAsia="MS Mincho"/>
          <w:b/>
          <w:i w:val="0"/>
          <w:color w:val="000000"/>
          <w:szCs w:val="22"/>
          <w:lang w:val="sv-SE" w:eastAsia="ja-JP"/>
        </w:rPr>
        <w:tab/>
        <w:t xml:space="preserve">Översikt av Z9001-studiens RFS analyser </w:t>
      </w:r>
      <w:r>
        <w:rPr>
          <w:rFonts w:eastAsia="MS Mincho"/>
          <w:b/>
          <w:i w:val="0"/>
          <w:color w:val="000000"/>
          <w:szCs w:val="22"/>
          <w:lang w:val="sv-SE" w:eastAsia="ja-JP"/>
        </w:rPr>
        <w:t>enligt</w:t>
      </w:r>
      <w:r w:rsidRPr="00126508">
        <w:rPr>
          <w:rFonts w:eastAsia="MS Mincho"/>
          <w:b/>
          <w:i w:val="0"/>
          <w:color w:val="000000"/>
          <w:szCs w:val="22"/>
          <w:lang w:val="sv-SE" w:eastAsia="ja-JP"/>
        </w:rPr>
        <w:t xml:space="preserve"> NIH och AFIP risk</w:t>
      </w:r>
      <w:r>
        <w:rPr>
          <w:rFonts w:eastAsia="MS Mincho"/>
          <w:b/>
          <w:i w:val="0"/>
          <w:color w:val="000000"/>
          <w:szCs w:val="22"/>
          <w:lang w:val="sv-SE" w:eastAsia="ja-JP"/>
        </w:rPr>
        <w:t>k</w:t>
      </w:r>
      <w:r w:rsidRPr="00126508">
        <w:rPr>
          <w:rFonts w:eastAsia="MS Mincho"/>
          <w:b/>
          <w:i w:val="0"/>
          <w:color w:val="000000"/>
          <w:szCs w:val="22"/>
          <w:lang w:val="sv-SE" w:eastAsia="ja-JP"/>
        </w:rPr>
        <w:t>lassific</w:t>
      </w:r>
      <w:r>
        <w:rPr>
          <w:rFonts w:eastAsia="MS Mincho"/>
          <w:b/>
          <w:i w:val="0"/>
          <w:color w:val="000000"/>
          <w:szCs w:val="22"/>
          <w:lang w:val="sv-SE" w:eastAsia="ja-JP"/>
        </w:rPr>
        <w:t>ering</w:t>
      </w:r>
    </w:p>
    <w:p w14:paraId="44C4B249" w14:textId="77777777" w:rsidR="00547CA2" w:rsidRPr="00126508" w:rsidRDefault="00547CA2" w:rsidP="00463647">
      <w:pPr>
        <w:keepNext/>
        <w:keepLines/>
        <w:widowControl w:val="0"/>
        <w:spacing w:line="240" w:lineRule="auto"/>
        <w:rPr>
          <w:rFonts w:eastAsia="MS Mincho"/>
          <w:lang w:val="sv-SE"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2"/>
        <w:gridCol w:w="1302"/>
        <w:gridCol w:w="1078"/>
        <w:gridCol w:w="2008"/>
        <w:gridCol w:w="1800"/>
        <w:gridCol w:w="1440"/>
        <w:gridCol w:w="1360"/>
      </w:tblGrid>
      <w:tr w:rsidR="00547CA2" w:rsidRPr="00126508" w14:paraId="29725D2E" w14:textId="77777777" w:rsidTr="0040304A">
        <w:trPr>
          <w:cantSplit/>
        </w:trPr>
        <w:tc>
          <w:tcPr>
            <w:tcW w:w="1032" w:type="dxa"/>
            <w:vMerge w:val="restart"/>
          </w:tcPr>
          <w:p w14:paraId="48F8794E" w14:textId="77777777" w:rsidR="00547CA2" w:rsidRPr="00C67B16" w:rsidRDefault="00547CA2"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Risk-kriterier</w:t>
            </w:r>
          </w:p>
        </w:tc>
        <w:tc>
          <w:tcPr>
            <w:tcW w:w="1302" w:type="dxa"/>
            <w:vMerge w:val="restart"/>
            <w:tcBorders>
              <w:right w:val="single" w:sz="4" w:space="0" w:color="auto"/>
            </w:tcBorders>
          </w:tcPr>
          <w:p w14:paraId="7F52768E" w14:textId="77777777" w:rsidR="00547CA2" w:rsidRPr="00C67B16" w:rsidRDefault="00547CA2" w:rsidP="00463647">
            <w:pPr>
              <w:pStyle w:val="Table"/>
              <w:widowControl w:val="0"/>
              <w:spacing w:before="0" w:after="0"/>
              <w:rPr>
                <w:rFonts w:ascii="Times New Roman" w:hAnsi="Times New Roman"/>
                <w:b/>
                <w:sz w:val="22"/>
                <w:szCs w:val="22"/>
              </w:rPr>
            </w:pPr>
            <w:r w:rsidRPr="00C67B16">
              <w:rPr>
                <w:rFonts w:ascii="Times New Roman" w:hAnsi="Times New Roman"/>
                <w:b/>
                <w:sz w:val="22"/>
                <w:szCs w:val="22"/>
              </w:rPr>
              <w:t>Risknivå</w:t>
            </w:r>
          </w:p>
          <w:p w14:paraId="199B21E5" w14:textId="77777777" w:rsidR="00547CA2" w:rsidRPr="00C67B16" w:rsidRDefault="00547CA2" w:rsidP="00463647">
            <w:pPr>
              <w:pStyle w:val="Table"/>
              <w:widowControl w:val="0"/>
              <w:spacing w:before="0" w:after="0"/>
              <w:rPr>
                <w:rFonts w:ascii="Times New Roman" w:hAnsi="Times New Roman"/>
                <w:b/>
                <w:sz w:val="22"/>
                <w:szCs w:val="22"/>
              </w:rPr>
            </w:pPr>
          </w:p>
        </w:tc>
        <w:tc>
          <w:tcPr>
            <w:tcW w:w="1078" w:type="dxa"/>
            <w:vMerge w:val="restart"/>
            <w:tcBorders>
              <w:left w:val="single" w:sz="4" w:space="0" w:color="auto"/>
              <w:right w:val="single" w:sz="4" w:space="0" w:color="auto"/>
            </w:tcBorders>
          </w:tcPr>
          <w:p w14:paraId="6F700EDA" w14:textId="77777777" w:rsidR="00547CA2" w:rsidRPr="00C67B16" w:rsidRDefault="00547CA2"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 av patienter</w:t>
            </w:r>
          </w:p>
        </w:tc>
        <w:tc>
          <w:tcPr>
            <w:tcW w:w="2008" w:type="dxa"/>
            <w:vMerge w:val="restart"/>
            <w:tcBorders>
              <w:left w:val="single" w:sz="4" w:space="0" w:color="auto"/>
              <w:right w:val="single" w:sz="4" w:space="0" w:color="auto"/>
            </w:tcBorders>
          </w:tcPr>
          <w:p w14:paraId="38F6B808" w14:textId="77777777" w:rsidR="00547CA2" w:rsidRPr="00C67B16" w:rsidRDefault="00547CA2" w:rsidP="00463647">
            <w:pPr>
              <w:pStyle w:val="Table"/>
              <w:widowControl w:val="0"/>
              <w:spacing w:before="0" w:after="0"/>
              <w:jc w:val="center"/>
              <w:rPr>
                <w:rFonts w:ascii="Times New Roman" w:hAnsi="Times New Roman"/>
                <w:b/>
                <w:sz w:val="22"/>
                <w:szCs w:val="22"/>
                <w:lang w:val="sv-SE"/>
              </w:rPr>
            </w:pPr>
            <w:r w:rsidRPr="00C67B16">
              <w:rPr>
                <w:rFonts w:ascii="Times New Roman" w:hAnsi="Times New Roman"/>
                <w:b/>
                <w:sz w:val="22"/>
                <w:szCs w:val="22"/>
                <w:lang w:val="sv-SE"/>
              </w:rPr>
              <w:t>Antal händelser/</w:t>
            </w:r>
            <w:r w:rsidRPr="00C67B16">
              <w:rPr>
                <w:rFonts w:ascii="Times New Roman" w:hAnsi="Times New Roman"/>
                <w:b/>
                <w:sz w:val="22"/>
                <w:szCs w:val="22"/>
                <w:lang w:val="sv-SE"/>
              </w:rPr>
              <w:br/>
              <w:t>Antal patienter</w:t>
            </w:r>
          </w:p>
        </w:tc>
        <w:tc>
          <w:tcPr>
            <w:tcW w:w="1800" w:type="dxa"/>
            <w:vMerge w:val="restart"/>
            <w:tcBorders>
              <w:left w:val="single" w:sz="4" w:space="0" w:color="auto"/>
              <w:right w:val="single" w:sz="4" w:space="0" w:color="auto"/>
            </w:tcBorders>
          </w:tcPr>
          <w:p w14:paraId="6BFEE80A" w14:textId="77777777" w:rsidR="00547CA2" w:rsidRPr="00C67B16" w:rsidRDefault="00547CA2"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Total hazard ratio (95</w:t>
            </w:r>
            <w:r>
              <w:rPr>
                <w:rFonts w:ascii="Times New Roman" w:hAnsi="Times New Roman"/>
                <w:b/>
                <w:sz w:val="22"/>
                <w:szCs w:val="22"/>
              </w:rPr>
              <w:t> </w:t>
            </w:r>
            <w:r w:rsidRPr="00C67B16">
              <w:rPr>
                <w:rFonts w:ascii="Times New Roman" w:hAnsi="Times New Roman"/>
                <w:b/>
                <w:sz w:val="22"/>
                <w:szCs w:val="22"/>
              </w:rPr>
              <w:t>%</w:t>
            </w:r>
            <w:r>
              <w:rPr>
                <w:rFonts w:ascii="Times New Roman" w:hAnsi="Times New Roman"/>
                <w:b/>
                <w:sz w:val="22"/>
                <w:szCs w:val="22"/>
              </w:rPr>
              <w:t>K</w:t>
            </w:r>
            <w:r w:rsidRPr="00C67B16">
              <w:rPr>
                <w:rFonts w:ascii="Times New Roman" w:hAnsi="Times New Roman"/>
                <w:b/>
                <w:sz w:val="22"/>
                <w:szCs w:val="22"/>
              </w:rPr>
              <w:t>I)*</w:t>
            </w:r>
          </w:p>
        </w:tc>
        <w:tc>
          <w:tcPr>
            <w:tcW w:w="2800" w:type="dxa"/>
            <w:gridSpan w:val="2"/>
            <w:tcBorders>
              <w:left w:val="single" w:sz="4" w:space="0" w:color="auto"/>
            </w:tcBorders>
          </w:tcPr>
          <w:p w14:paraId="2D18BF5F" w14:textId="77777777" w:rsidR="00547CA2" w:rsidRPr="00C67B16" w:rsidRDefault="00547CA2"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RFS-tal (%)</w:t>
            </w:r>
          </w:p>
        </w:tc>
      </w:tr>
      <w:tr w:rsidR="00547CA2" w:rsidRPr="00126508" w14:paraId="6691D23E" w14:textId="77777777" w:rsidTr="0040304A">
        <w:trPr>
          <w:cantSplit/>
        </w:trPr>
        <w:tc>
          <w:tcPr>
            <w:tcW w:w="1032" w:type="dxa"/>
            <w:vMerge/>
          </w:tcPr>
          <w:p w14:paraId="236D73FF" w14:textId="77777777" w:rsidR="00547CA2" w:rsidRPr="00C67B16" w:rsidRDefault="00547CA2" w:rsidP="00463647">
            <w:pPr>
              <w:pStyle w:val="Table"/>
              <w:widowControl w:val="0"/>
              <w:spacing w:before="0" w:after="0"/>
              <w:rPr>
                <w:rFonts w:ascii="Times New Roman" w:hAnsi="Times New Roman"/>
                <w:b/>
                <w:sz w:val="22"/>
                <w:szCs w:val="22"/>
              </w:rPr>
            </w:pPr>
          </w:p>
        </w:tc>
        <w:tc>
          <w:tcPr>
            <w:tcW w:w="1302" w:type="dxa"/>
            <w:vMerge/>
            <w:tcBorders>
              <w:right w:val="single" w:sz="4" w:space="0" w:color="auto"/>
            </w:tcBorders>
          </w:tcPr>
          <w:p w14:paraId="3907BFA6" w14:textId="77777777" w:rsidR="00547CA2" w:rsidRPr="00C67B16" w:rsidRDefault="00547CA2" w:rsidP="00463647">
            <w:pPr>
              <w:pStyle w:val="Table"/>
              <w:widowControl w:val="0"/>
              <w:spacing w:before="0" w:after="0"/>
              <w:rPr>
                <w:rFonts w:ascii="Times New Roman" w:hAnsi="Times New Roman"/>
                <w:b/>
                <w:sz w:val="22"/>
                <w:szCs w:val="22"/>
              </w:rPr>
            </w:pPr>
          </w:p>
        </w:tc>
        <w:tc>
          <w:tcPr>
            <w:tcW w:w="1078" w:type="dxa"/>
            <w:vMerge/>
            <w:tcBorders>
              <w:left w:val="single" w:sz="4" w:space="0" w:color="auto"/>
              <w:right w:val="single" w:sz="4" w:space="0" w:color="auto"/>
            </w:tcBorders>
          </w:tcPr>
          <w:p w14:paraId="79501E1D" w14:textId="77777777" w:rsidR="00547CA2" w:rsidRPr="00C67B16" w:rsidRDefault="00547CA2" w:rsidP="00463647">
            <w:pPr>
              <w:pStyle w:val="Table"/>
              <w:widowControl w:val="0"/>
              <w:spacing w:before="0" w:after="0"/>
              <w:jc w:val="center"/>
              <w:rPr>
                <w:rFonts w:ascii="Times New Roman" w:hAnsi="Times New Roman"/>
                <w:b/>
                <w:sz w:val="22"/>
                <w:szCs w:val="22"/>
              </w:rPr>
            </w:pPr>
          </w:p>
        </w:tc>
        <w:tc>
          <w:tcPr>
            <w:tcW w:w="2008" w:type="dxa"/>
            <w:vMerge/>
            <w:tcBorders>
              <w:left w:val="single" w:sz="4" w:space="0" w:color="auto"/>
              <w:right w:val="single" w:sz="4" w:space="0" w:color="auto"/>
            </w:tcBorders>
          </w:tcPr>
          <w:p w14:paraId="11A0446F" w14:textId="77777777" w:rsidR="00547CA2" w:rsidRPr="00C67B16" w:rsidRDefault="00547CA2" w:rsidP="00463647">
            <w:pPr>
              <w:pStyle w:val="Table"/>
              <w:widowControl w:val="0"/>
              <w:spacing w:before="0" w:after="0"/>
              <w:jc w:val="center"/>
              <w:rPr>
                <w:rFonts w:ascii="Times New Roman" w:hAnsi="Times New Roman"/>
                <w:b/>
                <w:sz w:val="22"/>
                <w:szCs w:val="22"/>
              </w:rPr>
            </w:pPr>
          </w:p>
        </w:tc>
        <w:tc>
          <w:tcPr>
            <w:tcW w:w="1800" w:type="dxa"/>
            <w:vMerge/>
            <w:tcBorders>
              <w:left w:val="single" w:sz="4" w:space="0" w:color="auto"/>
              <w:right w:val="single" w:sz="4" w:space="0" w:color="auto"/>
            </w:tcBorders>
          </w:tcPr>
          <w:p w14:paraId="4C6E2094" w14:textId="77777777" w:rsidR="00547CA2" w:rsidRPr="00C67B16" w:rsidRDefault="00547CA2" w:rsidP="00463647">
            <w:pPr>
              <w:pStyle w:val="Table"/>
              <w:widowControl w:val="0"/>
              <w:spacing w:before="0" w:after="0"/>
              <w:rPr>
                <w:rFonts w:ascii="Times New Roman" w:hAnsi="Times New Roman"/>
                <w:b/>
                <w:sz w:val="22"/>
                <w:szCs w:val="22"/>
              </w:rPr>
            </w:pPr>
          </w:p>
        </w:tc>
        <w:tc>
          <w:tcPr>
            <w:tcW w:w="1440" w:type="dxa"/>
            <w:tcBorders>
              <w:left w:val="single" w:sz="4" w:space="0" w:color="auto"/>
              <w:right w:val="single" w:sz="4" w:space="0" w:color="auto"/>
            </w:tcBorders>
          </w:tcPr>
          <w:p w14:paraId="37E4A7D5" w14:textId="77777777" w:rsidR="00547CA2" w:rsidRPr="00C67B16" w:rsidRDefault="00547CA2"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12 månader</w:t>
            </w:r>
          </w:p>
        </w:tc>
        <w:tc>
          <w:tcPr>
            <w:tcW w:w="1360" w:type="dxa"/>
            <w:tcBorders>
              <w:left w:val="single" w:sz="4" w:space="0" w:color="auto"/>
            </w:tcBorders>
          </w:tcPr>
          <w:p w14:paraId="5A075697" w14:textId="77777777" w:rsidR="00547CA2" w:rsidRPr="00C67B16" w:rsidRDefault="00547CA2"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24 månader</w:t>
            </w:r>
          </w:p>
        </w:tc>
      </w:tr>
      <w:tr w:rsidR="00547CA2" w:rsidRPr="00126508" w14:paraId="6A954F7D" w14:textId="77777777" w:rsidTr="0040304A">
        <w:trPr>
          <w:cantSplit/>
        </w:trPr>
        <w:tc>
          <w:tcPr>
            <w:tcW w:w="1032" w:type="dxa"/>
            <w:vMerge/>
          </w:tcPr>
          <w:p w14:paraId="033B8A3D" w14:textId="77777777" w:rsidR="00547CA2" w:rsidRPr="00C67B16" w:rsidRDefault="00547CA2" w:rsidP="00463647">
            <w:pPr>
              <w:pStyle w:val="Table"/>
              <w:widowControl w:val="0"/>
              <w:spacing w:before="0" w:after="0"/>
              <w:rPr>
                <w:rFonts w:ascii="Times New Roman" w:hAnsi="Times New Roman"/>
                <w:b/>
                <w:sz w:val="22"/>
                <w:szCs w:val="22"/>
              </w:rPr>
            </w:pPr>
          </w:p>
        </w:tc>
        <w:tc>
          <w:tcPr>
            <w:tcW w:w="1302" w:type="dxa"/>
            <w:vMerge/>
            <w:tcBorders>
              <w:right w:val="single" w:sz="4" w:space="0" w:color="auto"/>
            </w:tcBorders>
          </w:tcPr>
          <w:p w14:paraId="1E33075A" w14:textId="77777777" w:rsidR="00547CA2" w:rsidRPr="00C67B16" w:rsidRDefault="00547CA2" w:rsidP="00463647">
            <w:pPr>
              <w:pStyle w:val="Table"/>
              <w:widowControl w:val="0"/>
              <w:spacing w:before="0" w:after="0"/>
              <w:rPr>
                <w:rFonts w:ascii="Times New Roman" w:hAnsi="Times New Roman"/>
                <w:b/>
                <w:sz w:val="22"/>
                <w:szCs w:val="22"/>
              </w:rPr>
            </w:pPr>
          </w:p>
        </w:tc>
        <w:tc>
          <w:tcPr>
            <w:tcW w:w="1078" w:type="dxa"/>
            <w:vMerge/>
            <w:tcBorders>
              <w:left w:val="single" w:sz="4" w:space="0" w:color="auto"/>
              <w:right w:val="single" w:sz="4" w:space="0" w:color="auto"/>
            </w:tcBorders>
          </w:tcPr>
          <w:p w14:paraId="26ADBC39" w14:textId="77777777" w:rsidR="00547CA2" w:rsidRPr="00C67B16" w:rsidRDefault="00547CA2" w:rsidP="00463647">
            <w:pPr>
              <w:pStyle w:val="Table"/>
              <w:widowControl w:val="0"/>
              <w:spacing w:before="0" w:after="0"/>
              <w:jc w:val="center"/>
              <w:rPr>
                <w:rFonts w:ascii="Times New Roman" w:hAnsi="Times New Roman"/>
                <w:b/>
                <w:sz w:val="22"/>
                <w:szCs w:val="22"/>
              </w:rPr>
            </w:pPr>
          </w:p>
        </w:tc>
        <w:tc>
          <w:tcPr>
            <w:tcW w:w="2008" w:type="dxa"/>
            <w:tcBorders>
              <w:left w:val="single" w:sz="4" w:space="0" w:color="auto"/>
              <w:bottom w:val="single" w:sz="4" w:space="0" w:color="auto"/>
              <w:right w:val="single" w:sz="4" w:space="0" w:color="auto"/>
            </w:tcBorders>
          </w:tcPr>
          <w:p w14:paraId="721AADD9" w14:textId="77777777" w:rsidR="00547CA2" w:rsidRPr="00C67B16" w:rsidRDefault="00547CA2"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Glivec vs placebo</w:t>
            </w:r>
          </w:p>
        </w:tc>
        <w:tc>
          <w:tcPr>
            <w:tcW w:w="1800" w:type="dxa"/>
            <w:vMerge/>
            <w:tcBorders>
              <w:left w:val="single" w:sz="4" w:space="0" w:color="auto"/>
              <w:bottom w:val="single" w:sz="4" w:space="0" w:color="auto"/>
              <w:right w:val="single" w:sz="4" w:space="0" w:color="auto"/>
            </w:tcBorders>
          </w:tcPr>
          <w:p w14:paraId="048C4131" w14:textId="77777777" w:rsidR="00547CA2" w:rsidRPr="00C67B16" w:rsidRDefault="00547CA2" w:rsidP="00463647">
            <w:pPr>
              <w:pStyle w:val="Table"/>
              <w:widowControl w:val="0"/>
              <w:spacing w:before="0" w:after="0"/>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13ADA2E2" w14:textId="77777777" w:rsidR="00547CA2" w:rsidRPr="00C67B16" w:rsidRDefault="00547CA2"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Glivec vs placebo</w:t>
            </w:r>
          </w:p>
        </w:tc>
        <w:tc>
          <w:tcPr>
            <w:tcW w:w="1360" w:type="dxa"/>
            <w:tcBorders>
              <w:left w:val="single" w:sz="4" w:space="0" w:color="auto"/>
            </w:tcBorders>
          </w:tcPr>
          <w:p w14:paraId="074E86C8" w14:textId="77777777" w:rsidR="00547CA2" w:rsidRPr="00C67B16" w:rsidRDefault="00547CA2" w:rsidP="00463647">
            <w:pPr>
              <w:pStyle w:val="Table"/>
              <w:widowControl w:val="0"/>
              <w:spacing w:before="0" w:after="0"/>
              <w:jc w:val="center"/>
              <w:rPr>
                <w:rFonts w:ascii="Times New Roman" w:hAnsi="Times New Roman"/>
                <w:b/>
                <w:sz w:val="22"/>
                <w:szCs w:val="22"/>
              </w:rPr>
            </w:pPr>
            <w:r w:rsidRPr="00C67B16">
              <w:rPr>
                <w:rFonts w:ascii="Times New Roman" w:hAnsi="Times New Roman"/>
                <w:b/>
                <w:sz w:val="22"/>
                <w:szCs w:val="22"/>
              </w:rPr>
              <w:t>Glivec vs placebo</w:t>
            </w:r>
          </w:p>
        </w:tc>
      </w:tr>
      <w:tr w:rsidR="00547CA2" w:rsidRPr="00C67B16" w14:paraId="08AEDBED" w14:textId="77777777" w:rsidTr="0040304A">
        <w:trPr>
          <w:cantSplit/>
        </w:trPr>
        <w:tc>
          <w:tcPr>
            <w:tcW w:w="1032" w:type="dxa"/>
            <w:vMerge w:val="restart"/>
            <w:shd w:val="clear" w:color="auto" w:fill="auto"/>
          </w:tcPr>
          <w:p w14:paraId="7D176E62" w14:textId="77777777" w:rsidR="00547CA2" w:rsidRPr="00C67B16" w:rsidRDefault="00547CA2" w:rsidP="00463647">
            <w:pPr>
              <w:pStyle w:val="Nottoc-headings"/>
              <w:widowControl w:val="0"/>
              <w:spacing w:before="0" w:after="0"/>
              <w:ind w:left="0" w:firstLine="0"/>
              <w:rPr>
                <w:rFonts w:ascii="Times New Roman" w:hAnsi="Times New Roman"/>
                <w:b w:val="0"/>
                <w:sz w:val="22"/>
                <w:szCs w:val="22"/>
              </w:rPr>
            </w:pPr>
            <w:r w:rsidRPr="00C67B16">
              <w:rPr>
                <w:rFonts w:ascii="Times New Roman" w:hAnsi="Times New Roman"/>
                <w:b w:val="0"/>
                <w:sz w:val="22"/>
                <w:szCs w:val="22"/>
              </w:rPr>
              <w:t>NIH</w:t>
            </w:r>
          </w:p>
          <w:p w14:paraId="06F2AF19" w14:textId="77777777" w:rsidR="00547CA2" w:rsidRPr="00C67B16" w:rsidRDefault="00547CA2" w:rsidP="00463647">
            <w:pPr>
              <w:pStyle w:val="TextChar"/>
              <w:keepNext/>
              <w:keepLines/>
              <w:widowControl w:val="0"/>
              <w:spacing w:before="0"/>
              <w:rPr>
                <w:sz w:val="22"/>
                <w:szCs w:val="22"/>
              </w:rPr>
            </w:pPr>
          </w:p>
        </w:tc>
        <w:tc>
          <w:tcPr>
            <w:tcW w:w="1302" w:type="dxa"/>
            <w:tcBorders>
              <w:bottom w:val="nil"/>
              <w:right w:val="single" w:sz="4" w:space="0" w:color="auto"/>
            </w:tcBorders>
            <w:vAlign w:val="bottom"/>
          </w:tcPr>
          <w:p w14:paraId="2734118C" w14:textId="77777777" w:rsidR="00547CA2" w:rsidRPr="00C67B16" w:rsidRDefault="00547CA2" w:rsidP="00463647">
            <w:pPr>
              <w:pStyle w:val="Nottoc-headings"/>
              <w:widowControl w:val="0"/>
              <w:spacing w:before="0" w:after="0"/>
              <w:ind w:left="57" w:hanging="57"/>
              <w:rPr>
                <w:rFonts w:ascii="Times New Roman" w:hAnsi="Times New Roman"/>
                <w:b w:val="0"/>
                <w:sz w:val="22"/>
                <w:szCs w:val="22"/>
              </w:rPr>
            </w:pPr>
            <w:r w:rsidRPr="00C67B16">
              <w:rPr>
                <w:rFonts w:ascii="Times New Roman" w:hAnsi="Times New Roman"/>
                <w:b w:val="0"/>
                <w:sz w:val="22"/>
                <w:szCs w:val="22"/>
              </w:rPr>
              <w:t>Låg</w:t>
            </w:r>
          </w:p>
        </w:tc>
        <w:tc>
          <w:tcPr>
            <w:tcW w:w="1078" w:type="dxa"/>
            <w:tcBorders>
              <w:left w:val="single" w:sz="4" w:space="0" w:color="auto"/>
              <w:bottom w:val="nil"/>
              <w:right w:val="single" w:sz="4" w:space="0" w:color="auto"/>
            </w:tcBorders>
            <w:vAlign w:val="bottom"/>
          </w:tcPr>
          <w:p w14:paraId="1391FBEF" w14:textId="77777777" w:rsidR="00547CA2" w:rsidRPr="00C67B16" w:rsidRDefault="00547CA2" w:rsidP="00463647">
            <w:pPr>
              <w:pStyle w:val="Nottoc-headings"/>
              <w:widowControl w:val="0"/>
              <w:spacing w:before="0" w:after="0"/>
              <w:ind w:left="57" w:hanging="57"/>
              <w:jc w:val="center"/>
              <w:rPr>
                <w:rFonts w:ascii="Times New Roman" w:hAnsi="Times New Roman"/>
                <w:b w:val="0"/>
                <w:sz w:val="22"/>
                <w:szCs w:val="22"/>
              </w:rPr>
            </w:pPr>
            <w:r w:rsidRPr="00C67B16">
              <w:rPr>
                <w:rFonts w:ascii="Times New Roman" w:hAnsi="Times New Roman"/>
                <w:b w:val="0"/>
                <w:sz w:val="22"/>
                <w:szCs w:val="22"/>
              </w:rPr>
              <w:t>29,5</w:t>
            </w:r>
          </w:p>
        </w:tc>
        <w:tc>
          <w:tcPr>
            <w:tcW w:w="2008" w:type="dxa"/>
            <w:tcBorders>
              <w:left w:val="single" w:sz="4" w:space="0" w:color="auto"/>
              <w:bottom w:val="nil"/>
              <w:right w:val="single" w:sz="4" w:space="0" w:color="auto"/>
            </w:tcBorders>
            <w:vAlign w:val="bottom"/>
          </w:tcPr>
          <w:p w14:paraId="627AABA8" w14:textId="77777777" w:rsidR="00547CA2" w:rsidRPr="00C67B16" w:rsidRDefault="00547CA2" w:rsidP="00463647">
            <w:pPr>
              <w:pStyle w:val="Nottoc-headings"/>
              <w:widowControl w:val="0"/>
              <w:spacing w:before="0" w:after="0"/>
              <w:ind w:left="57" w:hanging="57"/>
              <w:rPr>
                <w:rFonts w:ascii="Times New Roman" w:hAnsi="Times New Roman"/>
                <w:b w:val="0"/>
                <w:sz w:val="22"/>
                <w:szCs w:val="22"/>
              </w:rPr>
            </w:pPr>
            <w:r w:rsidRPr="00C67B16">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17182FD7" w14:textId="77777777" w:rsidR="00547CA2" w:rsidRPr="00C67B16" w:rsidRDefault="00547CA2" w:rsidP="00463647">
            <w:pPr>
              <w:pStyle w:val="Nottoc-headings"/>
              <w:widowControl w:val="0"/>
              <w:spacing w:before="0" w:after="0"/>
              <w:ind w:left="57" w:hanging="57"/>
              <w:rPr>
                <w:rFonts w:ascii="Times New Roman" w:hAnsi="Times New Roman"/>
                <w:b w:val="0"/>
                <w:sz w:val="22"/>
                <w:szCs w:val="22"/>
              </w:rPr>
            </w:pPr>
            <w:r w:rsidRPr="00C67B16">
              <w:rPr>
                <w:rFonts w:ascii="Times New Roman" w:hAnsi="Times New Roman"/>
                <w:b w:val="0"/>
                <w:sz w:val="22"/>
                <w:szCs w:val="22"/>
              </w:rPr>
              <w:t>N.E.</w:t>
            </w:r>
          </w:p>
        </w:tc>
        <w:tc>
          <w:tcPr>
            <w:tcW w:w="1440" w:type="dxa"/>
            <w:tcBorders>
              <w:left w:val="single" w:sz="4" w:space="0" w:color="auto"/>
              <w:bottom w:val="nil"/>
              <w:right w:val="single" w:sz="4" w:space="0" w:color="auto"/>
            </w:tcBorders>
            <w:vAlign w:val="bottom"/>
          </w:tcPr>
          <w:p w14:paraId="15EFFC7C" w14:textId="77777777" w:rsidR="00547CA2" w:rsidRPr="00C67B16" w:rsidRDefault="00547CA2" w:rsidP="00463647">
            <w:pPr>
              <w:pStyle w:val="Nottoc-headings"/>
              <w:widowControl w:val="0"/>
              <w:spacing w:before="0" w:after="0"/>
              <w:ind w:left="57" w:hanging="57"/>
              <w:rPr>
                <w:rFonts w:ascii="Times New Roman" w:hAnsi="Times New Roman"/>
                <w:b w:val="0"/>
                <w:sz w:val="22"/>
                <w:szCs w:val="22"/>
                <w:lang w:val="de-CH"/>
              </w:rPr>
            </w:pPr>
            <w:r w:rsidRPr="00C67B16">
              <w:rPr>
                <w:rFonts w:ascii="Times New Roman" w:hAnsi="Times New Roman"/>
                <w:b w:val="0"/>
                <w:sz w:val="22"/>
                <w:szCs w:val="22"/>
                <w:lang w:val="de-CH"/>
              </w:rPr>
              <w:t>100 vs. 98,7</w:t>
            </w:r>
          </w:p>
        </w:tc>
        <w:tc>
          <w:tcPr>
            <w:tcW w:w="1360" w:type="dxa"/>
            <w:tcBorders>
              <w:left w:val="single" w:sz="4" w:space="0" w:color="auto"/>
              <w:bottom w:val="nil"/>
            </w:tcBorders>
            <w:vAlign w:val="bottom"/>
          </w:tcPr>
          <w:p w14:paraId="32B5EF6C" w14:textId="77777777" w:rsidR="00547CA2" w:rsidRPr="00C67B16" w:rsidRDefault="00547CA2" w:rsidP="00463647">
            <w:pPr>
              <w:pStyle w:val="Nottoc-headings"/>
              <w:widowControl w:val="0"/>
              <w:spacing w:before="0" w:after="0"/>
              <w:ind w:left="57" w:hanging="57"/>
              <w:rPr>
                <w:rFonts w:ascii="Times New Roman" w:hAnsi="Times New Roman"/>
                <w:b w:val="0"/>
                <w:sz w:val="22"/>
                <w:szCs w:val="22"/>
                <w:lang w:val="de-CH"/>
              </w:rPr>
            </w:pPr>
            <w:r w:rsidRPr="00C67B16">
              <w:rPr>
                <w:rFonts w:ascii="Times New Roman" w:hAnsi="Times New Roman"/>
                <w:b w:val="0"/>
                <w:sz w:val="22"/>
                <w:szCs w:val="22"/>
                <w:lang w:val="de-CH"/>
              </w:rPr>
              <w:t>100 vs. 95,5</w:t>
            </w:r>
          </w:p>
        </w:tc>
      </w:tr>
      <w:tr w:rsidR="00547CA2" w:rsidRPr="00C67B16" w14:paraId="19D61785" w14:textId="77777777" w:rsidTr="0040304A">
        <w:trPr>
          <w:cantSplit/>
        </w:trPr>
        <w:tc>
          <w:tcPr>
            <w:tcW w:w="1032" w:type="dxa"/>
            <w:vMerge/>
            <w:shd w:val="clear" w:color="auto" w:fill="auto"/>
          </w:tcPr>
          <w:p w14:paraId="3737D6D5" w14:textId="77777777" w:rsidR="00547CA2" w:rsidRPr="00C67B16" w:rsidRDefault="00547CA2" w:rsidP="00463647">
            <w:pPr>
              <w:pStyle w:val="Nottoc-headings"/>
              <w:widowControl w:val="0"/>
              <w:spacing w:before="0" w:after="0"/>
              <w:rPr>
                <w:rFonts w:ascii="Times New Roman" w:hAnsi="Times New Roman"/>
                <w:b w:val="0"/>
                <w:sz w:val="22"/>
                <w:szCs w:val="22"/>
                <w:lang w:val="de-CH"/>
              </w:rPr>
            </w:pPr>
          </w:p>
        </w:tc>
        <w:tc>
          <w:tcPr>
            <w:tcW w:w="1302" w:type="dxa"/>
            <w:tcBorders>
              <w:top w:val="nil"/>
              <w:bottom w:val="nil"/>
              <w:right w:val="single" w:sz="4" w:space="0" w:color="auto"/>
            </w:tcBorders>
            <w:vAlign w:val="bottom"/>
          </w:tcPr>
          <w:p w14:paraId="74398B02" w14:textId="77777777" w:rsidR="00547CA2" w:rsidRPr="00C67B16" w:rsidRDefault="00547CA2"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Intermediär</w:t>
            </w:r>
          </w:p>
        </w:tc>
        <w:tc>
          <w:tcPr>
            <w:tcW w:w="1078" w:type="dxa"/>
            <w:tcBorders>
              <w:top w:val="nil"/>
              <w:left w:val="single" w:sz="4" w:space="0" w:color="auto"/>
              <w:bottom w:val="nil"/>
              <w:right w:val="single" w:sz="4" w:space="0" w:color="auto"/>
            </w:tcBorders>
            <w:vAlign w:val="bottom"/>
          </w:tcPr>
          <w:p w14:paraId="5E96BF90" w14:textId="77777777" w:rsidR="00547CA2" w:rsidRPr="00C67B16" w:rsidRDefault="00547CA2" w:rsidP="00463647">
            <w:pPr>
              <w:pStyle w:val="Table"/>
              <w:widowControl w:val="0"/>
              <w:spacing w:before="0" w:after="0"/>
              <w:jc w:val="center"/>
              <w:rPr>
                <w:rFonts w:ascii="Times New Roman" w:hAnsi="Times New Roman"/>
                <w:sz w:val="22"/>
                <w:szCs w:val="22"/>
                <w:lang w:val="de-CH"/>
              </w:rPr>
            </w:pPr>
            <w:r w:rsidRPr="00C67B16">
              <w:rPr>
                <w:rFonts w:ascii="Times New Roman" w:hAnsi="Times New Roman"/>
                <w:sz w:val="22"/>
                <w:szCs w:val="22"/>
                <w:lang w:val="de-CH"/>
              </w:rPr>
              <w:t>25,7</w:t>
            </w:r>
          </w:p>
        </w:tc>
        <w:tc>
          <w:tcPr>
            <w:tcW w:w="2008" w:type="dxa"/>
            <w:tcBorders>
              <w:top w:val="nil"/>
              <w:left w:val="single" w:sz="4" w:space="0" w:color="auto"/>
              <w:bottom w:val="nil"/>
              <w:right w:val="single" w:sz="4" w:space="0" w:color="auto"/>
            </w:tcBorders>
            <w:vAlign w:val="bottom"/>
          </w:tcPr>
          <w:p w14:paraId="583FF09F" w14:textId="77777777" w:rsidR="00547CA2" w:rsidRPr="00C67B16" w:rsidRDefault="00547CA2"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4/75 vs. 6/78</w:t>
            </w:r>
          </w:p>
        </w:tc>
        <w:tc>
          <w:tcPr>
            <w:tcW w:w="1800" w:type="dxa"/>
            <w:tcBorders>
              <w:top w:val="nil"/>
              <w:left w:val="single" w:sz="4" w:space="0" w:color="auto"/>
              <w:bottom w:val="nil"/>
              <w:right w:val="single" w:sz="4" w:space="0" w:color="auto"/>
            </w:tcBorders>
            <w:vAlign w:val="bottom"/>
          </w:tcPr>
          <w:p w14:paraId="27FEE086" w14:textId="77777777" w:rsidR="00547CA2" w:rsidRPr="00C67B16" w:rsidRDefault="00547CA2"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0,59 (0,17; 2,10)</w:t>
            </w:r>
          </w:p>
        </w:tc>
        <w:tc>
          <w:tcPr>
            <w:tcW w:w="1440" w:type="dxa"/>
            <w:tcBorders>
              <w:top w:val="nil"/>
              <w:left w:val="single" w:sz="4" w:space="0" w:color="auto"/>
              <w:bottom w:val="nil"/>
              <w:right w:val="single" w:sz="4" w:space="0" w:color="auto"/>
            </w:tcBorders>
            <w:vAlign w:val="bottom"/>
          </w:tcPr>
          <w:p w14:paraId="77F84992" w14:textId="77777777" w:rsidR="00547CA2" w:rsidRPr="00C67B16" w:rsidRDefault="00547CA2"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100 vs. 94,8</w:t>
            </w:r>
          </w:p>
        </w:tc>
        <w:tc>
          <w:tcPr>
            <w:tcW w:w="1360" w:type="dxa"/>
            <w:tcBorders>
              <w:top w:val="nil"/>
              <w:left w:val="single" w:sz="4" w:space="0" w:color="auto"/>
              <w:bottom w:val="nil"/>
            </w:tcBorders>
            <w:vAlign w:val="bottom"/>
          </w:tcPr>
          <w:p w14:paraId="0B2B5E87" w14:textId="77777777" w:rsidR="00547CA2" w:rsidRPr="00C67B16" w:rsidRDefault="00547CA2"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97,8 vs. 89,5</w:t>
            </w:r>
          </w:p>
        </w:tc>
      </w:tr>
      <w:tr w:rsidR="00547CA2" w:rsidRPr="00126508" w14:paraId="5ABECBFC" w14:textId="77777777" w:rsidTr="0040304A">
        <w:trPr>
          <w:cantSplit/>
        </w:trPr>
        <w:tc>
          <w:tcPr>
            <w:tcW w:w="1032" w:type="dxa"/>
            <w:vMerge/>
            <w:shd w:val="clear" w:color="auto" w:fill="auto"/>
          </w:tcPr>
          <w:p w14:paraId="4550FED1" w14:textId="77777777" w:rsidR="00547CA2" w:rsidRPr="00C67B16" w:rsidRDefault="00547CA2" w:rsidP="00463647">
            <w:pPr>
              <w:pStyle w:val="Table"/>
              <w:widowControl w:val="0"/>
              <w:spacing w:before="0" w:after="0"/>
              <w:rPr>
                <w:rFonts w:ascii="Times New Roman" w:hAnsi="Times New Roman"/>
                <w:sz w:val="22"/>
                <w:szCs w:val="22"/>
                <w:lang w:val="de-CH"/>
              </w:rPr>
            </w:pPr>
          </w:p>
        </w:tc>
        <w:tc>
          <w:tcPr>
            <w:tcW w:w="1302" w:type="dxa"/>
            <w:tcBorders>
              <w:top w:val="nil"/>
              <w:right w:val="single" w:sz="4" w:space="0" w:color="auto"/>
            </w:tcBorders>
            <w:vAlign w:val="bottom"/>
          </w:tcPr>
          <w:p w14:paraId="4F4C65ED" w14:textId="77777777" w:rsidR="00547CA2" w:rsidRPr="00C67B16" w:rsidRDefault="00547CA2"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Hög</w:t>
            </w:r>
          </w:p>
        </w:tc>
        <w:tc>
          <w:tcPr>
            <w:tcW w:w="1078" w:type="dxa"/>
            <w:tcBorders>
              <w:top w:val="nil"/>
              <w:left w:val="single" w:sz="4" w:space="0" w:color="auto"/>
              <w:right w:val="single" w:sz="4" w:space="0" w:color="auto"/>
            </w:tcBorders>
            <w:vAlign w:val="bottom"/>
          </w:tcPr>
          <w:p w14:paraId="40EF124F" w14:textId="77777777" w:rsidR="00547CA2" w:rsidRPr="00C67B16" w:rsidRDefault="00547CA2" w:rsidP="00463647">
            <w:pPr>
              <w:pStyle w:val="Table"/>
              <w:widowControl w:val="0"/>
              <w:spacing w:before="0" w:after="0"/>
              <w:jc w:val="center"/>
              <w:rPr>
                <w:rFonts w:ascii="Times New Roman" w:hAnsi="Times New Roman"/>
                <w:sz w:val="22"/>
                <w:szCs w:val="22"/>
                <w:lang w:val="de-CH"/>
              </w:rPr>
            </w:pPr>
            <w:r w:rsidRPr="00C67B16">
              <w:rPr>
                <w:rFonts w:ascii="Times New Roman" w:hAnsi="Times New Roman"/>
                <w:sz w:val="22"/>
                <w:szCs w:val="22"/>
                <w:lang w:val="de-CH"/>
              </w:rPr>
              <w:t>44,8</w:t>
            </w:r>
          </w:p>
        </w:tc>
        <w:tc>
          <w:tcPr>
            <w:tcW w:w="2008" w:type="dxa"/>
            <w:tcBorders>
              <w:top w:val="nil"/>
              <w:left w:val="single" w:sz="4" w:space="0" w:color="auto"/>
              <w:right w:val="single" w:sz="4" w:space="0" w:color="auto"/>
            </w:tcBorders>
            <w:vAlign w:val="bottom"/>
          </w:tcPr>
          <w:p w14:paraId="2E9E390B" w14:textId="77777777" w:rsidR="00547CA2" w:rsidRPr="00C67B16" w:rsidRDefault="00547CA2" w:rsidP="00463647">
            <w:pPr>
              <w:pStyle w:val="Table"/>
              <w:widowControl w:val="0"/>
              <w:spacing w:before="0" w:after="0"/>
              <w:rPr>
                <w:rFonts w:ascii="Times New Roman" w:hAnsi="Times New Roman"/>
                <w:sz w:val="22"/>
                <w:szCs w:val="22"/>
                <w:lang w:val="de-CH"/>
              </w:rPr>
            </w:pPr>
            <w:r w:rsidRPr="00C67B16">
              <w:rPr>
                <w:rFonts w:ascii="Times New Roman" w:hAnsi="Times New Roman"/>
                <w:sz w:val="22"/>
                <w:szCs w:val="22"/>
                <w:lang w:val="de-CH"/>
              </w:rPr>
              <w:t>21/140 vs. 51/127</w:t>
            </w:r>
          </w:p>
        </w:tc>
        <w:tc>
          <w:tcPr>
            <w:tcW w:w="1800" w:type="dxa"/>
            <w:tcBorders>
              <w:top w:val="nil"/>
              <w:left w:val="single" w:sz="4" w:space="0" w:color="auto"/>
              <w:right w:val="single" w:sz="4" w:space="0" w:color="auto"/>
            </w:tcBorders>
            <w:vAlign w:val="bottom"/>
          </w:tcPr>
          <w:p w14:paraId="06FF1465"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lang w:val="de-CH"/>
              </w:rPr>
              <w:t>0,29 (0,</w:t>
            </w:r>
            <w:r w:rsidRPr="00C67B16">
              <w:rPr>
                <w:rFonts w:ascii="Times New Roman" w:hAnsi="Times New Roman"/>
                <w:sz w:val="22"/>
                <w:szCs w:val="22"/>
              </w:rPr>
              <w:t>18; 0,49)</w:t>
            </w:r>
          </w:p>
        </w:tc>
        <w:tc>
          <w:tcPr>
            <w:tcW w:w="1440" w:type="dxa"/>
            <w:tcBorders>
              <w:top w:val="nil"/>
              <w:left w:val="single" w:sz="4" w:space="0" w:color="auto"/>
              <w:right w:val="single" w:sz="4" w:space="0" w:color="auto"/>
            </w:tcBorders>
            <w:vAlign w:val="bottom"/>
          </w:tcPr>
          <w:p w14:paraId="02BE1F6B"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94,8 vs. 64,0</w:t>
            </w:r>
          </w:p>
        </w:tc>
        <w:tc>
          <w:tcPr>
            <w:tcW w:w="1360" w:type="dxa"/>
            <w:tcBorders>
              <w:top w:val="nil"/>
              <w:left w:val="single" w:sz="4" w:space="0" w:color="auto"/>
            </w:tcBorders>
            <w:vAlign w:val="bottom"/>
          </w:tcPr>
          <w:p w14:paraId="52C7EC3D"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80,7 vs. 46,6</w:t>
            </w:r>
          </w:p>
        </w:tc>
      </w:tr>
      <w:tr w:rsidR="00547CA2" w:rsidRPr="00126508" w14:paraId="0F266CB6" w14:textId="77777777" w:rsidTr="0040304A">
        <w:trPr>
          <w:cantSplit/>
        </w:trPr>
        <w:tc>
          <w:tcPr>
            <w:tcW w:w="1032" w:type="dxa"/>
            <w:vMerge w:val="restart"/>
            <w:shd w:val="clear" w:color="auto" w:fill="auto"/>
          </w:tcPr>
          <w:p w14:paraId="64A45BA2"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AFIP</w:t>
            </w:r>
          </w:p>
          <w:p w14:paraId="105C54EF" w14:textId="77777777" w:rsidR="00547CA2" w:rsidRPr="00C67B16" w:rsidRDefault="00547CA2" w:rsidP="00463647">
            <w:pPr>
              <w:pStyle w:val="Table"/>
              <w:widowControl w:val="0"/>
              <w:spacing w:before="0" w:after="0"/>
              <w:rPr>
                <w:rFonts w:ascii="Times New Roman" w:hAnsi="Times New Roman"/>
                <w:sz w:val="22"/>
                <w:szCs w:val="22"/>
              </w:rPr>
            </w:pPr>
          </w:p>
        </w:tc>
        <w:tc>
          <w:tcPr>
            <w:tcW w:w="1302" w:type="dxa"/>
            <w:tcBorders>
              <w:bottom w:val="nil"/>
              <w:right w:val="single" w:sz="4" w:space="0" w:color="auto"/>
            </w:tcBorders>
            <w:vAlign w:val="bottom"/>
          </w:tcPr>
          <w:p w14:paraId="41330AB3"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Mycket låg</w:t>
            </w:r>
          </w:p>
        </w:tc>
        <w:tc>
          <w:tcPr>
            <w:tcW w:w="1078" w:type="dxa"/>
            <w:tcBorders>
              <w:left w:val="single" w:sz="4" w:space="0" w:color="auto"/>
              <w:bottom w:val="nil"/>
              <w:right w:val="single" w:sz="4" w:space="0" w:color="auto"/>
            </w:tcBorders>
            <w:vAlign w:val="bottom"/>
          </w:tcPr>
          <w:p w14:paraId="5E2E3F81" w14:textId="77777777" w:rsidR="00547CA2" w:rsidRPr="00C67B16" w:rsidRDefault="00547CA2" w:rsidP="00463647">
            <w:pPr>
              <w:pStyle w:val="Table"/>
              <w:widowControl w:val="0"/>
              <w:spacing w:before="0" w:after="0"/>
              <w:jc w:val="center"/>
              <w:rPr>
                <w:rFonts w:ascii="Times New Roman" w:hAnsi="Times New Roman"/>
                <w:sz w:val="22"/>
                <w:szCs w:val="22"/>
              </w:rPr>
            </w:pPr>
            <w:r w:rsidRPr="00C67B16">
              <w:rPr>
                <w:rFonts w:ascii="Times New Roman" w:hAnsi="Times New Roman"/>
                <w:sz w:val="22"/>
                <w:szCs w:val="22"/>
              </w:rPr>
              <w:t>20,7</w:t>
            </w:r>
          </w:p>
        </w:tc>
        <w:tc>
          <w:tcPr>
            <w:tcW w:w="2008" w:type="dxa"/>
            <w:tcBorders>
              <w:left w:val="single" w:sz="4" w:space="0" w:color="auto"/>
              <w:bottom w:val="nil"/>
              <w:right w:val="single" w:sz="4" w:space="0" w:color="auto"/>
            </w:tcBorders>
            <w:vAlign w:val="bottom"/>
          </w:tcPr>
          <w:p w14:paraId="2F4726D5"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57A99397"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1F8FFC5F"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100 vs. 98,1</w:t>
            </w:r>
          </w:p>
        </w:tc>
        <w:tc>
          <w:tcPr>
            <w:tcW w:w="1360" w:type="dxa"/>
            <w:tcBorders>
              <w:left w:val="single" w:sz="4" w:space="0" w:color="auto"/>
              <w:bottom w:val="nil"/>
            </w:tcBorders>
            <w:vAlign w:val="bottom"/>
          </w:tcPr>
          <w:p w14:paraId="71D18D4B"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100 vs. 93,0</w:t>
            </w:r>
          </w:p>
        </w:tc>
      </w:tr>
      <w:tr w:rsidR="00547CA2" w:rsidRPr="00126508" w14:paraId="64E95040" w14:textId="77777777" w:rsidTr="0040304A">
        <w:trPr>
          <w:cantSplit/>
        </w:trPr>
        <w:tc>
          <w:tcPr>
            <w:tcW w:w="1032" w:type="dxa"/>
            <w:vMerge/>
            <w:shd w:val="clear" w:color="auto" w:fill="auto"/>
          </w:tcPr>
          <w:p w14:paraId="50253C56" w14:textId="77777777" w:rsidR="00547CA2" w:rsidRPr="00C67B16" w:rsidRDefault="00547CA2" w:rsidP="00463647">
            <w:pPr>
              <w:pStyle w:val="Table"/>
              <w:widowControl w:val="0"/>
              <w:spacing w:before="0" w:after="0"/>
              <w:rPr>
                <w:rFonts w:ascii="Times New Roman" w:hAnsi="Times New Roman"/>
                <w:sz w:val="22"/>
                <w:szCs w:val="22"/>
              </w:rPr>
            </w:pPr>
          </w:p>
        </w:tc>
        <w:tc>
          <w:tcPr>
            <w:tcW w:w="1302" w:type="dxa"/>
            <w:tcBorders>
              <w:top w:val="nil"/>
              <w:bottom w:val="nil"/>
              <w:right w:val="single" w:sz="4" w:space="0" w:color="auto"/>
            </w:tcBorders>
            <w:vAlign w:val="bottom"/>
          </w:tcPr>
          <w:p w14:paraId="3F888E40"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Låg</w:t>
            </w:r>
          </w:p>
        </w:tc>
        <w:tc>
          <w:tcPr>
            <w:tcW w:w="1078" w:type="dxa"/>
            <w:tcBorders>
              <w:top w:val="nil"/>
              <w:left w:val="single" w:sz="4" w:space="0" w:color="auto"/>
              <w:bottom w:val="nil"/>
              <w:right w:val="single" w:sz="4" w:space="0" w:color="auto"/>
            </w:tcBorders>
            <w:vAlign w:val="bottom"/>
          </w:tcPr>
          <w:p w14:paraId="74C61360" w14:textId="77777777" w:rsidR="00547CA2" w:rsidRPr="00C67B16" w:rsidRDefault="00547CA2" w:rsidP="00463647">
            <w:pPr>
              <w:pStyle w:val="Table"/>
              <w:widowControl w:val="0"/>
              <w:spacing w:before="0" w:after="0"/>
              <w:jc w:val="center"/>
              <w:rPr>
                <w:rFonts w:ascii="Times New Roman" w:hAnsi="Times New Roman"/>
                <w:sz w:val="22"/>
                <w:szCs w:val="22"/>
              </w:rPr>
            </w:pPr>
            <w:r w:rsidRPr="00C67B16">
              <w:rPr>
                <w:rFonts w:ascii="Times New Roman" w:hAnsi="Times New Roman"/>
                <w:sz w:val="22"/>
                <w:szCs w:val="22"/>
              </w:rPr>
              <w:t>25,0</w:t>
            </w:r>
          </w:p>
        </w:tc>
        <w:tc>
          <w:tcPr>
            <w:tcW w:w="2008" w:type="dxa"/>
            <w:tcBorders>
              <w:top w:val="nil"/>
              <w:left w:val="single" w:sz="4" w:space="0" w:color="auto"/>
              <w:bottom w:val="nil"/>
              <w:right w:val="single" w:sz="4" w:space="0" w:color="auto"/>
            </w:tcBorders>
            <w:vAlign w:val="bottom"/>
          </w:tcPr>
          <w:p w14:paraId="6DE239D1"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1AD0EF27"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5C73781E"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100 vs. 100</w:t>
            </w:r>
          </w:p>
        </w:tc>
        <w:tc>
          <w:tcPr>
            <w:tcW w:w="1360" w:type="dxa"/>
            <w:tcBorders>
              <w:top w:val="nil"/>
              <w:left w:val="single" w:sz="4" w:space="0" w:color="auto"/>
              <w:bottom w:val="nil"/>
            </w:tcBorders>
            <w:vAlign w:val="bottom"/>
          </w:tcPr>
          <w:p w14:paraId="54D405A4"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97,8 vs. 100</w:t>
            </w:r>
          </w:p>
        </w:tc>
      </w:tr>
      <w:tr w:rsidR="00547CA2" w:rsidRPr="00126508" w14:paraId="0D3A8036" w14:textId="77777777" w:rsidTr="0040304A">
        <w:trPr>
          <w:cantSplit/>
        </w:trPr>
        <w:tc>
          <w:tcPr>
            <w:tcW w:w="1032" w:type="dxa"/>
            <w:vMerge/>
            <w:shd w:val="clear" w:color="auto" w:fill="auto"/>
          </w:tcPr>
          <w:p w14:paraId="65B881C3" w14:textId="77777777" w:rsidR="00547CA2" w:rsidRPr="00C67B16" w:rsidRDefault="00547CA2" w:rsidP="00463647">
            <w:pPr>
              <w:pStyle w:val="Table"/>
              <w:widowControl w:val="0"/>
              <w:spacing w:before="0" w:after="0"/>
              <w:rPr>
                <w:rFonts w:ascii="Times New Roman" w:hAnsi="Times New Roman"/>
                <w:b/>
                <w:sz w:val="22"/>
                <w:szCs w:val="22"/>
              </w:rPr>
            </w:pPr>
          </w:p>
        </w:tc>
        <w:tc>
          <w:tcPr>
            <w:tcW w:w="1302" w:type="dxa"/>
            <w:tcBorders>
              <w:top w:val="nil"/>
              <w:bottom w:val="nil"/>
              <w:right w:val="single" w:sz="4" w:space="0" w:color="auto"/>
            </w:tcBorders>
            <w:vAlign w:val="bottom"/>
          </w:tcPr>
          <w:p w14:paraId="7256FFDC"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Måttlig</w:t>
            </w:r>
          </w:p>
        </w:tc>
        <w:tc>
          <w:tcPr>
            <w:tcW w:w="1078" w:type="dxa"/>
            <w:tcBorders>
              <w:top w:val="nil"/>
              <w:left w:val="single" w:sz="4" w:space="0" w:color="auto"/>
              <w:bottom w:val="nil"/>
              <w:right w:val="single" w:sz="4" w:space="0" w:color="auto"/>
            </w:tcBorders>
            <w:vAlign w:val="bottom"/>
          </w:tcPr>
          <w:p w14:paraId="0EA29BF4" w14:textId="77777777" w:rsidR="00547CA2" w:rsidRPr="00C67B16" w:rsidRDefault="00547CA2" w:rsidP="00463647">
            <w:pPr>
              <w:pStyle w:val="Table"/>
              <w:widowControl w:val="0"/>
              <w:spacing w:before="0" w:after="0"/>
              <w:jc w:val="center"/>
              <w:rPr>
                <w:rFonts w:ascii="Times New Roman" w:hAnsi="Times New Roman"/>
                <w:sz w:val="22"/>
                <w:szCs w:val="22"/>
              </w:rPr>
            </w:pPr>
            <w:r w:rsidRPr="00C67B16">
              <w:rPr>
                <w:rFonts w:ascii="Times New Roman" w:hAnsi="Times New Roman"/>
                <w:sz w:val="22"/>
                <w:szCs w:val="22"/>
              </w:rPr>
              <w:t>24,6</w:t>
            </w:r>
          </w:p>
        </w:tc>
        <w:tc>
          <w:tcPr>
            <w:tcW w:w="2008" w:type="dxa"/>
            <w:tcBorders>
              <w:top w:val="nil"/>
              <w:left w:val="single" w:sz="4" w:space="0" w:color="auto"/>
              <w:bottom w:val="nil"/>
              <w:right w:val="single" w:sz="4" w:space="0" w:color="auto"/>
            </w:tcBorders>
            <w:vAlign w:val="bottom"/>
          </w:tcPr>
          <w:p w14:paraId="0F458B07"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79F34589"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04BF893E"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97,9 vs. 90,8</w:t>
            </w:r>
          </w:p>
        </w:tc>
        <w:tc>
          <w:tcPr>
            <w:tcW w:w="1360" w:type="dxa"/>
            <w:tcBorders>
              <w:top w:val="nil"/>
              <w:left w:val="single" w:sz="4" w:space="0" w:color="auto"/>
              <w:bottom w:val="nil"/>
            </w:tcBorders>
            <w:vAlign w:val="bottom"/>
          </w:tcPr>
          <w:p w14:paraId="4300B55D"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97,9 vs. 73,3</w:t>
            </w:r>
          </w:p>
        </w:tc>
      </w:tr>
      <w:tr w:rsidR="00547CA2" w:rsidRPr="00126508" w14:paraId="7C022D26" w14:textId="77777777" w:rsidTr="0040304A">
        <w:trPr>
          <w:cantSplit/>
        </w:trPr>
        <w:tc>
          <w:tcPr>
            <w:tcW w:w="1032" w:type="dxa"/>
            <w:vMerge/>
            <w:tcBorders>
              <w:bottom w:val="single" w:sz="4" w:space="0" w:color="auto"/>
            </w:tcBorders>
            <w:shd w:val="clear" w:color="auto" w:fill="auto"/>
          </w:tcPr>
          <w:p w14:paraId="18555FC7" w14:textId="77777777" w:rsidR="00547CA2" w:rsidRPr="00C67B16" w:rsidRDefault="00547CA2" w:rsidP="00463647">
            <w:pPr>
              <w:pStyle w:val="Table"/>
              <w:widowControl w:val="0"/>
              <w:spacing w:before="0" w:after="0"/>
              <w:rPr>
                <w:rFonts w:ascii="Times New Roman" w:hAnsi="Times New Roman"/>
                <w:sz w:val="22"/>
                <w:szCs w:val="22"/>
              </w:rPr>
            </w:pPr>
          </w:p>
        </w:tc>
        <w:tc>
          <w:tcPr>
            <w:tcW w:w="1302" w:type="dxa"/>
            <w:tcBorders>
              <w:top w:val="nil"/>
              <w:bottom w:val="single" w:sz="4" w:space="0" w:color="auto"/>
              <w:right w:val="single" w:sz="4" w:space="0" w:color="auto"/>
            </w:tcBorders>
            <w:vAlign w:val="bottom"/>
          </w:tcPr>
          <w:p w14:paraId="1E4805B3"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Hög</w:t>
            </w:r>
          </w:p>
        </w:tc>
        <w:tc>
          <w:tcPr>
            <w:tcW w:w="1078" w:type="dxa"/>
            <w:tcBorders>
              <w:top w:val="nil"/>
              <w:left w:val="single" w:sz="4" w:space="0" w:color="auto"/>
              <w:bottom w:val="single" w:sz="4" w:space="0" w:color="auto"/>
              <w:right w:val="single" w:sz="4" w:space="0" w:color="auto"/>
            </w:tcBorders>
            <w:vAlign w:val="bottom"/>
          </w:tcPr>
          <w:p w14:paraId="4C0F648A" w14:textId="77777777" w:rsidR="00547CA2" w:rsidRPr="00C67B16" w:rsidRDefault="00547CA2" w:rsidP="00463647">
            <w:pPr>
              <w:pStyle w:val="Table"/>
              <w:widowControl w:val="0"/>
              <w:spacing w:before="0" w:after="0"/>
              <w:ind w:right="-3"/>
              <w:jc w:val="center"/>
              <w:rPr>
                <w:rFonts w:ascii="Times New Roman" w:hAnsi="Times New Roman"/>
                <w:sz w:val="22"/>
                <w:szCs w:val="22"/>
              </w:rPr>
            </w:pPr>
            <w:r w:rsidRPr="00C67B16">
              <w:rPr>
                <w:rFonts w:ascii="Times New Roman" w:hAnsi="Times New Roman"/>
                <w:sz w:val="22"/>
                <w:szCs w:val="22"/>
              </w:rPr>
              <w:t>29,7</w:t>
            </w:r>
          </w:p>
        </w:tc>
        <w:tc>
          <w:tcPr>
            <w:tcW w:w="2008" w:type="dxa"/>
            <w:tcBorders>
              <w:top w:val="nil"/>
              <w:left w:val="single" w:sz="4" w:space="0" w:color="auto"/>
              <w:bottom w:val="single" w:sz="4" w:space="0" w:color="auto"/>
              <w:right w:val="single" w:sz="4" w:space="0" w:color="auto"/>
            </w:tcBorders>
            <w:vAlign w:val="bottom"/>
          </w:tcPr>
          <w:p w14:paraId="0590EB09"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23957723"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38083C67"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2F020839" w14:textId="77777777" w:rsidR="00547CA2" w:rsidRPr="00C67B16" w:rsidRDefault="00547CA2" w:rsidP="00463647">
            <w:pPr>
              <w:pStyle w:val="Table"/>
              <w:widowControl w:val="0"/>
              <w:spacing w:before="0" w:after="0"/>
              <w:rPr>
                <w:rFonts w:ascii="Times New Roman" w:hAnsi="Times New Roman"/>
                <w:sz w:val="22"/>
                <w:szCs w:val="22"/>
              </w:rPr>
            </w:pPr>
            <w:r w:rsidRPr="00C67B16">
              <w:rPr>
                <w:rFonts w:ascii="Times New Roman" w:hAnsi="Times New Roman"/>
                <w:sz w:val="22"/>
                <w:szCs w:val="22"/>
              </w:rPr>
              <w:t>79,9 vs. 41,5</w:t>
            </w:r>
          </w:p>
        </w:tc>
      </w:tr>
    </w:tbl>
    <w:p w14:paraId="7A8AFEB7" w14:textId="77777777" w:rsidR="00547CA2" w:rsidRPr="002A4FE7" w:rsidRDefault="00547CA2" w:rsidP="00463647">
      <w:pPr>
        <w:pStyle w:val="TextChar"/>
        <w:keepNext/>
        <w:keepLines/>
        <w:widowControl w:val="0"/>
        <w:spacing w:before="0"/>
        <w:rPr>
          <w:sz w:val="22"/>
          <w:szCs w:val="22"/>
          <w:lang w:val="sv-SE"/>
        </w:rPr>
      </w:pPr>
      <w:r w:rsidRPr="002A4FE7">
        <w:rPr>
          <w:sz w:val="22"/>
          <w:szCs w:val="22"/>
          <w:lang w:val="sv-SE"/>
        </w:rPr>
        <w:t>* Hel uppföljningsperiod; NE – Not estimable (Går ej att uppskatta)</w:t>
      </w:r>
    </w:p>
    <w:p w14:paraId="415AB2AF" w14:textId="77777777" w:rsidR="00547CA2" w:rsidRPr="002A4FE7" w:rsidRDefault="00547CA2" w:rsidP="00463647">
      <w:pPr>
        <w:pStyle w:val="EndnoteText"/>
        <w:widowControl w:val="0"/>
        <w:tabs>
          <w:tab w:val="clear" w:pos="567"/>
        </w:tabs>
        <w:rPr>
          <w:rFonts w:eastAsia="MS Mincho"/>
          <w:lang w:val="sv-SE" w:eastAsia="ja-JP"/>
        </w:rPr>
      </w:pPr>
    </w:p>
    <w:p w14:paraId="4F85B552" w14:textId="77777777" w:rsidR="00547CA2" w:rsidRPr="001713FB" w:rsidRDefault="00547CA2" w:rsidP="00463647">
      <w:pPr>
        <w:widowControl w:val="0"/>
        <w:tabs>
          <w:tab w:val="clear" w:pos="567"/>
        </w:tabs>
        <w:spacing w:line="240" w:lineRule="auto"/>
        <w:rPr>
          <w:rFonts w:eastAsia="MS Mincho"/>
          <w:lang w:val="sv-SE"/>
        </w:rPr>
      </w:pPr>
      <w:r w:rsidRPr="00217392">
        <w:rPr>
          <w:rFonts w:eastAsia="MS Mincho"/>
          <w:szCs w:val="22"/>
          <w:lang w:val="sv-SE" w:eastAsia="ja-JP"/>
        </w:rPr>
        <w:t>En andra multicenter, öppen fas III studie (SSG XVIII/AIO</w:t>
      </w:r>
      <w:r>
        <w:rPr>
          <w:rFonts w:eastAsia="MS Mincho"/>
          <w:szCs w:val="22"/>
          <w:lang w:val="sv-SE" w:eastAsia="ja-JP"/>
        </w:rPr>
        <w:t>) jämförde 12 månaders behandling mot 36 månaders behandling med Glivec 400 mg/dag hos patienter efter kirurgisk resektion av GIST och en av följande: tumör</w:t>
      </w:r>
      <w:r w:rsidRPr="00991333">
        <w:rPr>
          <w:rFonts w:eastAsia="MS Mincho"/>
          <w:iCs/>
          <w:szCs w:val="22"/>
          <w:lang w:val="sv-SE" w:eastAsia="ja-JP"/>
        </w:rPr>
        <w:t>diameter &gt; 5</w:t>
      </w:r>
      <w:r w:rsidRPr="00991333">
        <w:rPr>
          <w:rFonts w:eastAsia="MS Mincho"/>
          <w:szCs w:val="22"/>
          <w:lang w:val="sv-SE" w:eastAsia="ja-JP"/>
        </w:rPr>
        <w:t> </w:t>
      </w:r>
      <w:r w:rsidRPr="00991333">
        <w:rPr>
          <w:rFonts w:eastAsia="MS Mincho"/>
          <w:iCs/>
          <w:szCs w:val="22"/>
          <w:lang w:val="sv-SE" w:eastAsia="ja-JP"/>
        </w:rPr>
        <w:t>cm</w:t>
      </w:r>
      <w:r>
        <w:rPr>
          <w:rFonts w:eastAsia="MS Mincho"/>
          <w:iCs/>
          <w:szCs w:val="22"/>
          <w:lang w:val="sv-SE" w:eastAsia="ja-JP"/>
        </w:rPr>
        <w:t xml:space="preserve"> och </w:t>
      </w:r>
      <w:r w:rsidRPr="0023047A">
        <w:rPr>
          <w:rFonts w:eastAsia="MS Mincho"/>
          <w:iCs/>
          <w:szCs w:val="22"/>
          <w:lang w:val="sv-SE" w:eastAsia="ja-JP"/>
        </w:rPr>
        <w:t>mitosantal &gt; 5/50 high power fields (HPF);</w:t>
      </w:r>
      <w:r>
        <w:rPr>
          <w:rFonts w:eastAsia="MS Mincho"/>
          <w:iCs/>
          <w:szCs w:val="22"/>
          <w:lang w:val="sv-SE" w:eastAsia="ja-JP"/>
        </w:rPr>
        <w:t xml:space="preserve"> eller </w:t>
      </w:r>
      <w:r w:rsidRPr="0023047A">
        <w:rPr>
          <w:rFonts w:eastAsia="MS Mincho"/>
          <w:iCs/>
          <w:szCs w:val="22"/>
          <w:lang w:val="sv-SE" w:eastAsia="ja-JP"/>
        </w:rPr>
        <w:t>tumördiameter &gt; 10 cm och oavsett mitosantal eller oavsett tumörstorlek med mitosantal &gt; 10/50 HPF</w:t>
      </w:r>
      <w:r>
        <w:rPr>
          <w:rFonts w:eastAsia="MS Mincho"/>
          <w:iCs/>
          <w:szCs w:val="22"/>
          <w:lang w:val="sv-SE" w:eastAsia="ja-JP"/>
        </w:rPr>
        <w:t xml:space="preserve"> eller tumörer som brustit in i bukhålan. Sammanlagt 397 patienter hade samtyckt och randomiserats till studien (199 patienter i 12-månadersarmen och 198</w:t>
      </w:r>
      <w:r w:rsidRPr="001713FB">
        <w:rPr>
          <w:rFonts w:eastAsia="MS Mincho"/>
          <w:lang w:val="sv-SE"/>
        </w:rPr>
        <w:t> patienter i 36-månadersarmen), medianåldern var 61 år</w:t>
      </w:r>
      <w:r>
        <w:rPr>
          <w:rFonts w:eastAsia="MS Mincho"/>
          <w:lang w:val="sv-SE"/>
        </w:rPr>
        <w:t xml:space="preserve"> (intervall 22 till 84 år). Mediantiden för uppföljning var 54 månader (från randomiseringsdatum till sista data) med totalt 83 månader mellan randomisering av första patient till avbrytande.</w:t>
      </w:r>
    </w:p>
    <w:p w14:paraId="5789EB25" w14:textId="77777777" w:rsidR="00547CA2" w:rsidRPr="00217392" w:rsidRDefault="00547CA2" w:rsidP="00463647">
      <w:pPr>
        <w:widowControl w:val="0"/>
        <w:tabs>
          <w:tab w:val="clear" w:pos="567"/>
        </w:tabs>
        <w:spacing w:line="240" w:lineRule="auto"/>
        <w:rPr>
          <w:rFonts w:eastAsia="MS Mincho"/>
          <w:szCs w:val="22"/>
          <w:lang w:val="sv-SE" w:eastAsia="ja-JP"/>
        </w:rPr>
      </w:pPr>
    </w:p>
    <w:p w14:paraId="610EDAE8" w14:textId="77777777" w:rsidR="00547CA2" w:rsidRPr="001713FB" w:rsidRDefault="00547CA2" w:rsidP="00463647">
      <w:pPr>
        <w:widowControl w:val="0"/>
        <w:tabs>
          <w:tab w:val="clear" w:pos="567"/>
        </w:tabs>
        <w:spacing w:line="240" w:lineRule="auto"/>
        <w:rPr>
          <w:rFonts w:eastAsia="MS Mincho"/>
          <w:szCs w:val="22"/>
          <w:lang w:val="sv-SE" w:eastAsia="ja-JP"/>
        </w:rPr>
      </w:pPr>
      <w:r>
        <w:rPr>
          <w:rFonts w:eastAsia="MS Mincho"/>
          <w:szCs w:val="22"/>
          <w:lang w:val="sv-SE" w:eastAsia="ja-JP"/>
        </w:rPr>
        <w:t>Studiens primära endpoint</w:t>
      </w:r>
      <w:r w:rsidRPr="001713FB">
        <w:rPr>
          <w:rFonts w:eastAsia="MS Mincho"/>
          <w:szCs w:val="22"/>
          <w:lang w:val="sv-SE" w:eastAsia="ja-JP"/>
        </w:rPr>
        <w:t xml:space="preserve"> var </w:t>
      </w:r>
      <w:r>
        <w:rPr>
          <w:rFonts w:eastAsia="MS Mincho"/>
          <w:szCs w:val="22"/>
          <w:lang w:val="sv-SE" w:eastAsia="ja-JP"/>
        </w:rPr>
        <w:t xml:space="preserve">återfallsfri </w:t>
      </w:r>
      <w:r w:rsidRPr="00026973">
        <w:rPr>
          <w:rFonts w:eastAsia="MS Mincho"/>
          <w:szCs w:val="22"/>
          <w:lang w:val="sv-SE" w:eastAsia="ja-JP"/>
        </w:rPr>
        <w:t>överlevnad (RFS), definierad</w:t>
      </w:r>
      <w:r>
        <w:rPr>
          <w:rFonts w:eastAsia="MS Mincho"/>
          <w:szCs w:val="22"/>
          <w:lang w:val="sv-SE" w:eastAsia="ja-JP"/>
        </w:rPr>
        <w:t xml:space="preserve"> som tiden från randomiseringsdagen till dagen för återfall eller död oavsett orsak.</w:t>
      </w:r>
    </w:p>
    <w:p w14:paraId="11F0E8C6" w14:textId="77777777" w:rsidR="00547CA2" w:rsidRDefault="00547CA2" w:rsidP="00463647">
      <w:pPr>
        <w:widowControl w:val="0"/>
        <w:tabs>
          <w:tab w:val="clear" w:pos="567"/>
        </w:tabs>
        <w:spacing w:line="240" w:lineRule="auto"/>
        <w:rPr>
          <w:rFonts w:eastAsia="MS Mincho"/>
          <w:szCs w:val="22"/>
          <w:lang w:val="sv-SE" w:eastAsia="ja-JP"/>
        </w:rPr>
      </w:pPr>
    </w:p>
    <w:p w14:paraId="621EBC62" w14:textId="77777777" w:rsidR="00547CA2" w:rsidRDefault="00547CA2" w:rsidP="00463647">
      <w:pPr>
        <w:widowControl w:val="0"/>
        <w:tabs>
          <w:tab w:val="clear" w:pos="567"/>
        </w:tabs>
        <w:spacing w:line="240" w:lineRule="auto"/>
        <w:rPr>
          <w:rFonts w:eastAsia="MS Mincho"/>
          <w:iCs/>
          <w:color w:val="000000"/>
          <w:szCs w:val="22"/>
          <w:lang w:val="sv-SE" w:eastAsia="ja-JP"/>
        </w:rPr>
      </w:pPr>
      <w:r>
        <w:rPr>
          <w:rFonts w:eastAsia="MS Mincho"/>
          <w:szCs w:val="22"/>
          <w:lang w:val="sv-SE" w:eastAsia="ja-JP"/>
        </w:rPr>
        <w:t xml:space="preserve">Trettiosex (36) månaders behandling med Glivec </w:t>
      </w:r>
      <w:r w:rsidRPr="00026973">
        <w:rPr>
          <w:rFonts w:eastAsia="MS Mincho"/>
          <w:szCs w:val="22"/>
          <w:lang w:val="sv-SE" w:eastAsia="ja-JP"/>
        </w:rPr>
        <w:t>förlängde signifikant RFS jämfört med 12</w:t>
      </w:r>
      <w:r>
        <w:rPr>
          <w:rFonts w:eastAsia="MS Mincho"/>
          <w:szCs w:val="22"/>
          <w:lang w:val="sv-SE" w:eastAsia="ja-JP"/>
        </w:rPr>
        <w:t xml:space="preserve"> </w:t>
      </w:r>
      <w:r w:rsidRPr="00026973">
        <w:rPr>
          <w:rFonts w:eastAsia="MS Mincho"/>
          <w:szCs w:val="22"/>
          <w:lang w:val="sv-SE" w:eastAsia="ja-JP"/>
        </w:rPr>
        <w:t xml:space="preserve">månaders behandling med Glivec (hazard ratio (HR) = </w:t>
      </w:r>
      <w:r w:rsidRPr="00026973">
        <w:rPr>
          <w:rFonts w:eastAsia="MS Mincho"/>
          <w:iCs/>
          <w:color w:val="000000"/>
          <w:szCs w:val="22"/>
          <w:lang w:val="sv-SE" w:eastAsia="ja-JP"/>
        </w:rPr>
        <w:t>0,46 [0,32-0,65], p&lt;0</w:t>
      </w:r>
      <w:r>
        <w:rPr>
          <w:rFonts w:eastAsia="MS Mincho"/>
          <w:iCs/>
          <w:color w:val="000000"/>
          <w:szCs w:val="22"/>
          <w:lang w:val="sv-SE" w:eastAsia="ja-JP"/>
        </w:rPr>
        <w:t>,</w:t>
      </w:r>
      <w:r w:rsidRPr="00026973">
        <w:rPr>
          <w:rFonts w:eastAsia="MS Mincho"/>
          <w:iCs/>
          <w:color w:val="000000"/>
          <w:szCs w:val="22"/>
          <w:lang w:val="sv-SE" w:eastAsia="ja-JP"/>
        </w:rPr>
        <w:t>0001</w:t>
      </w:r>
      <w:r>
        <w:rPr>
          <w:rFonts w:eastAsia="MS Mincho"/>
          <w:iCs/>
          <w:color w:val="000000"/>
          <w:szCs w:val="22"/>
          <w:lang w:val="sv-SE" w:eastAsia="ja-JP"/>
        </w:rPr>
        <w:t>) (Tabell </w:t>
      </w:r>
      <w:r w:rsidR="00BA7C65">
        <w:rPr>
          <w:rFonts w:eastAsia="MS Mincho"/>
          <w:iCs/>
          <w:color w:val="000000"/>
          <w:szCs w:val="22"/>
          <w:lang w:val="sv-SE" w:eastAsia="ja-JP"/>
        </w:rPr>
        <w:t>8</w:t>
      </w:r>
      <w:r>
        <w:rPr>
          <w:rFonts w:eastAsia="MS Mincho"/>
          <w:iCs/>
          <w:color w:val="000000"/>
          <w:szCs w:val="22"/>
          <w:lang w:val="sv-SE" w:eastAsia="ja-JP"/>
        </w:rPr>
        <w:t>, Figur 1)</w:t>
      </w:r>
      <w:r w:rsidRPr="00026973">
        <w:rPr>
          <w:rFonts w:eastAsia="MS Mincho"/>
          <w:iCs/>
          <w:color w:val="000000"/>
          <w:szCs w:val="22"/>
          <w:lang w:val="sv-SE" w:eastAsia="ja-JP"/>
        </w:rPr>
        <w:t>.</w:t>
      </w:r>
    </w:p>
    <w:p w14:paraId="502DEE3E" w14:textId="77777777" w:rsidR="00547CA2" w:rsidRPr="0093797A" w:rsidRDefault="00547CA2" w:rsidP="00463647">
      <w:pPr>
        <w:widowControl w:val="0"/>
        <w:tabs>
          <w:tab w:val="clear" w:pos="567"/>
        </w:tabs>
        <w:spacing w:line="240" w:lineRule="auto"/>
        <w:rPr>
          <w:rFonts w:eastAsia="MS Mincho"/>
          <w:szCs w:val="22"/>
          <w:lang w:val="sv-SE" w:eastAsia="ja-JP"/>
        </w:rPr>
      </w:pPr>
    </w:p>
    <w:p w14:paraId="0D1996EB" w14:textId="77777777" w:rsidR="00547CA2" w:rsidRDefault="00547CA2" w:rsidP="00463647">
      <w:pPr>
        <w:widowControl w:val="0"/>
        <w:tabs>
          <w:tab w:val="clear" w:pos="567"/>
        </w:tabs>
        <w:spacing w:line="240" w:lineRule="auto"/>
        <w:rPr>
          <w:rFonts w:eastAsia="MS Mincho"/>
          <w:iCs/>
          <w:color w:val="000000"/>
          <w:szCs w:val="22"/>
          <w:lang w:val="sv-SE" w:eastAsia="ja-JP"/>
        </w:rPr>
      </w:pPr>
      <w:r w:rsidRPr="00E73977">
        <w:rPr>
          <w:rFonts w:eastAsia="MS Mincho"/>
          <w:iCs/>
          <w:szCs w:val="22"/>
          <w:lang w:val="sv-SE" w:eastAsia="ja-JP"/>
        </w:rPr>
        <w:t>Dessutom förlängde 36-månaders behandling med Glivec signifikant</w:t>
      </w:r>
      <w:r>
        <w:rPr>
          <w:rFonts w:eastAsia="MS Mincho"/>
          <w:iCs/>
          <w:szCs w:val="22"/>
          <w:lang w:val="sv-SE" w:eastAsia="ja-JP"/>
        </w:rPr>
        <w:t xml:space="preserve"> den totala överlevnaden (OS) jämfört med 12-månaders behandling med Glivec (HR = </w:t>
      </w:r>
      <w:r>
        <w:rPr>
          <w:rFonts w:eastAsia="MS Mincho"/>
          <w:iCs/>
          <w:color w:val="000000"/>
          <w:szCs w:val="22"/>
          <w:lang w:val="sv-SE" w:eastAsia="ja-JP"/>
        </w:rPr>
        <w:t>0,45 [0,22-0,89], p=0,0187) (Tabell</w:t>
      </w:r>
      <w:r w:rsidRPr="00E73977">
        <w:rPr>
          <w:rFonts w:eastAsia="MS Mincho"/>
          <w:color w:val="000000"/>
          <w:szCs w:val="22"/>
          <w:lang w:val="sv-SE" w:eastAsia="ja-JP"/>
        </w:rPr>
        <w:t> </w:t>
      </w:r>
      <w:r w:rsidR="00BA7C65">
        <w:rPr>
          <w:rFonts w:eastAsia="MS Mincho"/>
          <w:iCs/>
          <w:color w:val="000000"/>
          <w:szCs w:val="22"/>
          <w:lang w:val="sv-SE" w:eastAsia="ja-JP"/>
        </w:rPr>
        <w:t>8</w:t>
      </w:r>
      <w:r>
        <w:rPr>
          <w:rFonts w:eastAsia="MS Mincho"/>
          <w:iCs/>
          <w:color w:val="000000"/>
          <w:szCs w:val="22"/>
          <w:lang w:val="sv-SE" w:eastAsia="ja-JP"/>
        </w:rPr>
        <w:t>, Figur</w:t>
      </w:r>
      <w:r w:rsidRPr="00E73977">
        <w:rPr>
          <w:rFonts w:eastAsia="MS Mincho"/>
          <w:iCs/>
          <w:color w:val="000000"/>
          <w:szCs w:val="22"/>
          <w:lang w:val="sv-SE" w:eastAsia="ja-JP"/>
        </w:rPr>
        <w:t> 2).</w:t>
      </w:r>
    </w:p>
    <w:p w14:paraId="29BF7968" w14:textId="77777777" w:rsidR="00547CA2" w:rsidRDefault="00547CA2" w:rsidP="00463647">
      <w:pPr>
        <w:widowControl w:val="0"/>
        <w:tabs>
          <w:tab w:val="clear" w:pos="567"/>
        </w:tabs>
        <w:spacing w:line="240" w:lineRule="auto"/>
        <w:rPr>
          <w:rFonts w:eastAsia="MS Mincho"/>
          <w:iCs/>
          <w:color w:val="000000"/>
          <w:szCs w:val="22"/>
          <w:lang w:val="sv-SE" w:eastAsia="ja-JP"/>
        </w:rPr>
      </w:pPr>
    </w:p>
    <w:p w14:paraId="31A161ED" w14:textId="77777777" w:rsidR="00547CA2" w:rsidRDefault="00547CA2" w:rsidP="00463647">
      <w:pPr>
        <w:widowControl w:val="0"/>
        <w:tabs>
          <w:tab w:val="clear" w:pos="567"/>
        </w:tabs>
        <w:spacing w:line="240" w:lineRule="auto"/>
        <w:rPr>
          <w:rFonts w:eastAsia="MS Mincho"/>
          <w:iCs/>
          <w:color w:val="000000"/>
          <w:szCs w:val="22"/>
          <w:lang w:val="sv-SE" w:eastAsia="ja-JP"/>
        </w:rPr>
      </w:pPr>
      <w:r w:rsidRPr="00C22B3A">
        <w:rPr>
          <w:rFonts w:eastAsia="MS Mincho"/>
          <w:iCs/>
          <w:color w:val="000000"/>
          <w:szCs w:val="22"/>
          <w:lang w:val="sv-SE" w:eastAsia="ja-JP"/>
        </w:rPr>
        <w:t>En förlängd behandlingstid (&gt; 36</w:t>
      </w:r>
      <w:r>
        <w:rPr>
          <w:rFonts w:eastAsia="MS Mincho"/>
          <w:iCs/>
          <w:color w:val="000000"/>
          <w:szCs w:val="22"/>
          <w:lang w:val="sv-SE" w:eastAsia="ja-JP"/>
        </w:rPr>
        <w:t> </w:t>
      </w:r>
      <w:r w:rsidRPr="00C22B3A">
        <w:rPr>
          <w:rFonts w:eastAsia="MS Mincho"/>
          <w:iCs/>
          <w:color w:val="000000"/>
          <w:szCs w:val="22"/>
          <w:lang w:val="sv-SE" w:eastAsia="ja-JP"/>
        </w:rPr>
        <w:t>månader) kan fördröja uppkomsten av ytterligare återfall, men effekterna av denna observation på den totala överlevnaden är fortfarande okänd.</w:t>
      </w:r>
    </w:p>
    <w:p w14:paraId="17367E18" w14:textId="77777777" w:rsidR="00547CA2" w:rsidRDefault="00547CA2" w:rsidP="00463647">
      <w:pPr>
        <w:widowControl w:val="0"/>
        <w:tabs>
          <w:tab w:val="clear" w:pos="567"/>
        </w:tabs>
        <w:spacing w:line="240" w:lineRule="auto"/>
        <w:rPr>
          <w:rFonts w:eastAsia="MS Mincho"/>
          <w:iCs/>
          <w:color w:val="000000"/>
          <w:szCs w:val="22"/>
          <w:lang w:val="sv-SE" w:eastAsia="ja-JP"/>
        </w:rPr>
      </w:pPr>
    </w:p>
    <w:p w14:paraId="20900CA7" w14:textId="77777777" w:rsidR="00547CA2" w:rsidRDefault="00547CA2" w:rsidP="00463647">
      <w:pPr>
        <w:widowControl w:val="0"/>
        <w:tabs>
          <w:tab w:val="clear" w:pos="567"/>
        </w:tabs>
        <w:spacing w:line="240" w:lineRule="auto"/>
        <w:rPr>
          <w:rFonts w:eastAsia="MS Mincho"/>
          <w:iCs/>
          <w:color w:val="000000"/>
          <w:szCs w:val="22"/>
          <w:lang w:val="sv-SE" w:eastAsia="ja-JP"/>
        </w:rPr>
      </w:pPr>
      <w:r>
        <w:rPr>
          <w:rFonts w:eastAsia="MS Mincho"/>
          <w:iCs/>
          <w:color w:val="000000"/>
          <w:szCs w:val="22"/>
          <w:lang w:val="sv-SE" w:eastAsia="ja-JP"/>
        </w:rPr>
        <w:t>Totala antalet dödsfall var 25 för 12-månader behandlingsarmen och 12 för 36-månader behandlingsarmen.</w:t>
      </w:r>
    </w:p>
    <w:p w14:paraId="51422368" w14:textId="77777777" w:rsidR="00547CA2" w:rsidRDefault="00547CA2" w:rsidP="00463647">
      <w:pPr>
        <w:widowControl w:val="0"/>
        <w:tabs>
          <w:tab w:val="clear" w:pos="567"/>
        </w:tabs>
        <w:spacing w:line="240" w:lineRule="auto"/>
        <w:rPr>
          <w:rFonts w:eastAsia="MS Mincho"/>
          <w:iCs/>
          <w:color w:val="000000"/>
          <w:szCs w:val="22"/>
          <w:lang w:val="sv-SE" w:eastAsia="ja-JP"/>
        </w:rPr>
      </w:pPr>
    </w:p>
    <w:p w14:paraId="71552438" w14:textId="77777777" w:rsidR="00547CA2" w:rsidRPr="00E73977" w:rsidRDefault="00547CA2" w:rsidP="00463647">
      <w:pPr>
        <w:widowControl w:val="0"/>
        <w:tabs>
          <w:tab w:val="clear" w:pos="567"/>
        </w:tabs>
        <w:spacing w:line="240" w:lineRule="auto"/>
        <w:rPr>
          <w:rFonts w:eastAsia="MS Mincho"/>
          <w:iCs/>
          <w:szCs w:val="22"/>
          <w:lang w:val="sv-SE" w:eastAsia="ja-JP"/>
        </w:rPr>
      </w:pPr>
      <w:r w:rsidRPr="00C22B3A">
        <w:rPr>
          <w:rFonts w:eastAsia="MS Mincho"/>
          <w:iCs/>
          <w:color w:val="000000"/>
          <w:szCs w:val="22"/>
          <w:lang w:val="sv-SE" w:eastAsia="ja-JP"/>
        </w:rPr>
        <w:t>Behandling med imatinib i 36 månader var överlägsen behandling i 12 månader enligt ITT-analysen, d.v.s. hela studiepopulationen inkluderad. I en planerad subgruppsanalys baserad på mutationstyp, var HR för RFS för 36-månaders behandling av patienter med mutationer i exon 11 0,35 [95</w:t>
      </w:r>
      <w:r>
        <w:rPr>
          <w:rFonts w:eastAsia="MS Mincho"/>
          <w:iCs/>
          <w:color w:val="000000"/>
          <w:szCs w:val="22"/>
          <w:lang w:val="sv-SE" w:eastAsia="ja-JP"/>
        </w:rPr>
        <w:t> </w:t>
      </w:r>
      <w:r w:rsidRPr="00C22B3A">
        <w:rPr>
          <w:rFonts w:eastAsia="MS Mincho"/>
          <w:iCs/>
          <w:color w:val="000000"/>
          <w:szCs w:val="22"/>
          <w:lang w:val="sv-SE" w:eastAsia="ja-JP"/>
        </w:rPr>
        <w:t xml:space="preserve">% </w:t>
      </w:r>
      <w:r>
        <w:rPr>
          <w:rFonts w:eastAsia="MS Mincho"/>
          <w:iCs/>
          <w:color w:val="000000"/>
          <w:szCs w:val="22"/>
          <w:lang w:val="sv-SE" w:eastAsia="ja-JP"/>
        </w:rPr>
        <w:t>K</w:t>
      </w:r>
      <w:r w:rsidRPr="00C22B3A">
        <w:rPr>
          <w:rFonts w:eastAsia="MS Mincho"/>
          <w:iCs/>
          <w:color w:val="000000"/>
          <w:szCs w:val="22"/>
          <w:lang w:val="sv-SE" w:eastAsia="ja-JP"/>
        </w:rPr>
        <w:t>I: 0,22, 0,56]. Inga slutsatser kan dras för andra mindre vanliga mutationsundergrupper på grund av det låga antalet observerade händelser.</w:t>
      </w:r>
    </w:p>
    <w:p w14:paraId="6A5B7792" w14:textId="77777777" w:rsidR="00547CA2" w:rsidRPr="00A30231" w:rsidRDefault="00547CA2" w:rsidP="00463647">
      <w:pPr>
        <w:widowControl w:val="0"/>
        <w:tabs>
          <w:tab w:val="clear" w:pos="567"/>
        </w:tabs>
        <w:spacing w:line="240" w:lineRule="auto"/>
        <w:rPr>
          <w:rFonts w:eastAsia="MS Mincho"/>
          <w:iCs/>
          <w:szCs w:val="22"/>
          <w:lang w:val="sv-SE" w:eastAsia="ja-JP"/>
        </w:rPr>
      </w:pPr>
    </w:p>
    <w:p w14:paraId="5207065D" w14:textId="77777777" w:rsidR="00547CA2" w:rsidRPr="00E73977" w:rsidRDefault="00547CA2" w:rsidP="00463647">
      <w:pPr>
        <w:keepNext/>
        <w:keepLines/>
        <w:widowControl w:val="0"/>
        <w:tabs>
          <w:tab w:val="clear" w:pos="567"/>
        </w:tabs>
        <w:spacing w:line="240" w:lineRule="auto"/>
        <w:ind w:left="1134" w:hanging="1134"/>
        <w:rPr>
          <w:rFonts w:eastAsia="MS Mincho"/>
          <w:b/>
          <w:szCs w:val="22"/>
          <w:lang w:val="sv-SE" w:eastAsia="ja-JP"/>
        </w:rPr>
      </w:pPr>
      <w:r w:rsidRPr="00E73977">
        <w:rPr>
          <w:rFonts w:eastAsia="MS Mincho"/>
          <w:b/>
          <w:szCs w:val="22"/>
          <w:lang w:val="sv-SE"/>
        </w:rPr>
        <w:lastRenderedPageBreak/>
        <w:t>Tabell </w:t>
      </w:r>
      <w:r w:rsidR="00BA7C65">
        <w:rPr>
          <w:rFonts w:eastAsia="MS Mincho"/>
          <w:b/>
          <w:szCs w:val="22"/>
          <w:lang w:val="sv-SE"/>
        </w:rPr>
        <w:t>8</w:t>
      </w:r>
      <w:r w:rsidRPr="00E73977">
        <w:rPr>
          <w:rFonts w:eastAsia="MS Mincho"/>
          <w:szCs w:val="22"/>
          <w:lang w:val="sv-SE"/>
        </w:rPr>
        <w:tab/>
      </w:r>
      <w:r w:rsidRPr="00E73977">
        <w:rPr>
          <w:rFonts w:eastAsia="MS Mincho"/>
          <w:b/>
          <w:szCs w:val="22"/>
          <w:lang w:val="sv-SE" w:eastAsia="ja-JP"/>
        </w:rPr>
        <w:t xml:space="preserve">12-månaders och 36-månaders </w:t>
      </w:r>
      <w:r>
        <w:rPr>
          <w:rFonts w:eastAsia="MS Mincho"/>
          <w:b/>
          <w:szCs w:val="22"/>
          <w:lang w:val="sv-SE" w:eastAsia="ja-JP"/>
        </w:rPr>
        <w:t xml:space="preserve">behandling med </w:t>
      </w:r>
      <w:r w:rsidRPr="00E73977">
        <w:rPr>
          <w:rFonts w:eastAsia="MS Mincho"/>
          <w:b/>
          <w:szCs w:val="22"/>
          <w:lang w:val="sv-SE" w:eastAsia="ja-JP"/>
        </w:rPr>
        <w:t>Glivec</w:t>
      </w:r>
      <w:r>
        <w:rPr>
          <w:rFonts w:eastAsia="MS Mincho"/>
          <w:b/>
          <w:szCs w:val="22"/>
          <w:lang w:val="sv-SE" w:eastAsia="ja-JP"/>
        </w:rPr>
        <w:t xml:space="preserve"> (SSGXVIII/AIO prövning</w:t>
      </w:r>
      <w:r w:rsidRPr="00E73977">
        <w:rPr>
          <w:rFonts w:eastAsia="MS Mincho"/>
          <w:b/>
          <w:szCs w:val="22"/>
          <w:lang w:val="sv-SE" w:eastAsia="ja-JP"/>
        </w:rPr>
        <w:t>)</w:t>
      </w:r>
    </w:p>
    <w:p w14:paraId="728BEDF5" w14:textId="77777777" w:rsidR="00547CA2" w:rsidRPr="00E73977" w:rsidRDefault="00547CA2" w:rsidP="00463647">
      <w:pPr>
        <w:keepNext/>
        <w:keepLines/>
        <w:widowControl w:val="0"/>
        <w:tabs>
          <w:tab w:val="clear" w:pos="567"/>
        </w:tabs>
        <w:spacing w:line="240" w:lineRule="auto"/>
        <w:rPr>
          <w:rFonts w:eastAsia="MS Mincho"/>
          <w:szCs w:val="22"/>
          <w:lang w:val="sv-SE"/>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2802"/>
        <w:gridCol w:w="3118"/>
        <w:gridCol w:w="3100"/>
      </w:tblGrid>
      <w:tr w:rsidR="00547CA2" w:rsidRPr="0026348F" w14:paraId="50779B7C" w14:textId="77777777" w:rsidTr="0040304A">
        <w:trPr>
          <w:cantSplit/>
        </w:trPr>
        <w:tc>
          <w:tcPr>
            <w:tcW w:w="2802" w:type="dxa"/>
            <w:tcBorders>
              <w:top w:val="single" w:sz="4" w:space="0" w:color="auto"/>
              <w:bottom w:val="nil"/>
            </w:tcBorders>
            <w:shd w:val="clear" w:color="auto" w:fill="auto"/>
          </w:tcPr>
          <w:p w14:paraId="7D34B77A" w14:textId="77777777" w:rsidR="00547CA2" w:rsidRPr="00E73977" w:rsidRDefault="00547CA2" w:rsidP="00463647">
            <w:pPr>
              <w:keepNext/>
              <w:keepLines/>
              <w:widowControl w:val="0"/>
              <w:tabs>
                <w:tab w:val="clear" w:pos="567"/>
                <w:tab w:val="left" w:pos="284"/>
              </w:tabs>
              <w:spacing w:line="240" w:lineRule="auto"/>
              <w:rPr>
                <w:rFonts w:eastAsia="MS Mincho"/>
                <w:szCs w:val="22"/>
                <w:lang w:val="sv-SE"/>
              </w:rPr>
            </w:pPr>
          </w:p>
        </w:tc>
        <w:tc>
          <w:tcPr>
            <w:tcW w:w="3118" w:type="dxa"/>
            <w:tcBorders>
              <w:top w:val="single" w:sz="4" w:space="0" w:color="auto"/>
              <w:bottom w:val="nil"/>
            </w:tcBorders>
            <w:shd w:val="clear" w:color="auto" w:fill="auto"/>
          </w:tcPr>
          <w:p w14:paraId="6A6FBDAD" w14:textId="77777777" w:rsidR="00547CA2" w:rsidRPr="0026348F" w:rsidRDefault="00547CA2"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12-månader</w:t>
            </w:r>
            <w:r w:rsidRPr="0026348F">
              <w:rPr>
                <w:rFonts w:eastAsia="MS Mincho"/>
                <w:b/>
                <w:szCs w:val="22"/>
                <w:lang w:val="en-US"/>
              </w:rPr>
              <w:t xml:space="preserve"> </w:t>
            </w:r>
            <w:r>
              <w:rPr>
                <w:rFonts w:eastAsia="MS Mincho"/>
                <w:b/>
                <w:szCs w:val="22"/>
                <w:lang w:val="en-US"/>
              </w:rPr>
              <w:t>behandlings</w:t>
            </w:r>
            <w:r w:rsidRPr="0026348F">
              <w:rPr>
                <w:rFonts w:eastAsia="MS Mincho"/>
                <w:b/>
                <w:szCs w:val="22"/>
                <w:lang w:val="en-US"/>
              </w:rPr>
              <w:t>arm</w:t>
            </w:r>
            <w:r>
              <w:rPr>
                <w:rFonts w:eastAsia="MS Mincho"/>
                <w:b/>
                <w:szCs w:val="22"/>
                <w:lang w:val="en-US"/>
              </w:rPr>
              <w:t>en</w:t>
            </w:r>
          </w:p>
        </w:tc>
        <w:tc>
          <w:tcPr>
            <w:tcW w:w="3100" w:type="dxa"/>
            <w:tcBorders>
              <w:top w:val="single" w:sz="4" w:space="0" w:color="auto"/>
              <w:bottom w:val="nil"/>
            </w:tcBorders>
            <w:shd w:val="clear" w:color="auto" w:fill="auto"/>
          </w:tcPr>
          <w:p w14:paraId="5BCC8783" w14:textId="77777777" w:rsidR="00547CA2" w:rsidRPr="0026348F" w:rsidRDefault="00547CA2"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36-månader behandlings</w:t>
            </w:r>
            <w:r w:rsidRPr="0026348F">
              <w:rPr>
                <w:rFonts w:eastAsia="MS Mincho"/>
                <w:b/>
                <w:szCs w:val="22"/>
                <w:lang w:val="en-US"/>
              </w:rPr>
              <w:t>arm</w:t>
            </w:r>
            <w:r>
              <w:rPr>
                <w:rFonts w:eastAsia="MS Mincho"/>
                <w:b/>
                <w:szCs w:val="22"/>
                <w:lang w:val="en-US"/>
              </w:rPr>
              <w:t>en</w:t>
            </w:r>
          </w:p>
        </w:tc>
      </w:tr>
      <w:tr w:rsidR="00547CA2" w:rsidRPr="0026348F" w14:paraId="044BB732" w14:textId="77777777" w:rsidTr="0040304A">
        <w:trPr>
          <w:cantSplit/>
        </w:trPr>
        <w:tc>
          <w:tcPr>
            <w:tcW w:w="2802" w:type="dxa"/>
            <w:tcBorders>
              <w:top w:val="nil"/>
            </w:tcBorders>
            <w:shd w:val="clear" w:color="auto" w:fill="auto"/>
          </w:tcPr>
          <w:p w14:paraId="1794B74C" w14:textId="77777777" w:rsidR="00547CA2" w:rsidRPr="0026348F" w:rsidRDefault="00547CA2" w:rsidP="00463647">
            <w:pPr>
              <w:keepNext/>
              <w:keepLines/>
              <w:widowControl w:val="0"/>
              <w:tabs>
                <w:tab w:val="clear" w:pos="567"/>
                <w:tab w:val="left" w:pos="284"/>
              </w:tabs>
              <w:spacing w:line="240" w:lineRule="auto"/>
              <w:rPr>
                <w:rFonts w:eastAsia="MS Mincho"/>
                <w:b/>
                <w:szCs w:val="22"/>
                <w:lang w:val="en-US"/>
              </w:rPr>
            </w:pPr>
            <w:r w:rsidRPr="0026348F">
              <w:rPr>
                <w:rFonts w:eastAsia="MS Mincho"/>
                <w:b/>
                <w:szCs w:val="22"/>
                <w:lang w:val="en-US"/>
              </w:rPr>
              <w:t>RFS</w:t>
            </w:r>
          </w:p>
        </w:tc>
        <w:tc>
          <w:tcPr>
            <w:tcW w:w="3118" w:type="dxa"/>
            <w:tcBorders>
              <w:top w:val="nil"/>
            </w:tcBorders>
            <w:shd w:val="clear" w:color="auto" w:fill="auto"/>
          </w:tcPr>
          <w:p w14:paraId="3F488A85" w14:textId="77777777" w:rsidR="00547CA2" w:rsidRPr="0026348F" w:rsidRDefault="00547CA2"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%(K</w:t>
            </w:r>
            <w:r w:rsidRPr="0026348F">
              <w:rPr>
                <w:rFonts w:eastAsia="MS Mincho"/>
                <w:b/>
                <w:szCs w:val="22"/>
                <w:lang w:val="en-US"/>
              </w:rPr>
              <w:t>I)</w:t>
            </w:r>
          </w:p>
        </w:tc>
        <w:tc>
          <w:tcPr>
            <w:tcW w:w="3100" w:type="dxa"/>
            <w:tcBorders>
              <w:top w:val="nil"/>
            </w:tcBorders>
            <w:shd w:val="clear" w:color="auto" w:fill="auto"/>
          </w:tcPr>
          <w:p w14:paraId="5CF6D4B9" w14:textId="77777777" w:rsidR="00547CA2" w:rsidRPr="0026348F" w:rsidRDefault="00547CA2"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%(K</w:t>
            </w:r>
            <w:r w:rsidRPr="0026348F">
              <w:rPr>
                <w:rFonts w:eastAsia="MS Mincho"/>
                <w:b/>
                <w:szCs w:val="22"/>
                <w:lang w:val="en-US"/>
              </w:rPr>
              <w:t>I)</w:t>
            </w:r>
          </w:p>
        </w:tc>
      </w:tr>
      <w:tr w:rsidR="00547CA2" w:rsidRPr="0026348F" w14:paraId="2ED95CCC" w14:textId="77777777" w:rsidTr="0040304A">
        <w:trPr>
          <w:cantSplit/>
        </w:trPr>
        <w:tc>
          <w:tcPr>
            <w:tcW w:w="2802" w:type="dxa"/>
            <w:shd w:val="clear" w:color="auto" w:fill="auto"/>
          </w:tcPr>
          <w:p w14:paraId="67BFA18C" w14:textId="77777777" w:rsidR="00547CA2" w:rsidRPr="0026348F" w:rsidRDefault="00547CA2"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12</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3DA57464"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93,7 (89,</w:t>
            </w:r>
            <w:r w:rsidRPr="0026348F">
              <w:rPr>
                <w:rFonts w:eastAsia="MS Mincho"/>
                <w:szCs w:val="22"/>
                <w:lang w:val="en-US"/>
              </w:rPr>
              <w:t>2</w:t>
            </w:r>
            <w:r>
              <w:rPr>
                <w:rFonts w:eastAsia="MS Mincho"/>
                <w:szCs w:val="22"/>
                <w:lang w:val="en-US"/>
              </w:rPr>
              <w:noBreakHyphen/>
              <w:t>96,</w:t>
            </w:r>
            <w:r w:rsidRPr="0026348F">
              <w:rPr>
                <w:rFonts w:eastAsia="MS Mincho"/>
                <w:szCs w:val="22"/>
                <w:lang w:val="en-US"/>
              </w:rPr>
              <w:t>4)</w:t>
            </w:r>
          </w:p>
        </w:tc>
        <w:tc>
          <w:tcPr>
            <w:tcW w:w="3100" w:type="dxa"/>
            <w:shd w:val="clear" w:color="auto" w:fill="auto"/>
          </w:tcPr>
          <w:p w14:paraId="0F6EF5D3"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95,9 (91,</w:t>
            </w:r>
            <w:r w:rsidRPr="0026348F">
              <w:rPr>
                <w:rFonts w:eastAsia="MS Mincho"/>
                <w:szCs w:val="22"/>
                <w:lang w:val="en-US"/>
              </w:rPr>
              <w:t>9</w:t>
            </w:r>
            <w:r>
              <w:rPr>
                <w:rFonts w:eastAsia="MS Mincho"/>
                <w:szCs w:val="22"/>
                <w:lang w:val="en-US"/>
              </w:rPr>
              <w:noBreakHyphen/>
              <w:t>97,</w:t>
            </w:r>
            <w:r w:rsidRPr="0026348F">
              <w:rPr>
                <w:rFonts w:eastAsia="MS Mincho"/>
                <w:szCs w:val="22"/>
                <w:lang w:val="en-US"/>
              </w:rPr>
              <w:t>9)</w:t>
            </w:r>
          </w:p>
        </w:tc>
      </w:tr>
      <w:tr w:rsidR="00547CA2" w:rsidRPr="0026348F" w14:paraId="33DFFA3E" w14:textId="77777777" w:rsidTr="0040304A">
        <w:trPr>
          <w:cantSplit/>
        </w:trPr>
        <w:tc>
          <w:tcPr>
            <w:tcW w:w="2802" w:type="dxa"/>
            <w:shd w:val="clear" w:color="auto" w:fill="auto"/>
          </w:tcPr>
          <w:p w14:paraId="63C9B9FA" w14:textId="77777777" w:rsidR="00547CA2" w:rsidRPr="0026348F" w:rsidRDefault="00547CA2"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24</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4CF08AAE"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75,4 (68,</w:t>
            </w:r>
            <w:r w:rsidRPr="0026348F">
              <w:rPr>
                <w:rFonts w:eastAsia="MS Mincho"/>
                <w:szCs w:val="22"/>
                <w:lang w:val="en-US"/>
              </w:rPr>
              <w:t>6</w:t>
            </w:r>
            <w:r>
              <w:rPr>
                <w:rFonts w:eastAsia="MS Mincho"/>
                <w:szCs w:val="22"/>
                <w:lang w:val="en-US"/>
              </w:rPr>
              <w:noBreakHyphen/>
            </w:r>
            <w:r w:rsidRPr="0026348F">
              <w:rPr>
                <w:rFonts w:eastAsia="MS Mincho"/>
                <w:szCs w:val="22"/>
                <w:lang w:val="en-US"/>
              </w:rPr>
              <w:t>81</w:t>
            </w:r>
            <w:r>
              <w:rPr>
                <w:rFonts w:eastAsia="MS Mincho"/>
                <w:szCs w:val="22"/>
                <w:lang w:val="en-US"/>
              </w:rPr>
              <w:t>,</w:t>
            </w:r>
            <w:r w:rsidRPr="0026348F">
              <w:rPr>
                <w:rFonts w:eastAsia="MS Mincho"/>
                <w:szCs w:val="22"/>
                <w:lang w:val="en-US"/>
              </w:rPr>
              <w:t>0)</w:t>
            </w:r>
          </w:p>
        </w:tc>
        <w:tc>
          <w:tcPr>
            <w:tcW w:w="3100" w:type="dxa"/>
            <w:shd w:val="clear" w:color="auto" w:fill="auto"/>
          </w:tcPr>
          <w:p w14:paraId="43050D67"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90,7 (85,</w:t>
            </w:r>
            <w:r w:rsidRPr="0026348F">
              <w:rPr>
                <w:rFonts w:eastAsia="MS Mincho"/>
                <w:szCs w:val="22"/>
                <w:lang w:val="en-US"/>
              </w:rPr>
              <w:t>6</w:t>
            </w:r>
            <w:r>
              <w:rPr>
                <w:rFonts w:eastAsia="MS Mincho"/>
                <w:szCs w:val="22"/>
                <w:lang w:val="en-US"/>
              </w:rPr>
              <w:noBreakHyphen/>
            </w:r>
            <w:r w:rsidRPr="0026348F">
              <w:rPr>
                <w:rFonts w:eastAsia="MS Mincho"/>
                <w:szCs w:val="22"/>
                <w:lang w:val="en-US"/>
              </w:rPr>
              <w:t>94</w:t>
            </w:r>
            <w:r w:rsidRPr="00C22B3A">
              <w:rPr>
                <w:rFonts w:eastAsia="MS Mincho"/>
                <w:szCs w:val="22"/>
                <w:lang w:val="en-US"/>
              </w:rPr>
              <w:t>,0</w:t>
            </w:r>
            <w:r w:rsidRPr="0026348F">
              <w:rPr>
                <w:rFonts w:eastAsia="MS Mincho"/>
                <w:szCs w:val="22"/>
                <w:lang w:val="en-US"/>
              </w:rPr>
              <w:t>)</w:t>
            </w:r>
          </w:p>
        </w:tc>
      </w:tr>
      <w:tr w:rsidR="00547CA2" w:rsidRPr="0026348F" w14:paraId="6F24B018" w14:textId="77777777" w:rsidTr="0040304A">
        <w:trPr>
          <w:cantSplit/>
        </w:trPr>
        <w:tc>
          <w:tcPr>
            <w:tcW w:w="2802" w:type="dxa"/>
            <w:shd w:val="clear" w:color="auto" w:fill="auto"/>
          </w:tcPr>
          <w:p w14:paraId="328FDD7D" w14:textId="77777777" w:rsidR="00547CA2" w:rsidRPr="0026348F" w:rsidRDefault="00547CA2"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36</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5430CA64"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60,1 (52,</w:t>
            </w:r>
            <w:r w:rsidRPr="0026348F">
              <w:rPr>
                <w:rFonts w:eastAsia="MS Mincho"/>
                <w:szCs w:val="22"/>
                <w:lang w:val="en-US"/>
              </w:rPr>
              <w:t>5</w:t>
            </w:r>
            <w:r>
              <w:rPr>
                <w:rFonts w:eastAsia="MS Mincho"/>
                <w:szCs w:val="22"/>
                <w:lang w:val="en-US"/>
              </w:rPr>
              <w:noBreakHyphen/>
              <w:t>66,</w:t>
            </w:r>
            <w:r w:rsidRPr="0026348F">
              <w:rPr>
                <w:rFonts w:eastAsia="MS Mincho"/>
                <w:szCs w:val="22"/>
                <w:lang w:val="en-US"/>
              </w:rPr>
              <w:t>9)</w:t>
            </w:r>
          </w:p>
        </w:tc>
        <w:tc>
          <w:tcPr>
            <w:tcW w:w="3100" w:type="dxa"/>
            <w:shd w:val="clear" w:color="auto" w:fill="auto"/>
          </w:tcPr>
          <w:p w14:paraId="6ED15131"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86,</w:t>
            </w:r>
            <w:r w:rsidRPr="0026348F">
              <w:rPr>
                <w:rFonts w:eastAsia="MS Mincho"/>
                <w:szCs w:val="22"/>
                <w:lang w:val="en-US"/>
              </w:rPr>
              <w:t>6 (80</w:t>
            </w:r>
            <w:r>
              <w:rPr>
                <w:rFonts w:eastAsia="MS Mincho"/>
                <w:szCs w:val="22"/>
                <w:lang w:val="en-US"/>
              </w:rPr>
              <w:t>,</w:t>
            </w:r>
            <w:r w:rsidRPr="0026348F">
              <w:rPr>
                <w:rFonts w:eastAsia="MS Mincho"/>
                <w:szCs w:val="22"/>
                <w:lang w:val="en-US"/>
              </w:rPr>
              <w:t>8</w:t>
            </w:r>
            <w:r>
              <w:rPr>
                <w:rFonts w:eastAsia="MS Mincho"/>
                <w:szCs w:val="22"/>
                <w:lang w:val="en-US"/>
              </w:rPr>
              <w:noBreakHyphen/>
            </w:r>
            <w:r w:rsidRPr="0026348F">
              <w:rPr>
                <w:rFonts w:eastAsia="MS Mincho"/>
                <w:szCs w:val="22"/>
                <w:lang w:val="en-US"/>
              </w:rPr>
              <w:t>90</w:t>
            </w:r>
            <w:r>
              <w:rPr>
                <w:rFonts w:eastAsia="MS Mincho"/>
                <w:szCs w:val="22"/>
                <w:lang w:val="en-US"/>
              </w:rPr>
              <w:t>,</w:t>
            </w:r>
            <w:r w:rsidRPr="0026348F">
              <w:rPr>
                <w:rFonts w:eastAsia="MS Mincho"/>
                <w:szCs w:val="22"/>
                <w:lang w:val="en-US"/>
              </w:rPr>
              <w:t>8)</w:t>
            </w:r>
          </w:p>
        </w:tc>
      </w:tr>
      <w:tr w:rsidR="00547CA2" w:rsidRPr="0026348F" w14:paraId="163B1D54" w14:textId="77777777" w:rsidTr="0040304A">
        <w:trPr>
          <w:cantSplit/>
        </w:trPr>
        <w:tc>
          <w:tcPr>
            <w:tcW w:w="2802" w:type="dxa"/>
            <w:shd w:val="clear" w:color="auto" w:fill="auto"/>
          </w:tcPr>
          <w:p w14:paraId="6D848D1D" w14:textId="77777777" w:rsidR="00547CA2" w:rsidRPr="0026348F" w:rsidRDefault="00547CA2"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48</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1126903E"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52,3 (44,</w:t>
            </w:r>
            <w:r w:rsidRPr="0026348F">
              <w:rPr>
                <w:rFonts w:eastAsia="MS Mincho"/>
                <w:szCs w:val="22"/>
                <w:lang w:val="en-US"/>
              </w:rPr>
              <w:t>0</w:t>
            </w:r>
            <w:r>
              <w:rPr>
                <w:rFonts w:eastAsia="MS Mincho"/>
                <w:szCs w:val="22"/>
                <w:lang w:val="en-US"/>
              </w:rPr>
              <w:noBreakHyphen/>
              <w:t>59,</w:t>
            </w:r>
            <w:r w:rsidRPr="0026348F">
              <w:rPr>
                <w:rFonts w:eastAsia="MS Mincho"/>
                <w:szCs w:val="22"/>
                <w:lang w:val="en-US"/>
              </w:rPr>
              <w:t>8)</w:t>
            </w:r>
          </w:p>
        </w:tc>
        <w:tc>
          <w:tcPr>
            <w:tcW w:w="3100" w:type="dxa"/>
            <w:shd w:val="clear" w:color="auto" w:fill="auto"/>
          </w:tcPr>
          <w:p w14:paraId="0F7853FF"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sidRPr="0026348F">
              <w:rPr>
                <w:rFonts w:eastAsia="MS Mincho"/>
                <w:szCs w:val="22"/>
                <w:lang w:val="en-US"/>
              </w:rPr>
              <w:t>78</w:t>
            </w:r>
            <w:r>
              <w:rPr>
                <w:rFonts w:eastAsia="MS Mincho"/>
                <w:szCs w:val="22"/>
                <w:lang w:val="en-US"/>
              </w:rPr>
              <w:t>,</w:t>
            </w:r>
            <w:r w:rsidRPr="0026348F">
              <w:rPr>
                <w:rFonts w:eastAsia="MS Mincho"/>
                <w:szCs w:val="22"/>
                <w:lang w:val="en-US"/>
              </w:rPr>
              <w:t>3 (70</w:t>
            </w:r>
            <w:r>
              <w:rPr>
                <w:rFonts w:eastAsia="MS Mincho"/>
                <w:szCs w:val="22"/>
                <w:lang w:val="en-US"/>
              </w:rPr>
              <w:t>,</w:t>
            </w:r>
            <w:r w:rsidRPr="0026348F">
              <w:rPr>
                <w:rFonts w:eastAsia="MS Mincho"/>
                <w:szCs w:val="22"/>
                <w:lang w:val="en-US"/>
              </w:rPr>
              <w:t>8</w:t>
            </w:r>
            <w:r>
              <w:rPr>
                <w:rFonts w:eastAsia="MS Mincho"/>
                <w:szCs w:val="22"/>
                <w:lang w:val="en-US"/>
              </w:rPr>
              <w:noBreakHyphen/>
            </w:r>
            <w:r w:rsidRPr="0026348F">
              <w:rPr>
                <w:rFonts w:eastAsia="MS Mincho"/>
                <w:szCs w:val="22"/>
                <w:lang w:val="en-US"/>
              </w:rPr>
              <w:t>84</w:t>
            </w:r>
            <w:r>
              <w:rPr>
                <w:rFonts w:eastAsia="MS Mincho"/>
                <w:szCs w:val="22"/>
                <w:lang w:val="en-US"/>
              </w:rPr>
              <w:t>,</w:t>
            </w:r>
            <w:r w:rsidRPr="0026348F">
              <w:rPr>
                <w:rFonts w:eastAsia="MS Mincho"/>
                <w:szCs w:val="22"/>
                <w:lang w:val="en-US"/>
              </w:rPr>
              <w:t>1)</w:t>
            </w:r>
          </w:p>
        </w:tc>
      </w:tr>
      <w:tr w:rsidR="00547CA2" w:rsidRPr="0026348F" w14:paraId="2CF91399" w14:textId="77777777" w:rsidTr="0040304A">
        <w:trPr>
          <w:cantSplit/>
        </w:trPr>
        <w:tc>
          <w:tcPr>
            <w:tcW w:w="2802" w:type="dxa"/>
            <w:shd w:val="clear" w:color="auto" w:fill="auto"/>
          </w:tcPr>
          <w:p w14:paraId="74E0E220" w14:textId="77777777" w:rsidR="00547CA2" w:rsidRPr="0026348F" w:rsidRDefault="00547CA2"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60</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724FD1D2"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47,9 (39,</w:t>
            </w:r>
            <w:r w:rsidRPr="0026348F">
              <w:rPr>
                <w:rFonts w:eastAsia="MS Mincho"/>
                <w:szCs w:val="22"/>
                <w:lang w:val="en-US"/>
              </w:rPr>
              <w:t>0</w:t>
            </w:r>
            <w:r>
              <w:rPr>
                <w:rFonts w:eastAsia="MS Mincho"/>
                <w:szCs w:val="22"/>
                <w:lang w:val="en-US"/>
              </w:rPr>
              <w:noBreakHyphen/>
              <w:t>56,</w:t>
            </w:r>
            <w:r w:rsidRPr="0026348F">
              <w:rPr>
                <w:rFonts w:eastAsia="MS Mincho"/>
                <w:szCs w:val="22"/>
                <w:lang w:val="en-US"/>
              </w:rPr>
              <w:t>3)</w:t>
            </w:r>
          </w:p>
        </w:tc>
        <w:tc>
          <w:tcPr>
            <w:tcW w:w="3100" w:type="dxa"/>
            <w:shd w:val="clear" w:color="auto" w:fill="auto"/>
          </w:tcPr>
          <w:p w14:paraId="7B314A37"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sidRPr="0026348F">
              <w:rPr>
                <w:rFonts w:eastAsia="MS Mincho"/>
                <w:szCs w:val="22"/>
                <w:lang w:val="en-US"/>
              </w:rPr>
              <w:t>65</w:t>
            </w:r>
            <w:r>
              <w:rPr>
                <w:rFonts w:eastAsia="MS Mincho"/>
                <w:szCs w:val="22"/>
                <w:lang w:val="en-US"/>
              </w:rPr>
              <w:t>,6 (56,</w:t>
            </w:r>
            <w:r w:rsidRPr="0026348F">
              <w:rPr>
                <w:rFonts w:eastAsia="MS Mincho"/>
                <w:szCs w:val="22"/>
                <w:lang w:val="en-US"/>
              </w:rPr>
              <w:t>1</w:t>
            </w:r>
            <w:r>
              <w:rPr>
                <w:rFonts w:eastAsia="MS Mincho"/>
                <w:szCs w:val="22"/>
                <w:lang w:val="en-US"/>
              </w:rPr>
              <w:noBreakHyphen/>
            </w:r>
            <w:r w:rsidRPr="0026348F">
              <w:rPr>
                <w:rFonts w:eastAsia="MS Mincho"/>
                <w:szCs w:val="22"/>
                <w:lang w:val="en-US"/>
              </w:rPr>
              <w:t>73</w:t>
            </w:r>
            <w:r>
              <w:rPr>
                <w:rFonts w:eastAsia="MS Mincho"/>
                <w:szCs w:val="22"/>
                <w:lang w:val="en-US"/>
              </w:rPr>
              <w:t>,</w:t>
            </w:r>
            <w:r w:rsidRPr="0026348F">
              <w:rPr>
                <w:rFonts w:eastAsia="MS Mincho"/>
                <w:szCs w:val="22"/>
                <w:lang w:val="en-US"/>
              </w:rPr>
              <w:t>4)</w:t>
            </w:r>
          </w:p>
        </w:tc>
      </w:tr>
      <w:tr w:rsidR="00547CA2" w:rsidRPr="0026348F" w14:paraId="42C97848" w14:textId="77777777" w:rsidTr="0040304A">
        <w:trPr>
          <w:cantSplit/>
        </w:trPr>
        <w:tc>
          <w:tcPr>
            <w:tcW w:w="2802" w:type="dxa"/>
            <w:shd w:val="clear" w:color="auto" w:fill="auto"/>
          </w:tcPr>
          <w:p w14:paraId="6A71928C" w14:textId="77777777" w:rsidR="00547CA2" w:rsidRPr="0026348F" w:rsidRDefault="00547CA2" w:rsidP="00463647">
            <w:pPr>
              <w:keepNext/>
              <w:keepLines/>
              <w:widowControl w:val="0"/>
              <w:tabs>
                <w:tab w:val="clear" w:pos="567"/>
                <w:tab w:val="left" w:pos="284"/>
              </w:tabs>
              <w:spacing w:line="240" w:lineRule="auto"/>
              <w:rPr>
                <w:rFonts w:eastAsia="MS Mincho"/>
                <w:b/>
                <w:szCs w:val="22"/>
                <w:lang w:val="en-US"/>
              </w:rPr>
            </w:pPr>
            <w:r>
              <w:rPr>
                <w:rFonts w:eastAsia="MS Mincho"/>
                <w:b/>
                <w:szCs w:val="22"/>
                <w:lang w:val="en-US"/>
              </w:rPr>
              <w:t>Överlevnad</w:t>
            </w:r>
          </w:p>
        </w:tc>
        <w:tc>
          <w:tcPr>
            <w:tcW w:w="3118" w:type="dxa"/>
            <w:shd w:val="clear" w:color="auto" w:fill="auto"/>
          </w:tcPr>
          <w:p w14:paraId="220FE705"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571E5C58"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p>
        </w:tc>
      </w:tr>
      <w:tr w:rsidR="00547CA2" w:rsidRPr="0026348F" w14:paraId="194F88E0" w14:textId="77777777" w:rsidTr="0040304A">
        <w:trPr>
          <w:cantSplit/>
        </w:trPr>
        <w:tc>
          <w:tcPr>
            <w:tcW w:w="2802" w:type="dxa"/>
            <w:shd w:val="clear" w:color="auto" w:fill="auto"/>
          </w:tcPr>
          <w:p w14:paraId="4618339A" w14:textId="77777777" w:rsidR="00547CA2" w:rsidRPr="0026348F" w:rsidRDefault="00547CA2"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36</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298085CB"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94,0 (89,</w:t>
            </w:r>
            <w:r w:rsidRPr="0026348F">
              <w:rPr>
                <w:rFonts w:eastAsia="MS Mincho"/>
                <w:szCs w:val="22"/>
                <w:lang w:val="en-US"/>
              </w:rPr>
              <w:t>5</w:t>
            </w:r>
            <w:r>
              <w:rPr>
                <w:rFonts w:eastAsia="MS Mincho"/>
                <w:szCs w:val="22"/>
                <w:lang w:val="en-US"/>
              </w:rPr>
              <w:noBreakHyphen/>
              <w:t>96,</w:t>
            </w:r>
            <w:r w:rsidRPr="0026348F">
              <w:rPr>
                <w:rFonts w:eastAsia="MS Mincho"/>
                <w:szCs w:val="22"/>
                <w:lang w:val="en-US"/>
              </w:rPr>
              <w:t>7)</w:t>
            </w:r>
          </w:p>
        </w:tc>
        <w:tc>
          <w:tcPr>
            <w:tcW w:w="3100" w:type="dxa"/>
            <w:shd w:val="clear" w:color="auto" w:fill="auto"/>
          </w:tcPr>
          <w:p w14:paraId="42999756"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96,3 (92,</w:t>
            </w:r>
            <w:r w:rsidRPr="0026348F">
              <w:rPr>
                <w:rFonts w:eastAsia="MS Mincho"/>
                <w:szCs w:val="22"/>
                <w:lang w:val="en-US"/>
              </w:rPr>
              <w:t>4</w:t>
            </w:r>
            <w:r>
              <w:rPr>
                <w:rFonts w:eastAsia="MS Mincho"/>
                <w:szCs w:val="22"/>
                <w:lang w:val="en-US"/>
              </w:rPr>
              <w:noBreakHyphen/>
              <w:t>98,</w:t>
            </w:r>
            <w:r w:rsidRPr="0026348F">
              <w:rPr>
                <w:rFonts w:eastAsia="MS Mincho"/>
                <w:szCs w:val="22"/>
                <w:lang w:val="en-US"/>
              </w:rPr>
              <w:t>2)</w:t>
            </w:r>
          </w:p>
        </w:tc>
      </w:tr>
      <w:tr w:rsidR="00547CA2" w:rsidRPr="0026348F" w14:paraId="141522F0" w14:textId="77777777" w:rsidTr="0040304A">
        <w:trPr>
          <w:cantSplit/>
        </w:trPr>
        <w:tc>
          <w:tcPr>
            <w:tcW w:w="2802" w:type="dxa"/>
            <w:shd w:val="clear" w:color="auto" w:fill="auto"/>
          </w:tcPr>
          <w:p w14:paraId="1B42A98E" w14:textId="77777777" w:rsidR="00547CA2" w:rsidRPr="0026348F" w:rsidRDefault="00547CA2"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48</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676F7E8E"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87,9 (81,</w:t>
            </w:r>
            <w:r w:rsidRPr="0026348F">
              <w:rPr>
                <w:rFonts w:eastAsia="MS Mincho"/>
                <w:szCs w:val="22"/>
                <w:lang w:val="en-US"/>
              </w:rPr>
              <w:t>1</w:t>
            </w:r>
            <w:r>
              <w:rPr>
                <w:rFonts w:eastAsia="MS Mincho"/>
                <w:szCs w:val="22"/>
                <w:lang w:val="en-US"/>
              </w:rPr>
              <w:noBreakHyphen/>
              <w:t>92,</w:t>
            </w:r>
            <w:r w:rsidRPr="0026348F">
              <w:rPr>
                <w:rFonts w:eastAsia="MS Mincho"/>
                <w:szCs w:val="22"/>
                <w:lang w:val="en-US"/>
              </w:rPr>
              <w:t>3)</w:t>
            </w:r>
          </w:p>
        </w:tc>
        <w:tc>
          <w:tcPr>
            <w:tcW w:w="3100" w:type="dxa"/>
            <w:shd w:val="clear" w:color="auto" w:fill="auto"/>
          </w:tcPr>
          <w:p w14:paraId="3B5702D9"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95,6 (91,</w:t>
            </w:r>
            <w:r w:rsidRPr="0026348F">
              <w:rPr>
                <w:rFonts w:eastAsia="MS Mincho"/>
                <w:szCs w:val="22"/>
                <w:lang w:val="en-US"/>
              </w:rPr>
              <w:t>2</w:t>
            </w:r>
            <w:r>
              <w:rPr>
                <w:rFonts w:eastAsia="MS Mincho"/>
                <w:szCs w:val="22"/>
                <w:lang w:val="en-US"/>
              </w:rPr>
              <w:noBreakHyphen/>
              <w:t>97,</w:t>
            </w:r>
            <w:r w:rsidRPr="0026348F">
              <w:rPr>
                <w:rFonts w:eastAsia="MS Mincho"/>
                <w:szCs w:val="22"/>
                <w:lang w:val="en-US"/>
              </w:rPr>
              <w:t>8)</w:t>
            </w:r>
          </w:p>
        </w:tc>
      </w:tr>
      <w:tr w:rsidR="00547CA2" w:rsidRPr="0026348F" w14:paraId="1A0DE8C0" w14:textId="77777777" w:rsidTr="0040304A">
        <w:trPr>
          <w:cantSplit/>
        </w:trPr>
        <w:tc>
          <w:tcPr>
            <w:tcW w:w="2802" w:type="dxa"/>
            <w:shd w:val="clear" w:color="auto" w:fill="auto"/>
          </w:tcPr>
          <w:p w14:paraId="09EA1E71" w14:textId="77777777" w:rsidR="00547CA2" w:rsidRPr="0026348F" w:rsidRDefault="00547CA2" w:rsidP="00463647">
            <w:pPr>
              <w:keepNext/>
              <w:keepLines/>
              <w:widowControl w:val="0"/>
              <w:tabs>
                <w:tab w:val="clear" w:pos="567"/>
              </w:tabs>
              <w:spacing w:line="240" w:lineRule="auto"/>
              <w:ind w:left="284"/>
              <w:rPr>
                <w:rFonts w:eastAsia="MS Mincho"/>
                <w:szCs w:val="22"/>
                <w:lang w:val="en-US"/>
              </w:rPr>
            </w:pPr>
            <w:r w:rsidRPr="0026348F">
              <w:rPr>
                <w:rFonts w:eastAsia="MS Mincho"/>
                <w:szCs w:val="22"/>
                <w:lang w:val="en-US"/>
              </w:rPr>
              <w:t>60</w:t>
            </w:r>
            <w:r>
              <w:rPr>
                <w:rFonts w:eastAsia="MS Mincho"/>
                <w:szCs w:val="22"/>
                <w:lang w:val="en-US" w:eastAsia="ja-JP"/>
              </w:rPr>
              <w:t> </w:t>
            </w:r>
            <w:r w:rsidRPr="0026348F">
              <w:rPr>
                <w:rFonts w:eastAsia="MS Mincho"/>
                <w:szCs w:val="22"/>
                <w:lang w:val="en-US"/>
              </w:rPr>
              <w:t>m</w:t>
            </w:r>
            <w:r>
              <w:rPr>
                <w:rFonts w:eastAsia="MS Mincho"/>
                <w:szCs w:val="22"/>
                <w:lang w:val="en-US"/>
              </w:rPr>
              <w:t>ånader</w:t>
            </w:r>
          </w:p>
        </w:tc>
        <w:tc>
          <w:tcPr>
            <w:tcW w:w="3118" w:type="dxa"/>
            <w:shd w:val="clear" w:color="auto" w:fill="auto"/>
          </w:tcPr>
          <w:p w14:paraId="759E92F0"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81,7 (73,</w:t>
            </w:r>
            <w:r w:rsidRPr="0026348F">
              <w:rPr>
                <w:rFonts w:eastAsia="MS Mincho"/>
                <w:szCs w:val="22"/>
                <w:lang w:val="en-US"/>
              </w:rPr>
              <w:t>0</w:t>
            </w:r>
            <w:r>
              <w:rPr>
                <w:rFonts w:eastAsia="MS Mincho"/>
                <w:szCs w:val="22"/>
                <w:lang w:val="en-US"/>
              </w:rPr>
              <w:noBreakHyphen/>
              <w:t>87,</w:t>
            </w:r>
            <w:r w:rsidRPr="0026348F">
              <w:rPr>
                <w:rFonts w:eastAsia="MS Mincho"/>
                <w:szCs w:val="22"/>
                <w:lang w:val="en-US"/>
              </w:rPr>
              <w:t>8)</w:t>
            </w:r>
          </w:p>
        </w:tc>
        <w:tc>
          <w:tcPr>
            <w:tcW w:w="3100" w:type="dxa"/>
            <w:shd w:val="clear" w:color="auto" w:fill="auto"/>
          </w:tcPr>
          <w:p w14:paraId="5F7802BD" w14:textId="77777777" w:rsidR="00547CA2" w:rsidRPr="0026348F" w:rsidRDefault="00547CA2" w:rsidP="00463647">
            <w:pPr>
              <w:keepNext/>
              <w:keepLines/>
              <w:widowControl w:val="0"/>
              <w:tabs>
                <w:tab w:val="clear" w:pos="567"/>
                <w:tab w:val="left" w:pos="284"/>
              </w:tabs>
              <w:spacing w:line="240" w:lineRule="auto"/>
              <w:rPr>
                <w:rFonts w:eastAsia="MS Mincho"/>
                <w:szCs w:val="22"/>
                <w:lang w:val="en-US"/>
              </w:rPr>
            </w:pPr>
            <w:r>
              <w:rPr>
                <w:rFonts w:eastAsia="MS Mincho"/>
                <w:szCs w:val="22"/>
                <w:lang w:val="en-US"/>
              </w:rPr>
              <w:t>92,0 (85,</w:t>
            </w:r>
            <w:r w:rsidRPr="0026348F">
              <w:rPr>
                <w:rFonts w:eastAsia="MS Mincho"/>
                <w:szCs w:val="22"/>
                <w:lang w:val="en-US"/>
              </w:rPr>
              <w:t>3</w:t>
            </w:r>
            <w:r>
              <w:rPr>
                <w:rFonts w:eastAsia="MS Mincho"/>
                <w:szCs w:val="22"/>
                <w:lang w:val="en-US"/>
              </w:rPr>
              <w:noBreakHyphen/>
              <w:t>95,</w:t>
            </w:r>
            <w:r w:rsidRPr="0026348F">
              <w:rPr>
                <w:rFonts w:eastAsia="MS Mincho"/>
                <w:szCs w:val="22"/>
                <w:lang w:val="en-US"/>
              </w:rPr>
              <w:t>7)</w:t>
            </w:r>
          </w:p>
        </w:tc>
      </w:tr>
    </w:tbl>
    <w:p w14:paraId="22A6CA4B" w14:textId="77777777" w:rsidR="00547CA2" w:rsidRDefault="000B798D" w:rsidP="00463647">
      <w:pPr>
        <w:widowControl w:val="0"/>
        <w:tabs>
          <w:tab w:val="clear" w:pos="567"/>
        </w:tabs>
        <w:spacing w:line="240" w:lineRule="auto"/>
        <w:rPr>
          <w:rFonts w:eastAsia="MS Mincho"/>
          <w:szCs w:val="22"/>
          <w:lang w:val="en-US"/>
        </w:rPr>
      </w:pPr>
      <w:r>
        <w:rPr>
          <w:noProof/>
          <w:lang w:val="en-US"/>
        </w:rPr>
        <mc:AlternateContent>
          <mc:Choice Requires="wps">
            <w:drawing>
              <wp:anchor distT="0" distB="0" distL="114300" distR="114300" simplePos="0" relativeHeight="251657728" behindDoc="0" locked="0" layoutInCell="1" allowOverlap="1" wp14:anchorId="428C0DAE" wp14:editId="11F5A049">
                <wp:simplePos x="0" y="0"/>
                <wp:positionH relativeFrom="column">
                  <wp:posOffset>-217170</wp:posOffset>
                </wp:positionH>
                <wp:positionV relativeFrom="paragraph">
                  <wp:posOffset>161290</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C640B" w14:textId="77777777" w:rsidR="003E7632" w:rsidRPr="00A33DBA" w:rsidRDefault="003E7632" w:rsidP="00547CA2">
                            <w:pPr>
                              <w:rPr>
                                <w:rFonts w:ascii="Arial" w:hAnsi="Arial" w:cs="Arial"/>
                                <w:sz w:val="20"/>
                              </w:rPr>
                            </w:pPr>
                            <w:r>
                              <w:rPr>
                                <w:rFonts w:ascii="Arial" w:hAnsi="Arial" w:cs="Arial"/>
                                <w:sz w:val="20"/>
                              </w:rPr>
                              <w:t>Sannolikhet för återfallsfri överlevnad</w:t>
                            </w:r>
                          </w:p>
                          <w:p w14:paraId="57D6E584" w14:textId="77777777" w:rsidR="003E7632" w:rsidRPr="00A33DBA" w:rsidRDefault="003E7632" w:rsidP="00547CA2">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8C0DAE" id="_x0000_s1031" type="#_x0000_t202" style="position:absolute;margin-left:-17.1pt;margin-top:12.7pt;width:26.45pt;height:2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" stroked="f">
                <v:fill opacity="0"/>
                <v:textbox style="layout-flow:vertical;mso-layout-flow-alt:bottom-to-top">
                  <w:txbxContent>
                    <w:p w14:paraId="703C640B" w14:textId="77777777" w:rsidR="003E7632" w:rsidRPr="00A33DBA" w:rsidRDefault="003E7632" w:rsidP="00547CA2">
                      <w:pPr>
                        <w:rPr>
                          <w:rFonts w:ascii="Arial" w:hAnsi="Arial" w:cs="Arial"/>
                          <w:sz w:val="20"/>
                        </w:rPr>
                      </w:pPr>
                      <w:r>
                        <w:rPr>
                          <w:rFonts w:ascii="Arial" w:hAnsi="Arial" w:cs="Arial"/>
                          <w:sz w:val="20"/>
                        </w:rPr>
                        <w:t>Sannolikhet för återfallsfri överlevnad</w:t>
                      </w:r>
                    </w:p>
                    <w:p w14:paraId="57D6E584" w14:textId="77777777" w:rsidR="003E7632" w:rsidRPr="00A33DBA" w:rsidRDefault="003E7632" w:rsidP="00547CA2">
                      <w:pPr>
                        <w:rPr>
                          <w:rFonts w:ascii="Arial" w:hAnsi="Arial" w:cs="Arial"/>
                          <w:sz w:val="20"/>
                        </w:rPr>
                      </w:pPr>
                    </w:p>
                  </w:txbxContent>
                </v:textbox>
              </v:shape>
            </w:pict>
          </mc:Fallback>
        </mc:AlternateContent>
      </w:r>
    </w:p>
    <w:p w14:paraId="73AB7017" w14:textId="77777777" w:rsidR="00547CA2" w:rsidRPr="00C22B3A" w:rsidRDefault="00547CA2" w:rsidP="00463647">
      <w:pPr>
        <w:keepNext/>
        <w:widowControl w:val="0"/>
        <w:tabs>
          <w:tab w:val="clear" w:pos="567"/>
        </w:tabs>
        <w:spacing w:line="240" w:lineRule="auto"/>
        <w:ind w:left="1134" w:hanging="1134"/>
        <w:rPr>
          <w:rFonts w:eastAsia="MS Mincho"/>
          <w:szCs w:val="22"/>
          <w:lang w:val="sv-SE"/>
        </w:rPr>
      </w:pPr>
      <w:r w:rsidRPr="003C7B37">
        <w:rPr>
          <w:rFonts w:eastAsia="MS Mincho"/>
          <w:b/>
          <w:szCs w:val="22"/>
          <w:lang w:val="sv-SE"/>
        </w:rPr>
        <w:t>Figur 1</w:t>
      </w:r>
      <w:r w:rsidRPr="003C7B37">
        <w:rPr>
          <w:rFonts w:eastAsia="MS Mincho"/>
          <w:b/>
          <w:szCs w:val="22"/>
          <w:lang w:val="sv-SE"/>
        </w:rPr>
        <w:tab/>
        <w:t>Kaplan-Meier skattning för endpoint primär återfall</w:t>
      </w:r>
      <w:r>
        <w:rPr>
          <w:rFonts w:eastAsia="MS Mincho"/>
          <w:b/>
          <w:szCs w:val="22"/>
          <w:lang w:val="sv-SE"/>
        </w:rPr>
        <w:t xml:space="preserve">sfri överlevnad </w:t>
      </w:r>
      <w:r w:rsidRPr="003C7B37">
        <w:rPr>
          <w:rFonts w:eastAsia="MS Mincho"/>
          <w:b/>
          <w:szCs w:val="22"/>
          <w:lang w:val="sv-SE"/>
        </w:rPr>
        <w:t>(ITT population)</w:t>
      </w:r>
    </w:p>
    <w:p w14:paraId="12F82230" w14:textId="77777777" w:rsidR="00547CA2" w:rsidRPr="00C22B3A" w:rsidRDefault="00547CA2" w:rsidP="00463647">
      <w:pPr>
        <w:keepNext/>
        <w:widowControl w:val="0"/>
        <w:tabs>
          <w:tab w:val="clear" w:pos="567"/>
        </w:tabs>
        <w:spacing w:line="240" w:lineRule="auto"/>
        <w:rPr>
          <w:rFonts w:eastAsia="MS Mincho"/>
          <w:szCs w:val="22"/>
          <w:lang w:val="sv-SE"/>
        </w:rPr>
      </w:pPr>
    </w:p>
    <w:p w14:paraId="54443A6B" w14:textId="77777777" w:rsidR="00547CA2" w:rsidRDefault="000B798D" w:rsidP="00463647">
      <w:pPr>
        <w:keepLines/>
        <w:widowControl w:val="0"/>
        <w:tabs>
          <w:tab w:val="clear" w:pos="567"/>
        </w:tabs>
        <w:spacing w:line="240" w:lineRule="auto"/>
        <w:rPr>
          <w:rFonts w:eastAsia="MS Mincho"/>
          <w:szCs w:val="22"/>
          <w:lang w:val="en-US"/>
        </w:rPr>
      </w:pPr>
      <w:r>
        <w:rPr>
          <w:noProof/>
          <w:lang w:val="en-US"/>
        </w:rPr>
        <mc:AlternateContent>
          <mc:Choice Requires="wps">
            <w:drawing>
              <wp:anchor distT="0" distB="0" distL="114300" distR="114300" simplePos="0" relativeHeight="251658752" behindDoc="0" locked="0" layoutInCell="1" allowOverlap="1" wp14:anchorId="1712BC5B" wp14:editId="44D0AC80">
                <wp:simplePos x="0" y="0"/>
                <wp:positionH relativeFrom="column">
                  <wp:posOffset>350520</wp:posOffset>
                </wp:positionH>
                <wp:positionV relativeFrom="paragraph">
                  <wp:posOffset>1211580</wp:posOffset>
                </wp:positionV>
                <wp:extent cx="4585335" cy="123761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229"/>
                              <w:gridCol w:w="851"/>
                              <w:gridCol w:w="709"/>
                              <w:gridCol w:w="850"/>
                            </w:tblGrid>
                            <w:tr w:rsidR="003E7632" w:rsidRPr="0055776F" w14:paraId="0929BF6A" w14:textId="77777777" w:rsidTr="00DE4832">
                              <w:trPr>
                                <w:gridAfter w:val="4"/>
                                <w:wAfter w:w="2639" w:type="dxa"/>
                              </w:trPr>
                              <w:tc>
                                <w:tcPr>
                                  <w:tcW w:w="3281" w:type="dxa"/>
                                  <w:gridSpan w:val="2"/>
                                  <w:shd w:val="clear" w:color="auto" w:fill="auto"/>
                                </w:tcPr>
                                <w:p w14:paraId="4B7C5BF7" w14:textId="77777777" w:rsidR="003E7632" w:rsidRPr="0055776F" w:rsidRDefault="003E7632" w:rsidP="00DE4832">
                                  <w:pPr>
                                    <w:rPr>
                                      <w:rFonts w:ascii="Arial" w:hAnsi="Arial" w:cs="Arial"/>
                                      <w:sz w:val="20"/>
                                    </w:rPr>
                                  </w:pPr>
                                  <w:r>
                                    <w:rPr>
                                      <w:rFonts w:ascii="Arial" w:hAnsi="Arial" w:cs="Arial"/>
                                      <w:sz w:val="20"/>
                                    </w:rPr>
                                    <w:t>P &lt; 0,0001</w:t>
                                  </w:r>
                                </w:p>
                                <w:p w14:paraId="7CE0E885" w14:textId="77777777" w:rsidR="003E7632" w:rsidRPr="0055776F" w:rsidRDefault="003E7632" w:rsidP="00DE4832">
                                  <w:pPr>
                                    <w:rPr>
                                      <w:rFonts w:ascii="Arial" w:hAnsi="Arial" w:cs="Arial"/>
                                      <w:sz w:val="20"/>
                                    </w:rPr>
                                  </w:pPr>
                                  <w:r>
                                    <w:rPr>
                                      <w:rFonts w:ascii="Arial" w:hAnsi="Arial" w:cs="Arial"/>
                                      <w:sz w:val="20"/>
                                    </w:rPr>
                                    <w:t>Hazard ratio 0,</w:t>
                                  </w:r>
                                  <w:r w:rsidRPr="0055776F">
                                    <w:rPr>
                                      <w:rFonts w:ascii="Arial" w:hAnsi="Arial" w:cs="Arial"/>
                                      <w:sz w:val="20"/>
                                    </w:rPr>
                                    <w:t>4</w:t>
                                  </w:r>
                                  <w:r>
                                    <w:rPr>
                                      <w:rFonts w:ascii="Arial" w:hAnsi="Arial" w:cs="Arial"/>
                                      <w:sz w:val="20"/>
                                    </w:rPr>
                                    <w:t>6</w:t>
                                  </w:r>
                                </w:p>
                                <w:p w14:paraId="5B4535B1" w14:textId="77777777" w:rsidR="003E7632" w:rsidRPr="0055776F" w:rsidRDefault="003E7632" w:rsidP="00DE4832">
                                  <w:pPr>
                                    <w:rPr>
                                      <w:rFonts w:ascii="Arial" w:hAnsi="Arial" w:cs="Arial"/>
                                      <w:sz w:val="20"/>
                                      <w:lang w:val="de-DE"/>
                                    </w:rPr>
                                  </w:pPr>
                                  <w:r>
                                    <w:rPr>
                                      <w:rFonts w:ascii="Arial" w:hAnsi="Arial" w:cs="Arial"/>
                                      <w:sz w:val="20"/>
                                    </w:rPr>
                                    <w:t>(95 % Kl,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3E7632" w:rsidRPr="0055776F" w14:paraId="0844432A" w14:textId="77777777" w:rsidTr="009039A5">
                              <w:tc>
                                <w:tcPr>
                                  <w:tcW w:w="817" w:type="dxa"/>
                                  <w:shd w:val="clear" w:color="auto" w:fill="auto"/>
                                </w:tcPr>
                                <w:p w14:paraId="21A0FF81" w14:textId="77777777" w:rsidR="003E7632" w:rsidRPr="0055776F" w:rsidRDefault="003E7632" w:rsidP="0061715E">
                                  <w:pPr>
                                    <w:rPr>
                                      <w:rFonts w:ascii="Arial" w:hAnsi="Arial" w:cs="Arial"/>
                                      <w:sz w:val="20"/>
                                    </w:rPr>
                                  </w:pPr>
                                </w:p>
                              </w:tc>
                              <w:tc>
                                <w:tcPr>
                                  <w:tcW w:w="2693" w:type="dxa"/>
                                  <w:gridSpan w:val="2"/>
                                  <w:shd w:val="clear" w:color="auto" w:fill="auto"/>
                                </w:tcPr>
                                <w:p w14:paraId="3876C1F8" w14:textId="77777777" w:rsidR="003E7632" w:rsidRPr="0055776F" w:rsidRDefault="003E7632" w:rsidP="0061715E">
                                  <w:pPr>
                                    <w:rPr>
                                      <w:rFonts w:ascii="Arial" w:hAnsi="Arial" w:cs="Arial"/>
                                      <w:sz w:val="20"/>
                                    </w:rPr>
                                  </w:pPr>
                                </w:p>
                              </w:tc>
                              <w:tc>
                                <w:tcPr>
                                  <w:tcW w:w="851" w:type="dxa"/>
                                  <w:tcBorders>
                                    <w:bottom w:val="single" w:sz="4" w:space="0" w:color="auto"/>
                                  </w:tcBorders>
                                  <w:shd w:val="clear" w:color="auto" w:fill="auto"/>
                                </w:tcPr>
                                <w:p w14:paraId="3EFC1339" w14:textId="77777777" w:rsidR="003E7632" w:rsidRPr="0055776F" w:rsidRDefault="003E7632" w:rsidP="0061715E">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677A3A29" w14:textId="77777777" w:rsidR="003E7632" w:rsidRPr="0055776F" w:rsidRDefault="003E7632" w:rsidP="0061715E">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57162989" w14:textId="77777777" w:rsidR="003E7632" w:rsidRPr="0055776F" w:rsidRDefault="003E7632" w:rsidP="0061715E">
                                  <w:pPr>
                                    <w:rPr>
                                      <w:rFonts w:ascii="Arial" w:hAnsi="Arial" w:cs="Arial"/>
                                      <w:sz w:val="20"/>
                                    </w:rPr>
                                  </w:pPr>
                                  <w:r w:rsidRPr="0055776F">
                                    <w:rPr>
                                      <w:rFonts w:ascii="Arial" w:hAnsi="Arial" w:cs="Arial"/>
                                      <w:sz w:val="20"/>
                                      <w:lang w:val="de-DE"/>
                                    </w:rPr>
                                    <w:t>Cen</w:t>
                                  </w:r>
                                </w:p>
                              </w:tc>
                            </w:tr>
                            <w:tr w:rsidR="003E7632" w:rsidRPr="0055776F" w14:paraId="552E2660" w14:textId="77777777" w:rsidTr="009039A5">
                              <w:tc>
                                <w:tcPr>
                                  <w:tcW w:w="817" w:type="dxa"/>
                                  <w:shd w:val="clear" w:color="auto" w:fill="auto"/>
                                </w:tcPr>
                                <w:p w14:paraId="3DD1664B" w14:textId="77777777" w:rsidR="003E7632" w:rsidRPr="0055776F" w:rsidRDefault="003E7632" w:rsidP="0061715E">
                                  <w:pPr>
                                    <w:rPr>
                                      <w:rFonts w:ascii="Arial" w:hAnsi="Arial" w:cs="Arial"/>
                                      <w:sz w:val="20"/>
                                    </w:rPr>
                                  </w:pPr>
                                  <w:r w:rsidRPr="0055776F">
                                    <w:rPr>
                                      <w:rFonts w:ascii="Arial" w:hAnsi="Arial" w:cs="Arial"/>
                                      <w:b/>
                                      <w:sz w:val="20"/>
                                    </w:rPr>
                                    <w:t>——</w:t>
                                  </w:r>
                                </w:p>
                              </w:tc>
                              <w:tc>
                                <w:tcPr>
                                  <w:tcW w:w="2693" w:type="dxa"/>
                                  <w:gridSpan w:val="2"/>
                                  <w:shd w:val="clear" w:color="auto" w:fill="auto"/>
                                </w:tcPr>
                                <w:p w14:paraId="254E2264" w14:textId="77777777" w:rsidR="003E7632" w:rsidRPr="0055776F" w:rsidRDefault="003E7632" w:rsidP="000D0F5C">
                                  <w:pPr>
                                    <w:rPr>
                                      <w:rFonts w:ascii="Arial" w:hAnsi="Arial" w:cs="Arial"/>
                                      <w:sz w:val="20"/>
                                    </w:rPr>
                                  </w:pPr>
                                  <w:r>
                                    <w:rPr>
                                      <w:rFonts w:ascii="Arial" w:hAnsi="Arial" w:cs="Arial"/>
                                      <w:sz w:val="20"/>
                                    </w:rPr>
                                    <w:t>(1) Imatinib 12 månader</w:t>
                                  </w:r>
                                  <w:r w:rsidRPr="0055776F">
                                    <w:rPr>
                                      <w:rFonts w:ascii="Arial" w:hAnsi="Arial" w:cs="Arial"/>
                                      <w:sz w:val="20"/>
                                    </w:rPr>
                                    <w:t>:</w:t>
                                  </w:r>
                                </w:p>
                              </w:tc>
                              <w:tc>
                                <w:tcPr>
                                  <w:tcW w:w="851" w:type="dxa"/>
                                  <w:tcBorders>
                                    <w:top w:val="single" w:sz="4" w:space="0" w:color="auto"/>
                                  </w:tcBorders>
                                  <w:shd w:val="clear" w:color="auto" w:fill="auto"/>
                                </w:tcPr>
                                <w:p w14:paraId="418A1352" w14:textId="77777777" w:rsidR="003E7632" w:rsidRPr="0055776F" w:rsidRDefault="003E7632" w:rsidP="0061715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9140515" w14:textId="77777777" w:rsidR="003E7632" w:rsidRPr="0055776F" w:rsidRDefault="003E7632" w:rsidP="0061715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4013DDBB" w14:textId="77777777" w:rsidR="003E7632" w:rsidRPr="0055776F" w:rsidRDefault="003E7632" w:rsidP="0061715E">
                                  <w:pPr>
                                    <w:rPr>
                                      <w:rFonts w:ascii="Arial" w:hAnsi="Arial" w:cs="Arial"/>
                                      <w:sz w:val="20"/>
                                    </w:rPr>
                                  </w:pPr>
                                  <w:r w:rsidRPr="0055776F">
                                    <w:rPr>
                                      <w:rFonts w:ascii="Arial" w:hAnsi="Arial" w:cs="Arial"/>
                                      <w:sz w:val="20"/>
                                    </w:rPr>
                                    <w:t>115</w:t>
                                  </w:r>
                                </w:p>
                              </w:tc>
                            </w:tr>
                            <w:tr w:rsidR="003E7632" w:rsidRPr="0055776F" w14:paraId="12BBDECB" w14:textId="77777777" w:rsidTr="009039A5">
                              <w:tc>
                                <w:tcPr>
                                  <w:tcW w:w="817" w:type="dxa"/>
                                  <w:shd w:val="clear" w:color="auto" w:fill="auto"/>
                                </w:tcPr>
                                <w:p w14:paraId="668309BD"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gridSpan w:val="2"/>
                                  <w:shd w:val="clear" w:color="auto" w:fill="auto"/>
                                </w:tcPr>
                                <w:p w14:paraId="4C1981D5" w14:textId="77777777" w:rsidR="003E7632" w:rsidRPr="0055776F" w:rsidRDefault="003E7632" w:rsidP="000D0F5C">
                                  <w:pPr>
                                    <w:rPr>
                                      <w:rFonts w:ascii="Arial" w:hAnsi="Arial" w:cs="Arial"/>
                                      <w:sz w:val="20"/>
                                    </w:rPr>
                                  </w:pPr>
                                  <w:r>
                                    <w:rPr>
                                      <w:rFonts w:ascii="Arial" w:hAnsi="Arial" w:cs="Arial"/>
                                      <w:sz w:val="20"/>
                                    </w:rPr>
                                    <w:t>(2) Imatinib 36 månader</w:t>
                                  </w:r>
                                  <w:r w:rsidRPr="0055776F">
                                    <w:rPr>
                                      <w:rFonts w:ascii="Arial" w:hAnsi="Arial" w:cs="Arial"/>
                                      <w:sz w:val="20"/>
                                    </w:rPr>
                                    <w:t>:</w:t>
                                  </w:r>
                                </w:p>
                              </w:tc>
                              <w:tc>
                                <w:tcPr>
                                  <w:tcW w:w="851" w:type="dxa"/>
                                  <w:tcBorders>
                                    <w:bottom w:val="single" w:sz="4" w:space="0" w:color="auto"/>
                                  </w:tcBorders>
                                  <w:shd w:val="clear" w:color="auto" w:fill="auto"/>
                                </w:tcPr>
                                <w:p w14:paraId="0996B0FC" w14:textId="77777777" w:rsidR="003E7632" w:rsidRPr="0055776F" w:rsidRDefault="003E7632" w:rsidP="0061715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5105689" w14:textId="77777777" w:rsidR="003E7632" w:rsidRPr="0055776F" w:rsidRDefault="003E7632" w:rsidP="0061715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0ED4BF4E" w14:textId="77777777" w:rsidR="003E7632" w:rsidRPr="0055776F" w:rsidRDefault="003E7632" w:rsidP="0061715E">
                                  <w:pPr>
                                    <w:rPr>
                                      <w:rFonts w:ascii="Arial" w:hAnsi="Arial" w:cs="Arial"/>
                                      <w:sz w:val="20"/>
                                    </w:rPr>
                                  </w:pPr>
                                  <w:r w:rsidRPr="0055776F">
                                    <w:rPr>
                                      <w:rFonts w:ascii="Arial" w:hAnsi="Arial" w:cs="Arial"/>
                                      <w:sz w:val="20"/>
                                    </w:rPr>
                                    <w:t>148</w:t>
                                  </w:r>
                                </w:p>
                              </w:tc>
                            </w:tr>
                            <w:tr w:rsidR="003E7632" w:rsidRPr="0055776F" w14:paraId="75B2A3FB" w14:textId="77777777" w:rsidTr="009039A5">
                              <w:tc>
                                <w:tcPr>
                                  <w:tcW w:w="817" w:type="dxa"/>
                                  <w:shd w:val="clear" w:color="auto" w:fill="auto"/>
                                </w:tcPr>
                                <w:p w14:paraId="4C5EC1DA"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gridSpan w:val="2"/>
                                  <w:shd w:val="clear" w:color="auto" w:fill="auto"/>
                                </w:tcPr>
                                <w:p w14:paraId="6A3F9332" w14:textId="77777777" w:rsidR="003E7632" w:rsidRPr="0055776F" w:rsidRDefault="003E7632" w:rsidP="0061715E">
                                  <w:pPr>
                                    <w:rPr>
                                      <w:rFonts w:ascii="Arial" w:hAnsi="Arial" w:cs="Arial"/>
                                      <w:sz w:val="20"/>
                                    </w:rPr>
                                  </w:pPr>
                                  <w:r>
                                    <w:rPr>
                                      <w:rFonts w:ascii="Arial" w:hAnsi="Arial" w:cs="Arial"/>
                                      <w:sz w:val="20"/>
                                    </w:rPr>
                                    <w:t>Censurerade observationer</w:t>
                                  </w:r>
                                </w:p>
                              </w:tc>
                              <w:tc>
                                <w:tcPr>
                                  <w:tcW w:w="851" w:type="dxa"/>
                                  <w:tcBorders>
                                    <w:top w:val="single" w:sz="4" w:space="0" w:color="auto"/>
                                  </w:tcBorders>
                                  <w:shd w:val="clear" w:color="auto" w:fill="auto"/>
                                </w:tcPr>
                                <w:p w14:paraId="23FEDE8D" w14:textId="77777777" w:rsidR="003E7632" w:rsidRPr="0055776F" w:rsidRDefault="003E7632" w:rsidP="0061715E">
                                  <w:pPr>
                                    <w:rPr>
                                      <w:rFonts w:ascii="Arial" w:hAnsi="Arial" w:cs="Arial"/>
                                      <w:sz w:val="20"/>
                                    </w:rPr>
                                  </w:pPr>
                                </w:p>
                              </w:tc>
                              <w:tc>
                                <w:tcPr>
                                  <w:tcW w:w="709" w:type="dxa"/>
                                  <w:tcBorders>
                                    <w:top w:val="single" w:sz="4" w:space="0" w:color="auto"/>
                                  </w:tcBorders>
                                  <w:shd w:val="clear" w:color="auto" w:fill="auto"/>
                                </w:tcPr>
                                <w:p w14:paraId="03AC8498" w14:textId="77777777" w:rsidR="003E7632" w:rsidRPr="0055776F" w:rsidRDefault="003E7632" w:rsidP="0061715E">
                                  <w:pPr>
                                    <w:rPr>
                                      <w:rFonts w:ascii="Arial" w:hAnsi="Arial" w:cs="Arial"/>
                                      <w:sz w:val="20"/>
                                    </w:rPr>
                                  </w:pPr>
                                </w:p>
                              </w:tc>
                              <w:tc>
                                <w:tcPr>
                                  <w:tcW w:w="850" w:type="dxa"/>
                                  <w:tcBorders>
                                    <w:top w:val="single" w:sz="4" w:space="0" w:color="auto"/>
                                  </w:tcBorders>
                                  <w:shd w:val="clear" w:color="auto" w:fill="auto"/>
                                </w:tcPr>
                                <w:p w14:paraId="0C6765A2" w14:textId="77777777" w:rsidR="003E7632" w:rsidRPr="0055776F" w:rsidRDefault="003E7632" w:rsidP="0061715E">
                                  <w:pPr>
                                    <w:rPr>
                                      <w:rFonts w:ascii="Arial" w:hAnsi="Arial" w:cs="Arial"/>
                                      <w:sz w:val="20"/>
                                    </w:rPr>
                                  </w:pPr>
                                </w:p>
                              </w:tc>
                            </w:tr>
                          </w:tbl>
                          <w:p w14:paraId="6149D3DC" w14:textId="77777777" w:rsidR="003E7632" w:rsidRPr="00A33DBA" w:rsidRDefault="003E7632" w:rsidP="00547CA2">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12BC5B" id="_x0000_s1032" type="#_x0000_t202" style="position:absolute;margin-left:27.6pt;margin-top:95.4pt;width:361.05pt;height:9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" filled="f" stroked="f">
                <v:textbox>
                  <w:txbxContent>
                    <w:tbl>
                      <w:tblPr>
                        <w:tblW w:w="0" w:type="auto"/>
                        <w:tblLook w:val="04A0" w:firstRow="1" w:lastRow="0" w:firstColumn="1" w:lastColumn="0" w:noHBand="0" w:noVBand="1"/>
                      </w:tblPr>
                      <w:tblGrid>
                        <w:gridCol w:w="817"/>
                        <w:gridCol w:w="2464"/>
                        <w:gridCol w:w="229"/>
                        <w:gridCol w:w="851"/>
                        <w:gridCol w:w="709"/>
                        <w:gridCol w:w="850"/>
                      </w:tblGrid>
                      <w:tr w:rsidR="003E7632" w:rsidRPr="0055776F" w14:paraId="0929BF6A" w14:textId="77777777" w:rsidTr="00DE4832">
                        <w:trPr>
                          <w:gridAfter w:val="4"/>
                          <w:wAfter w:w="2639" w:type="dxa"/>
                        </w:trPr>
                        <w:tc>
                          <w:tcPr>
                            <w:tcW w:w="3281" w:type="dxa"/>
                            <w:gridSpan w:val="2"/>
                            <w:shd w:val="clear" w:color="auto" w:fill="auto"/>
                          </w:tcPr>
                          <w:p w14:paraId="4B7C5BF7" w14:textId="77777777" w:rsidR="003E7632" w:rsidRPr="0055776F" w:rsidRDefault="003E7632" w:rsidP="00DE4832">
                            <w:pPr>
                              <w:rPr>
                                <w:rFonts w:ascii="Arial" w:hAnsi="Arial" w:cs="Arial"/>
                                <w:sz w:val="20"/>
                              </w:rPr>
                            </w:pPr>
                            <w:r>
                              <w:rPr>
                                <w:rFonts w:ascii="Arial" w:hAnsi="Arial" w:cs="Arial"/>
                                <w:sz w:val="20"/>
                              </w:rPr>
                              <w:t>P &lt; 0,0001</w:t>
                            </w:r>
                          </w:p>
                          <w:p w14:paraId="7CE0E885" w14:textId="77777777" w:rsidR="003E7632" w:rsidRPr="0055776F" w:rsidRDefault="003E7632" w:rsidP="00DE4832">
                            <w:pPr>
                              <w:rPr>
                                <w:rFonts w:ascii="Arial" w:hAnsi="Arial" w:cs="Arial"/>
                                <w:sz w:val="20"/>
                              </w:rPr>
                            </w:pPr>
                            <w:r>
                              <w:rPr>
                                <w:rFonts w:ascii="Arial" w:hAnsi="Arial" w:cs="Arial"/>
                                <w:sz w:val="20"/>
                              </w:rPr>
                              <w:t>Hazard ratio 0,</w:t>
                            </w:r>
                            <w:r w:rsidRPr="0055776F">
                              <w:rPr>
                                <w:rFonts w:ascii="Arial" w:hAnsi="Arial" w:cs="Arial"/>
                                <w:sz w:val="20"/>
                              </w:rPr>
                              <w:t>4</w:t>
                            </w:r>
                            <w:r>
                              <w:rPr>
                                <w:rFonts w:ascii="Arial" w:hAnsi="Arial" w:cs="Arial"/>
                                <w:sz w:val="20"/>
                              </w:rPr>
                              <w:t>6</w:t>
                            </w:r>
                          </w:p>
                          <w:p w14:paraId="5B4535B1" w14:textId="77777777" w:rsidR="003E7632" w:rsidRPr="0055776F" w:rsidRDefault="003E7632" w:rsidP="00DE4832">
                            <w:pPr>
                              <w:rPr>
                                <w:rFonts w:ascii="Arial" w:hAnsi="Arial" w:cs="Arial"/>
                                <w:sz w:val="20"/>
                                <w:lang w:val="de-DE"/>
                              </w:rPr>
                            </w:pPr>
                            <w:r>
                              <w:rPr>
                                <w:rFonts w:ascii="Arial" w:hAnsi="Arial" w:cs="Arial"/>
                                <w:sz w:val="20"/>
                              </w:rPr>
                              <w:t>(95 % Kl,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3E7632" w:rsidRPr="0055776F" w14:paraId="0844432A" w14:textId="77777777" w:rsidTr="009039A5">
                        <w:tc>
                          <w:tcPr>
                            <w:tcW w:w="817" w:type="dxa"/>
                            <w:shd w:val="clear" w:color="auto" w:fill="auto"/>
                          </w:tcPr>
                          <w:p w14:paraId="21A0FF81" w14:textId="77777777" w:rsidR="003E7632" w:rsidRPr="0055776F" w:rsidRDefault="003E7632" w:rsidP="0061715E">
                            <w:pPr>
                              <w:rPr>
                                <w:rFonts w:ascii="Arial" w:hAnsi="Arial" w:cs="Arial"/>
                                <w:sz w:val="20"/>
                              </w:rPr>
                            </w:pPr>
                          </w:p>
                        </w:tc>
                        <w:tc>
                          <w:tcPr>
                            <w:tcW w:w="2693" w:type="dxa"/>
                            <w:gridSpan w:val="2"/>
                            <w:shd w:val="clear" w:color="auto" w:fill="auto"/>
                          </w:tcPr>
                          <w:p w14:paraId="3876C1F8" w14:textId="77777777" w:rsidR="003E7632" w:rsidRPr="0055776F" w:rsidRDefault="003E7632" w:rsidP="0061715E">
                            <w:pPr>
                              <w:rPr>
                                <w:rFonts w:ascii="Arial" w:hAnsi="Arial" w:cs="Arial"/>
                                <w:sz w:val="20"/>
                              </w:rPr>
                            </w:pPr>
                          </w:p>
                        </w:tc>
                        <w:tc>
                          <w:tcPr>
                            <w:tcW w:w="851" w:type="dxa"/>
                            <w:tcBorders>
                              <w:bottom w:val="single" w:sz="4" w:space="0" w:color="auto"/>
                            </w:tcBorders>
                            <w:shd w:val="clear" w:color="auto" w:fill="auto"/>
                          </w:tcPr>
                          <w:p w14:paraId="3EFC1339" w14:textId="77777777" w:rsidR="003E7632" w:rsidRPr="0055776F" w:rsidRDefault="003E7632" w:rsidP="0061715E">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677A3A29" w14:textId="77777777" w:rsidR="003E7632" w:rsidRPr="0055776F" w:rsidRDefault="003E7632" w:rsidP="0061715E">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57162989" w14:textId="77777777" w:rsidR="003E7632" w:rsidRPr="0055776F" w:rsidRDefault="003E7632" w:rsidP="0061715E">
                            <w:pPr>
                              <w:rPr>
                                <w:rFonts w:ascii="Arial" w:hAnsi="Arial" w:cs="Arial"/>
                                <w:sz w:val="20"/>
                              </w:rPr>
                            </w:pPr>
                            <w:r w:rsidRPr="0055776F">
                              <w:rPr>
                                <w:rFonts w:ascii="Arial" w:hAnsi="Arial" w:cs="Arial"/>
                                <w:sz w:val="20"/>
                                <w:lang w:val="de-DE"/>
                              </w:rPr>
                              <w:t>Cen</w:t>
                            </w:r>
                          </w:p>
                        </w:tc>
                      </w:tr>
                      <w:tr w:rsidR="003E7632" w:rsidRPr="0055776F" w14:paraId="552E2660" w14:textId="77777777" w:rsidTr="009039A5">
                        <w:tc>
                          <w:tcPr>
                            <w:tcW w:w="817" w:type="dxa"/>
                            <w:shd w:val="clear" w:color="auto" w:fill="auto"/>
                          </w:tcPr>
                          <w:p w14:paraId="3DD1664B" w14:textId="77777777" w:rsidR="003E7632" w:rsidRPr="0055776F" w:rsidRDefault="003E7632" w:rsidP="0061715E">
                            <w:pPr>
                              <w:rPr>
                                <w:rFonts w:ascii="Arial" w:hAnsi="Arial" w:cs="Arial"/>
                                <w:sz w:val="20"/>
                              </w:rPr>
                            </w:pPr>
                            <w:r w:rsidRPr="0055776F">
                              <w:rPr>
                                <w:rFonts w:ascii="Arial" w:hAnsi="Arial" w:cs="Arial"/>
                                <w:b/>
                                <w:sz w:val="20"/>
                              </w:rPr>
                              <w:t>——</w:t>
                            </w:r>
                          </w:p>
                        </w:tc>
                        <w:tc>
                          <w:tcPr>
                            <w:tcW w:w="2693" w:type="dxa"/>
                            <w:gridSpan w:val="2"/>
                            <w:shd w:val="clear" w:color="auto" w:fill="auto"/>
                          </w:tcPr>
                          <w:p w14:paraId="254E2264" w14:textId="77777777" w:rsidR="003E7632" w:rsidRPr="0055776F" w:rsidRDefault="003E7632" w:rsidP="000D0F5C">
                            <w:pPr>
                              <w:rPr>
                                <w:rFonts w:ascii="Arial" w:hAnsi="Arial" w:cs="Arial"/>
                                <w:sz w:val="20"/>
                              </w:rPr>
                            </w:pPr>
                            <w:r>
                              <w:rPr>
                                <w:rFonts w:ascii="Arial" w:hAnsi="Arial" w:cs="Arial"/>
                                <w:sz w:val="20"/>
                              </w:rPr>
                              <w:t>(1) Imatinib 12 månader</w:t>
                            </w:r>
                            <w:r w:rsidRPr="0055776F">
                              <w:rPr>
                                <w:rFonts w:ascii="Arial" w:hAnsi="Arial" w:cs="Arial"/>
                                <w:sz w:val="20"/>
                              </w:rPr>
                              <w:t>:</w:t>
                            </w:r>
                          </w:p>
                        </w:tc>
                        <w:tc>
                          <w:tcPr>
                            <w:tcW w:w="851" w:type="dxa"/>
                            <w:tcBorders>
                              <w:top w:val="single" w:sz="4" w:space="0" w:color="auto"/>
                            </w:tcBorders>
                            <w:shd w:val="clear" w:color="auto" w:fill="auto"/>
                          </w:tcPr>
                          <w:p w14:paraId="418A1352" w14:textId="77777777" w:rsidR="003E7632" w:rsidRPr="0055776F" w:rsidRDefault="003E7632" w:rsidP="0061715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9140515" w14:textId="77777777" w:rsidR="003E7632" w:rsidRPr="0055776F" w:rsidRDefault="003E7632" w:rsidP="0061715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4013DDBB" w14:textId="77777777" w:rsidR="003E7632" w:rsidRPr="0055776F" w:rsidRDefault="003E7632" w:rsidP="0061715E">
                            <w:pPr>
                              <w:rPr>
                                <w:rFonts w:ascii="Arial" w:hAnsi="Arial" w:cs="Arial"/>
                                <w:sz w:val="20"/>
                              </w:rPr>
                            </w:pPr>
                            <w:r w:rsidRPr="0055776F">
                              <w:rPr>
                                <w:rFonts w:ascii="Arial" w:hAnsi="Arial" w:cs="Arial"/>
                                <w:sz w:val="20"/>
                              </w:rPr>
                              <w:t>115</w:t>
                            </w:r>
                          </w:p>
                        </w:tc>
                      </w:tr>
                      <w:tr w:rsidR="003E7632" w:rsidRPr="0055776F" w14:paraId="12BBDECB" w14:textId="77777777" w:rsidTr="009039A5">
                        <w:tc>
                          <w:tcPr>
                            <w:tcW w:w="817" w:type="dxa"/>
                            <w:shd w:val="clear" w:color="auto" w:fill="auto"/>
                          </w:tcPr>
                          <w:p w14:paraId="668309BD"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gridSpan w:val="2"/>
                            <w:shd w:val="clear" w:color="auto" w:fill="auto"/>
                          </w:tcPr>
                          <w:p w14:paraId="4C1981D5" w14:textId="77777777" w:rsidR="003E7632" w:rsidRPr="0055776F" w:rsidRDefault="003E7632" w:rsidP="000D0F5C">
                            <w:pPr>
                              <w:rPr>
                                <w:rFonts w:ascii="Arial" w:hAnsi="Arial" w:cs="Arial"/>
                                <w:sz w:val="20"/>
                              </w:rPr>
                            </w:pPr>
                            <w:r>
                              <w:rPr>
                                <w:rFonts w:ascii="Arial" w:hAnsi="Arial" w:cs="Arial"/>
                                <w:sz w:val="20"/>
                              </w:rPr>
                              <w:t>(2) Imatinib 36 månader</w:t>
                            </w:r>
                            <w:r w:rsidRPr="0055776F">
                              <w:rPr>
                                <w:rFonts w:ascii="Arial" w:hAnsi="Arial" w:cs="Arial"/>
                                <w:sz w:val="20"/>
                              </w:rPr>
                              <w:t>:</w:t>
                            </w:r>
                          </w:p>
                        </w:tc>
                        <w:tc>
                          <w:tcPr>
                            <w:tcW w:w="851" w:type="dxa"/>
                            <w:tcBorders>
                              <w:bottom w:val="single" w:sz="4" w:space="0" w:color="auto"/>
                            </w:tcBorders>
                            <w:shd w:val="clear" w:color="auto" w:fill="auto"/>
                          </w:tcPr>
                          <w:p w14:paraId="0996B0FC" w14:textId="77777777" w:rsidR="003E7632" w:rsidRPr="0055776F" w:rsidRDefault="003E7632" w:rsidP="0061715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5105689" w14:textId="77777777" w:rsidR="003E7632" w:rsidRPr="0055776F" w:rsidRDefault="003E7632" w:rsidP="0061715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0ED4BF4E" w14:textId="77777777" w:rsidR="003E7632" w:rsidRPr="0055776F" w:rsidRDefault="003E7632" w:rsidP="0061715E">
                            <w:pPr>
                              <w:rPr>
                                <w:rFonts w:ascii="Arial" w:hAnsi="Arial" w:cs="Arial"/>
                                <w:sz w:val="20"/>
                              </w:rPr>
                            </w:pPr>
                            <w:r w:rsidRPr="0055776F">
                              <w:rPr>
                                <w:rFonts w:ascii="Arial" w:hAnsi="Arial" w:cs="Arial"/>
                                <w:sz w:val="20"/>
                              </w:rPr>
                              <w:t>148</w:t>
                            </w:r>
                          </w:p>
                        </w:tc>
                      </w:tr>
                      <w:tr w:rsidR="003E7632" w:rsidRPr="0055776F" w14:paraId="75B2A3FB" w14:textId="77777777" w:rsidTr="009039A5">
                        <w:tc>
                          <w:tcPr>
                            <w:tcW w:w="817" w:type="dxa"/>
                            <w:shd w:val="clear" w:color="auto" w:fill="auto"/>
                          </w:tcPr>
                          <w:p w14:paraId="4C5EC1DA"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gridSpan w:val="2"/>
                            <w:shd w:val="clear" w:color="auto" w:fill="auto"/>
                          </w:tcPr>
                          <w:p w14:paraId="6A3F9332" w14:textId="77777777" w:rsidR="003E7632" w:rsidRPr="0055776F" w:rsidRDefault="003E7632" w:rsidP="0061715E">
                            <w:pPr>
                              <w:rPr>
                                <w:rFonts w:ascii="Arial" w:hAnsi="Arial" w:cs="Arial"/>
                                <w:sz w:val="20"/>
                              </w:rPr>
                            </w:pPr>
                            <w:r>
                              <w:rPr>
                                <w:rFonts w:ascii="Arial" w:hAnsi="Arial" w:cs="Arial"/>
                                <w:sz w:val="20"/>
                              </w:rPr>
                              <w:t>Censurerade observationer</w:t>
                            </w:r>
                          </w:p>
                        </w:tc>
                        <w:tc>
                          <w:tcPr>
                            <w:tcW w:w="851" w:type="dxa"/>
                            <w:tcBorders>
                              <w:top w:val="single" w:sz="4" w:space="0" w:color="auto"/>
                            </w:tcBorders>
                            <w:shd w:val="clear" w:color="auto" w:fill="auto"/>
                          </w:tcPr>
                          <w:p w14:paraId="23FEDE8D" w14:textId="77777777" w:rsidR="003E7632" w:rsidRPr="0055776F" w:rsidRDefault="003E7632" w:rsidP="0061715E">
                            <w:pPr>
                              <w:rPr>
                                <w:rFonts w:ascii="Arial" w:hAnsi="Arial" w:cs="Arial"/>
                                <w:sz w:val="20"/>
                              </w:rPr>
                            </w:pPr>
                          </w:p>
                        </w:tc>
                        <w:tc>
                          <w:tcPr>
                            <w:tcW w:w="709" w:type="dxa"/>
                            <w:tcBorders>
                              <w:top w:val="single" w:sz="4" w:space="0" w:color="auto"/>
                            </w:tcBorders>
                            <w:shd w:val="clear" w:color="auto" w:fill="auto"/>
                          </w:tcPr>
                          <w:p w14:paraId="03AC8498" w14:textId="77777777" w:rsidR="003E7632" w:rsidRPr="0055776F" w:rsidRDefault="003E7632" w:rsidP="0061715E">
                            <w:pPr>
                              <w:rPr>
                                <w:rFonts w:ascii="Arial" w:hAnsi="Arial" w:cs="Arial"/>
                                <w:sz w:val="20"/>
                              </w:rPr>
                            </w:pPr>
                          </w:p>
                        </w:tc>
                        <w:tc>
                          <w:tcPr>
                            <w:tcW w:w="850" w:type="dxa"/>
                            <w:tcBorders>
                              <w:top w:val="single" w:sz="4" w:space="0" w:color="auto"/>
                            </w:tcBorders>
                            <w:shd w:val="clear" w:color="auto" w:fill="auto"/>
                          </w:tcPr>
                          <w:p w14:paraId="0C6765A2" w14:textId="77777777" w:rsidR="003E7632" w:rsidRPr="0055776F" w:rsidRDefault="003E7632" w:rsidP="0061715E">
                            <w:pPr>
                              <w:rPr>
                                <w:rFonts w:ascii="Arial" w:hAnsi="Arial" w:cs="Arial"/>
                                <w:sz w:val="20"/>
                              </w:rPr>
                            </w:pPr>
                          </w:p>
                        </w:tc>
                      </w:tr>
                    </w:tbl>
                    <w:p w14:paraId="6149D3DC" w14:textId="77777777" w:rsidR="003E7632" w:rsidRPr="00A33DBA" w:rsidRDefault="003E7632" w:rsidP="00547CA2">
                      <w:pPr>
                        <w:rPr>
                          <w:rFonts w:ascii="Arial" w:hAnsi="Arial" w:cs="Arial"/>
                          <w:sz w:val="20"/>
                        </w:rPr>
                      </w:pPr>
                    </w:p>
                  </w:txbxContent>
                </v:textbox>
              </v:shape>
            </w:pict>
          </mc:Fallback>
        </mc:AlternateContent>
      </w:r>
      <w:r w:rsidRPr="00D82973">
        <w:rPr>
          <w:noProof/>
          <w:lang w:val="en-US"/>
        </w:rPr>
        <w:drawing>
          <wp:inline distT="0" distB="0" distL="0" distR="0" wp14:anchorId="1476823E" wp14:editId="216F52E7">
            <wp:extent cx="5938520" cy="26822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8520" cy="2682240"/>
                    </a:xfrm>
                    <a:prstGeom prst="rect">
                      <a:avLst/>
                    </a:prstGeom>
                    <a:noFill/>
                    <a:ln>
                      <a:noFill/>
                    </a:ln>
                  </pic:spPr>
                </pic:pic>
              </a:graphicData>
            </a:graphic>
          </wp:inline>
        </w:drawing>
      </w:r>
    </w:p>
    <w:p w14:paraId="5881F070" w14:textId="77777777" w:rsidR="00547CA2" w:rsidRDefault="000B798D" w:rsidP="00463647">
      <w:pPr>
        <w:keepLines/>
        <w:widowControl w:val="0"/>
        <w:tabs>
          <w:tab w:val="clear" w:pos="567"/>
        </w:tabs>
        <w:spacing w:line="240" w:lineRule="auto"/>
        <w:rPr>
          <w:rFonts w:eastAsia="MS Mincho"/>
          <w:szCs w:val="22"/>
          <w:lang w:val="en-US"/>
        </w:rPr>
      </w:pPr>
      <w:r>
        <w:rPr>
          <w:rFonts w:eastAsia="MS Mincho"/>
          <w:noProof/>
          <w:szCs w:val="22"/>
          <w:lang w:val="en-US"/>
        </w:rPr>
        <mc:AlternateContent>
          <mc:Choice Requires="wps">
            <w:drawing>
              <wp:anchor distT="0" distB="0" distL="114300" distR="114300" simplePos="0" relativeHeight="251659776" behindDoc="0" locked="0" layoutInCell="1" allowOverlap="1" wp14:anchorId="46CC1B3E" wp14:editId="1F3E03A0">
                <wp:simplePos x="0" y="0"/>
                <wp:positionH relativeFrom="column">
                  <wp:posOffset>2320290</wp:posOffset>
                </wp:positionH>
                <wp:positionV relativeFrom="paragraph">
                  <wp:posOffset>13335</wp:posOffset>
                </wp:positionV>
                <wp:extent cx="1903730"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9805F" w14:textId="77777777" w:rsidR="003E7632" w:rsidRPr="00A33DBA" w:rsidRDefault="003E7632" w:rsidP="00547CA2">
                            <w:pPr>
                              <w:rPr>
                                <w:rFonts w:ascii="Arial" w:hAnsi="Arial" w:cs="Arial"/>
                                <w:sz w:val="20"/>
                              </w:rPr>
                            </w:pPr>
                            <w:r>
                              <w:rPr>
                                <w:rFonts w:ascii="Arial" w:hAnsi="Arial" w:cs="Arial"/>
                                <w:sz w:val="20"/>
                                <w:lang w:val="de-DE"/>
                              </w:rPr>
                              <w:t>Överlevnadstid (månader)</w:t>
                            </w:r>
                          </w:p>
                          <w:p w14:paraId="050E881E" w14:textId="77777777" w:rsidR="003E7632" w:rsidRPr="00A33DBA" w:rsidRDefault="003E7632" w:rsidP="00547CA2">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CC1B3E" id="_x0000_s1033" type="#_x0000_t202" style="position:absolute;margin-left:182.7pt;margin-top:1.05pt;width:149.9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" stroked="f">
                <v:fill opacity="0"/>
                <v:textbox>
                  <w:txbxContent>
                    <w:p w14:paraId="1B89805F" w14:textId="77777777" w:rsidR="003E7632" w:rsidRPr="00A33DBA" w:rsidRDefault="003E7632" w:rsidP="00547CA2">
                      <w:pPr>
                        <w:rPr>
                          <w:rFonts w:ascii="Arial" w:hAnsi="Arial" w:cs="Arial"/>
                          <w:sz w:val="20"/>
                        </w:rPr>
                      </w:pPr>
                      <w:r>
                        <w:rPr>
                          <w:rFonts w:ascii="Arial" w:hAnsi="Arial" w:cs="Arial"/>
                          <w:sz w:val="20"/>
                          <w:lang w:val="de-DE"/>
                        </w:rPr>
                        <w:t>Överlevnadstid (månader)</w:t>
                      </w:r>
                    </w:p>
                    <w:p w14:paraId="050E881E" w14:textId="77777777" w:rsidR="003E7632" w:rsidRPr="00A33DBA" w:rsidRDefault="003E7632" w:rsidP="00547CA2">
                      <w:pPr>
                        <w:rPr>
                          <w:rFonts w:ascii="Arial" w:hAnsi="Arial" w:cs="Arial"/>
                          <w:sz w:val="20"/>
                        </w:rPr>
                      </w:pPr>
                    </w:p>
                  </w:txbxContent>
                </v:textbox>
              </v:shape>
            </w:pict>
          </mc:Fallback>
        </mc:AlternateContent>
      </w:r>
    </w:p>
    <w:p w14:paraId="0BF1E32A" w14:textId="77777777" w:rsidR="00547CA2" w:rsidRDefault="00547CA2" w:rsidP="00463647">
      <w:pPr>
        <w:keepLines/>
        <w:widowControl w:val="0"/>
        <w:tabs>
          <w:tab w:val="clear" w:pos="567"/>
        </w:tabs>
        <w:spacing w:line="240" w:lineRule="auto"/>
        <w:rPr>
          <w:rFonts w:eastAsia="MS Mincho"/>
          <w:szCs w:val="22"/>
          <w:lang w:val="en-US"/>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547CA2" w:rsidRPr="009039A5" w14:paraId="15E9579A" w14:textId="77777777" w:rsidTr="00F17D9B">
        <w:tc>
          <w:tcPr>
            <w:tcW w:w="10599" w:type="dxa"/>
            <w:gridSpan w:val="16"/>
            <w:shd w:val="clear" w:color="auto" w:fill="auto"/>
          </w:tcPr>
          <w:p w14:paraId="59A47A01" w14:textId="77777777" w:rsidR="00547CA2" w:rsidRPr="009039A5" w:rsidRDefault="00547CA2" w:rsidP="00463647">
            <w:pPr>
              <w:keepLines/>
              <w:widowControl w:val="0"/>
              <w:spacing w:line="240" w:lineRule="auto"/>
              <w:ind w:left="-27"/>
              <w:rPr>
                <w:rFonts w:ascii="Arial" w:hAnsi="Arial" w:cs="Arial"/>
                <w:sz w:val="16"/>
                <w:szCs w:val="16"/>
              </w:rPr>
            </w:pPr>
            <w:r w:rsidRPr="009039A5">
              <w:rPr>
                <w:rFonts w:ascii="Arial" w:hAnsi="Arial" w:cs="Arial"/>
                <w:sz w:val="20"/>
              </w:rPr>
              <w:t>Risk : Händelser</w:t>
            </w:r>
          </w:p>
        </w:tc>
      </w:tr>
      <w:tr w:rsidR="00547CA2" w:rsidRPr="00311830" w14:paraId="5303DDBC" w14:textId="77777777" w:rsidTr="00F17D9B">
        <w:tc>
          <w:tcPr>
            <w:tcW w:w="450" w:type="dxa"/>
            <w:shd w:val="clear" w:color="auto" w:fill="auto"/>
          </w:tcPr>
          <w:p w14:paraId="33D25D41" w14:textId="77777777" w:rsidR="00547CA2" w:rsidRPr="00311830" w:rsidRDefault="00547CA2" w:rsidP="00463647">
            <w:pPr>
              <w:keepLines/>
              <w:widowControl w:val="0"/>
              <w:spacing w:line="240" w:lineRule="auto"/>
              <w:rPr>
                <w:sz w:val="18"/>
                <w:szCs w:val="18"/>
              </w:rPr>
            </w:pPr>
            <w:r w:rsidRPr="00311830">
              <w:rPr>
                <w:sz w:val="18"/>
                <w:szCs w:val="18"/>
              </w:rPr>
              <w:t>(1)</w:t>
            </w:r>
          </w:p>
        </w:tc>
        <w:tc>
          <w:tcPr>
            <w:tcW w:w="646" w:type="dxa"/>
            <w:shd w:val="clear" w:color="auto" w:fill="auto"/>
          </w:tcPr>
          <w:p w14:paraId="285043D5" w14:textId="77777777" w:rsidR="00547CA2" w:rsidRPr="00311830" w:rsidRDefault="00547CA2" w:rsidP="00463647">
            <w:pPr>
              <w:keepLines/>
              <w:widowControl w:val="0"/>
              <w:spacing w:line="240" w:lineRule="auto"/>
              <w:ind w:left="-27"/>
              <w:rPr>
                <w:sz w:val="18"/>
                <w:szCs w:val="18"/>
              </w:rPr>
            </w:pPr>
            <w:r w:rsidRPr="00311830">
              <w:rPr>
                <w:sz w:val="18"/>
                <w:szCs w:val="18"/>
              </w:rPr>
              <w:t>199:0</w:t>
            </w:r>
          </w:p>
        </w:tc>
        <w:tc>
          <w:tcPr>
            <w:tcW w:w="645" w:type="dxa"/>
            <w:shd w:val="clear" w:color="auto" w:fill="auto"/>
          </w:tcPr>
          <w:p w14:paraId="2A470537" w14:textId="77777777" w:rsidR="00547CA2" w:rsidRPr="00311830" w:rsidRDefault="00547CA2" w:rsidP="00463647">
            <w:pPr>
              <w:keepLines/>
              <w:widowControl w:val="0"/>
              <w:spacing w:line="240" w:lineRule="auto"/>
              <w:ind w:left="-27"/>
              <w:rPr>
                <w:sz w:val="18"/>
                <w:szCs w:val="18"/>
              </w:rPr>
            </w:pPr>
            <w:r w:rsidRPr="00311830">
              <w:rPr>
                <w:sz w:val="18"/>
                <w:szCs w:val="18"/>
              </w:rPr>
              <w:t>182:8</w:t>
            </w:r>
          </w:p>
        </w:tc>
        <w:tc>
          <w:tcPr>
            <w:tcW w:w="745" w:type="dxa"/>
            <w:shd w:val="clear" w:color="auto" w:fill="auto"/>
          </w:tcPr>
          <w:p w14:paraId="019FE9B9" w14:textId="77777777" w:rsidR="00547CA2" w:rsidRPr="00311830" w:rsidRDefault="00547CA2" w:rsidP="00463647">
            <w:pPr>
              <w:keepLines/>
              <w:widowControl w:val="0"/>
              <w:spacing w:line="240" w:lineRule="auto"/>
              <w:ind w:left="-27"/>
              <w:rPr>
                <w:sz w:val="18"/>
                <w:szCs w:val="18"/>
              </w:rPr>
            </w:pPr>
            <w:r w:rsidRPr="00311830">
              <w:rPr>
                <w:sz w:val="18"/>
                <w:szCs w:val="18"/>
              </w:rPr>
              <w:t>177:12</w:t>
            </w:r>
          </w:p>
        </w:tc>
        <w:tc>
          <w:tcPr>
            <w:tcW w:w="745" w:type="dxa"/>
            <w:shd w:val="clear" w:color="auto" w:fill="auto"/>
          </w:tcPr>
          <w:p w14:paraId="6ED61068" w14:textId="77777777" w:rsidR="00547CA2" w:rsidRPr="00311830" w:rsidRDefault="00547CA2" w:rsidP="00463647">
            <w:pPr>
              <w:keepLines/>
              <w:widowControl w:val="0"/>
              <w:spacing w:line="240" w:lineRule="auto"/>
              <w:ind w:left="-27"/>
              <w:rPr>
                <w:sz w:val="18"/>
                <w:szCs w:val="18"/>
              </w:rPr>
            </w:pPr>
            <w:r w:rsidRPr="00311830">
              <w:rPr>
                <w:sz w:val="18"/>
                <w:szCs w:val="18"/>
              </w:rPr>
              <w:t>163:25</w:t>
            </w:r>
          </w:p>
        </w:tc>
        <w:tc>
          <w:tcPr>
            <w:tcW w:w="745" w:type="dxa"/>
            <w:shd w:val="clear" w:color="auto" w:fill="auto"/>
          </w:tcPr>
          <w:p w14:paraId="25405A73" w14:textId="77777777" w:rsidR="00547CA2" w:rsidRPr="00311830" w:rsidRDefault="00547CA2" w:rsidP="00463647">
            <w:pPr>
              <w:keepLines/>
              <w:widowControl w:val="0"/>
              <w:spacing w:line="240" w:lineRule="auto"/>
              <w:ind w:left="-27"/>
              <w:rPr>
                <w:sz w:val="18"/>
                <w:szCs w:val="18"/>
              </w:rPr>
            </w:pPr>
            <w:r w:rsidRPr="00311830">
              <w:rPr>
                <w:sz w:val="18"/>
                <w:szCs w:val="18"/>
              </w:rPr>
              <w:t>137:46</w:t>
            </w:r>
          </w:p>
        </w:tc>
        <w:tc>
          <w:tcPr>
            <w:tcW w:w="752" w:type="dxa"/>
            <w:shd w:val="clear" w:color="auto" w:fill="auto"/>
          </w:tcPr>
          <w:p w14:paraId="30DAA5C0" w14:textId="77777777" w:rsidR="00547CA2" w:rsidRPr="00311830" w:rsidRDefault="00547CA2" w:rsidP="00463647">
            <w:pPr>
              <w:keepLines/>
              <w:widowControl w:val="0"/>
              <w:spacing w:line="240" w:lineRule="auto"/>
              <w:ind w:left="-27"/>
              <w:rPr>
                <w:sz w:val="18"/>
                <w:szCs w:val="18"/>
              </w:rPr>
            </w:pPr>
            <w:r w:rsidRPr="00311830">
              <w:rPr>
                <w:sz w:val="18"/>
                <w:szCs w:val="18"/>
              </w:rPr>
              <w:t>105:65</w:t>
            </w:r>
          </w:p>
        </w:tc>
        <w:tc>
          <w:tcPr>
            <w:tcW w:w="745" w:type="dxa"/>
            <w:shd w:val="clear" w:color="auto" w:fill="auto"/>
          </w:tcPr>
          <w:p w14:paraId="4F158486" w14:textId="77777777" w:rsidR="00547CA2" w:rsidRPr="00311830" w:rsidRDefault="00547CA2" w:rsidP="00463647">
            <w:pPr>
              <w:keepLines/>
              <w:widowControl w:val="0"/>
              <w:spacing w:line="240" w:lineRule="auto"/>
              <w:ind w:left="-27"/>
              <w:rPr>
                <w:sz w:val="18"/>
                <w:szCs w:val="18"/>
              </w:rPr>
            </w:pPr>
            <w:r w:rsidRPr="00311830">
              <w:rPr>
                <w:sz w:val="18"/>
                <w:szCs w:val="18"/>
              </w:rPr>
              <w:t>88:72</w:t>
            </w:r>
          </w:p>
        </w:tc>
        <w:tc>
          <w:tcPr>
            <w:tcW w:w="745" w:type="dxa"/>
            <w:shd w:val="clear" w:color="auto" w:fill="auto"/>
          </w:tcPr>
          <w:p w14:paraId="0789F75A" w14:textId="77777777" w:rsidR="00547CA2" w:rsidRPr="00311830" w:rsidRDefault="00547CA2" w:rsidP="00463647">
            <w:pPr>
              <w:keepLines/>
              <w:widowControl w:val="0"/>
              <w:spacing w:line="240" w:lineRule="auto"/>
              <w:ind w:left="-27"/>
              <w:rPr>
                <w:sz w:val="18"/>
                <w:szCs w:val="18"/>
              </w:rPr>
            </w:pPr>
            <w:r w:rsidRPr="00311830">
              <w:rPr>
                <w:sz w:val="18"/>
                <w:szCs w:val="18"/>
              </w:rPr>
              <w:t>61:77</w:t>
            </w:r>
          </w:p>
        </w:tc>
        <w:tc>
          <w:tcPr>
            <w:tcW w:w="652" w:type="dxa"/>
            <w:shd w:val="clear" w:color="auto" w:fill="auto"/>
          </w:tcPr>
          <w:p w14:paraId="52E2F609" w14:textId="77777777" w:rsidR="00547CA2" w:rsidRPr="00311830" w:rsidRDefault="00547CA2" w:rsidP="00463647">
            <w:pPr>
              <w:keepLines/>
              <w:widowControl w:val="0"/>
              <w:spacing w:line="240" w:lineRule="auto"/>
              <w:ind w:left="-27"/>
              <w:rPr>
                <w:sz w:val="18"/>
                <w:szCs w:val="18"/>
              </w:rPr>
            </w:pPr>
            <w:r w:rsidRPr="00311830">
              <w:rPr>
                <w:sz w:val="18"/>
                <w:szCs w:val="18"/>
              </w:rPr>
              <w:t>49:81</w:t>
            </w:r>
          </w:p>
        </w:tc>
        <w:tc>
          <w:tcPr>
            <w:tcW w:w="652" w:type="dxa"/>
            <w:shd w:val="clear" w:color="auto" w:fill="auto"/>
          </w:tcPr>
          <w:p w14:paraId="680595E7" w14:textId="77777777" w:rsidR="00547CA2" w:rsidRPr="00311830" w:rsidRDefault="00547CA2" w:rsidP="00463647">
            <w:pPr>
              <w:keepLines/>
              <w:widowControl w:val="0"/>
              <w:spacing w:line="240" w:lineRule="auto"/>
              <w:ind w:left="-27"/>
              <w:rPr>
                <w:sz w:val="18"/>
                <w:szCs w:val="18"/>
              </w:rPr>
            </w:pPr>
            <w:r w:rsidRPr="00311830">
              <w:rPr>
                <w:sz w:val="18"/>
                <w:szCs w:val="18"/>
              </w:rPr>
              <w:t>36:83</w:t>
            </w:r>
          </w:p>
        </w:tc>
        <w:tc>
          <w:tcPr>
            <w:tcW w:w="649" w:type="dxa"/>
            <w:shd w:val="clear" w:color="auto" w:fill="auto"/>
          </w:tcPr>
          <w:p w14:paraId="3954A891" w14:textId="77777777" w:rsidR="00547CA2" w:rsidRPr="00311830" w:rsidRDefault="00547CA2" w:rsidP="00463647">
            <w:pPr>
              <w:keepLines/>
              <w:widowControl w:val="0"/>
              <w:spacing w:line="240" w:lineRule="auto"/>
              <w:ind w:left="-27"/>
              <w:rPr>
                <w:sz w:val="18"/>
                <w:szCs w:val="18"/>
              </w:rPr>
            </w:pPr>
            <w:r w:rsidRPr="00311830">
              <w:rPr>
                <w:sz w:val="18"/>
                <w:szCs w:val="18"/>
              </w:rPr>
              <w:t>27:84</w:t>
            </w:r>
          </w:p>
        </w:tc>
        <w:tc>
          <w:tcPr>
            <w:tcW w:w="660" w:type="dxa"/>
            <w:shd w:val="clear" w:color="auto" w:fill="auto"/>
          </w:tcPr>
          <w:p w14:paraId="7FD3A0DB" w14:textId="77777777" w:rsidR="00547CA2" w:rsidRPr="00311830" w:rsidRDefault="00547CA2" w:rsidP="00463647">
            <w:pPr>
              <w:keepLines/>
              <w:widowControl w:val="0"/>
              <w:spacing w:line="240" w:lineRule="auto"/>
              <w:ind w:left="-27"/>
              <w:rPr>
                <w:sz w:val="18"/>
                <w:szCs w:val="18"/>
              </w:rPr>
            </w:pPr>
            <w:r w:rsidRPr="00311830">
              <w:rPr>
                <w:sz w:val="18"/>
                <w:szCs w:val="18"/>
              </w:rPr>
              <w:t>14:84</w:t>
            </w:r>
          </w:p>
        </w:tc>
        <w:tc>
          <w:tcPr>
            <w:tcW w:w="649" w:type="dxa"/>
            <w:shd w:val="clear" w:color="auto" w:fill="auto"/>
          </w:tcPr>
          <w:p w14:paraId="74CEFE1F" w14:textId="77777777" w:rsidR="00547CA2" w:rsidRPr="00311830" w:rsidRDefault="00547CA2" w:rsidP="00463647">
            <w:pPr>
              <w:keepLines/>
              <w:widowControl w:val="0"/>
              <w:spacing w:line="240" w:lineRule="auto"/>
              <w:ind w:left="-27"/>
              <w:rPr>
                <w:sz w:val="18"/>
                <w:szCs w:val="18"/>
              </w:rPr>
            </w:pPr>
            <w:r w:rsidRPr="00311830">
              <w:rPr>
                <w:sz w:val="18"/>
                <w:szCs w:val="18"/>
              </w:rPr>
              <w:t>10:84</w:t>
            </w:r>
          </w:p>
        </w:tc>
        <w:tc>
          <w:tcPr>
            <w:tcW w:w="564" w:type="dxa"/>
            <w:shd w:val="clear" w:color="auto" w:fill="auto"/>
          </w:tcPr>
          <w:p w14:paraId="43F7E22C" w14:textId="77777777" w:rsidR="00547CA2" w:rsidRPr="00311830" w:rsidRDefault="00547CA2" w:rsidP="00463647">
            <w:pPr>
              <w:keepLines/>
              <w:widowControl w:val="0"/>
              <w:spacing w:line="240" w:lineRule="auto"/>
              <w:ind w:left="-27"/>
              <w:rPr>
                <w:sz w:val="18"/>
                <w:szCs w:val="18"/>
              </w:rPr>
            </w:pPr>
            <w:r w:rsidRPr="00311830">
              <w:rPr>
                <w:sz w:val="18"/>
                <w:szCs w:val="18"/>
              </w:rPr>
              <w:t>2:84</w:t>
            </w:r>
          </w:p>
        </w:tc>
        <w:tc>
          <w:tcPr>
            <w:tcW w:w="555" w:type="dxa"/>
            <w:shd w:val="clear" w:color="auto" w:fill="auto"/>
          </w:tcPr>
          <w:p w14:paraId="17AC9604" w14:textId="77777777" w:rsidR="00547CA2" w:rsidRPr="00311830" w:rsidRDefault="00547CA2" w:rsidP="00463647">
            <w:pPr>
              <w:keepLines/>
              <w:widowControl w:val="0"/>
              <w:spacing w:line="240" w:lineRule="auto"/>
              <w:ind w:left="-27"/>
              <w:rPr>
                <w:sz w:val="18"/>
                <w:szCs w:val="18"/>
              </w:rPr>
            </w:pPr>
            <w:r w:rsidRPr="00311830">
              <w:rPr>
                <w:sz w:val="18"/>
                <w:szCs w:val="18"/>
              </w:rPr>
              <w:t>0:84</w:t>
            </w:r>
          </w:p>
        </w:tc>
      </w:tr>
      <w:tr w:rsidR="00547CA2" w:rsidRPr="00311830" w14:paraId="1795985B" w14:textId="77777777" w:rsidTr="00F17D9B">
        <w:tc>
          <w:tcPr>
            <w:tcW w:w="450" w:type="dxa"/>
            <w:shd w:val="clear" w:color="auto" w:fill="auto"/>
          </w:tcPr>
          <w:p w14:paraId="565E5DAC" w14:textId="77777777" w:rsidR="00547CA2" w:rsidRPr="00311830" w:rsidRDefault="00547CA2" w:rsidP="00463647">
            <w:pPr>
              <w:keepLines/>
              <w:widowControl w:val="0"/>
              <w:spacing w:line="240" w:lineRule="auto"/>
              <w:rPr>
                <w:sz w:val="18"/>
                <w:szCs w:val="18"/>
              </w:rPr>
            </w:pPr>
            <w:r w:rsidRPr="00311830">
              <w:rPr>
                <w:sz w:val="18"/>
                <w:szCs w:val="18"/>
              </w:rPr>
              <w:t>(2)</w:t>
            </w:r>
          </w:p>
        </w:tc>
        <w:tc>
          <w:tcPr>
            <w:tcW w:w="646" w:type="dxa"/>
            <w:shd w:val="clear" w:color="auto" w:fill="auto"/>
          </w:tcPr>
          <w:p w14:paraId="7D3C6A4B" w14:textId="77777777" w:rsidR="00547CA2" w:rsidRPr="00311830" w:rsidRDefault="00547CA2" w:rsidP="00463647">
            <w:pPr>
              <w:keepLines/>
              <w:widowControl w:val="0"/>
              <w:spacing w:line="240" w:lineRule="auto"/>
              <w:ind w:left="-27"/>
              <w:rPr>
                <w:sz w:val="18"/>
                <w:szCs w:val="18"/>
              </w:rPr>
            </w:pPr>
            <w:r w:rsidRPr="00311830">
              <w:rPr>
                <w:sz w:val="18"/>
                <w:szCs w:val="18"/>
              </w:rPr>
              <w:t>198:0</w:t>
            </w:r>
          </w:p>
        </w:tc>
        <w:tc>
          <w:tcPr>
            <w:tcW w:w="645" w:type="dxa"/>
            <w:shd w:val="clear" w:color="auto" w:fill="auto"/>
          </w:tcPr>
          <w:p w14:paraId="11C6C525" w14:textId="77777777" w:rsidR="00547CA2" w:rsidRPr="00311830" w:rsidRDefault="00547CA2" w:rsidP="00463647">
            <w:pPr>
              <w:keepLines/>
              <w:widowControl w:val="0"/>
              <w:spacing w:line="240" w:lineRule="auto"/>
              <w:ind w:left="-27"/>
              <w:rPr>
                <w:sz w:val="18"/>
                <w:szCs w:val="18"/>
              </w:rPr>
            </w:pPr>
            <w:r w:rsidRPr="00311830">
              <w:rPr>
                <w:sz w:val="18"/>
                <w:szCs w:val="18"/>
              </w:rPr>
              <w:t>189:5</w:t>
            </w:r>
          </w:p>
        </w:tc>
        <w:tc>
          <w:tcPr>
            <w:tcW w:w="745" w:type="dxa"/>
            <w:shd w:val="clear" w:color="auto" w:fill="auto"/>
          </w:tcPr>
          <w:p w14:paraId="1185E6B3" w14:textId="77777777" w:rsidR="00547CA2" w:rsidRPr="00311830" w:rsidRDefault="00547CA2" w:rsidP="00463647">
            <w:pPr>
              <w:keepLines/>
              <w:widowControl w:val="0"/>
              <w:spacing w:line="240" w:lineRule="auto"/>
              <w:ind w:left="-27"/>
              <w:rPr>
                <w:sz w:val="18"/>
                <w:szCs w:val="18"/>
              </w:rPr>
            </w:pPr>
            <w:r w:rsidRPr="00311830">
              <w:rPr>
                <w:sz w:val="18"/>
                <w:szCs w:val="18"/>
              </w:rPr>
              <w:t>184:8</w:t>
            </w:r>
          </w:p>
        </w:tc>
        <w:tc>
          <w:tcPr>
            <w:tcW w:w="745" w:type="dxa"/>
            <w:shd w:val="clear" w:color="auto" w:fill="auto"/>
          </w:tcPr>
          <w:p w14:paraId="58F014BA" w14:textId="77777777" w:rsidR="00547CA2" w:rsidRPr="00311830" w:rsidRDefault="00547CA2" w:rsidP="00463647">
            <w:pPr>
              <w:keepLines/>
              <w:widowControl w:val="0"/>
              <w:spacing w:line="240" w:lineRule="auto"/>
              <w:ind w:left="-27"/>
              <w:rPr>
                <w:sz w:val="18"/>
                <w:szCs w:val="18"/>
              </w:rPr>
            </w:pPr>
            <w:r w:rsidRPr="00311830">
              <w:rPr>
                <w:sz w:val="18"/>
                <w:szCs w:val="18"/>
              </w:rPr>
              <w:t>181:11</w:t>
            </w:r>
          </w:p>
        </w:tc>
        <w:tc>
          <w:tcPr>
            <w:tcW w:w="745" w:type="dxa"/>
            <w:shd w:val="clear" w:color="auto" w:fill="auto"/>
          </w:tcPr>
          <w:p w14:paraId="0D580A27" w14:textId="77777777" w:rsidR="00547CA2" w:rsidRPr="00311830" w:rsidRDefault="00547CA2" w:rsidP="00463647">
            <w:pPr>
              <w:keepLines/>
              <w:widowControl w:val="0"/>
              <w:spacing w:line="240" w:lineRule="auto"/>
              <w:ind w:left="-27"/>
              <w:rPr>
                <w:sz w:val="18"/>
                <w:szCs w:val="18"/>
              </w:rPr>
            </w:pPr>
            <w:r w:rsidRPr="00311830">
              <w:rPr>
                <w:sz w:val="18"/>
                <w:szCs w:val="18"/>
              </w:rPr>
              <w:t>173:18</w:t>
            </w:r>
          </w:p>
        </w:tc>
        <w:tc>
          <w:tcPr>
            <w:tcW w:w="752" w:type="dxa"/>
            <w:shd w:val="clear" w:color="auto" w:fill="auto"/>
          </w:tcPr>
          <w:p w14:paraId="058A20D6" w14:textId="77777777" w:rsidR="00547CA2" w:rsidRPr="00311830" w:rsidRDefault="00547CA2" w:rsidP="00463647">
            <w:pPr>
              <w:keepLines/>
              <w:widowControl w:val="0"/>
              <w:spacing w:line="240" w:lineRule="auto"/>
              <w:ind w:left="-27"/>
              <w:rPr>
                <w:sz w:val="18"/>
                <w:szCs w:val="18"/>
              </w:rPr>
            </w:pPr>
            <w:r w:rsidRPr="00311830">
              <w:rPr>
                <w:sz w:val="18"/>
                <w:szCs w:val="18"/>
              </w:rPr>
              <w:t>152:22</w:t>
            </w:r>
          </w:p>
        </w:tc>
        <w:tc>
          <w:tcPr>
            <w:tcW w:w="745" w:type="dxa"/>
            <w:shd w:val="clear" w:color="auto" w:fill="auto"/>
          </w:tcPr>
          <w:p w14:paraId="1F1A5ABB" w14:textId="77777777" w:rsidR="00547CA2" w:rsidRPr="00311830" w:rsidRDefault="00547CA2" w:rsidP="00463647">
            <w:pPr>
              <w:keepLines/>
              <w:widowControl w:val="0"/>
              <w:spacing w:line="240" w:lineRule="auto"/>
              <w:ind w:left="-27"/>
              <w:rPr>
                <w:sz w:val="18"/>
                <w:szCs w:val="18"/>
              </w:rPr>
            </w:pPr>
            <w:r w:rsidRPr="00311830">
              <w:rPr>
                <w:sz w:val="18"/>
                <w:szCs w:val="18"/>
              </w:rPr>
              <w:t>133:25</w:t>
            </w:r>
          </w:p>
        </w:tc>
        <w:tc>
          <w:tcPr>
            <w:tcW w:w="745" w:type="dxa"/>
            <w:shd w:val="clear" w:color="auto" w:fill="auto"/>
          </w:tcPr>
          <w:p w14:paraId="5117791F" w14:textId="77777777" w:rsidR="00547CA2" w:rsidRPr="00311830" w:rsidRDefault="00547CA2" w:rsidP="00463647">
            <w:pPr>
              <w:keepLines/>
              <w:widowControl w:val="0"/>
              <w:spacing w:line="240" w:lineRule="auto"/>
              <w:ind w:left="-27"/>
              <w:rPr>
                <w:sz w:val="18"/>
                <w:szCs w:val="18"/>
              </w:rPr>
            </w:pPr>
            <w:r w:rsidRPr="00311830">
              <w:rPr>
                <w:sz w:val="18"/>
                <w:szCs w:val="18"/>
              </w:rPr>
              <w:t>102:29</w:t>
            </w:r>
          </w:p>
        </w:tc>
        <w:tc>
          <w:tcPr>
            <w:tcW w:w="652" w:type="dxa"/>
            <w:shd w:val="clear" w:color="auto" w:fill="auto"/>
          </w:tcPr>
          <w:p w14:paraId="0C8E7527" w14:textId="77777777" w:rsidR="00547CA2" w:rsidRPr="00311830" w:rsidRDefault="00547CA2" w:rsidP="00463647">
            <w:pPr>
              <w:keepLines/>
              <w:widowControl w:val="0"/>
              <w:spacing w:line="240" w:lineRule="auto"/>
              <w:ind w:left="-27"/>
              <w:rPr>
                <w:sz w:val="18"/>
                <w:szCs w:val="18"/>
              </w:rPr>
            </w:pPr>
            <w:r w:rsidRPr="00311830">
              <w:rPr>
                <w:sz w:val="18"/>
                <w:szCs w:val="18"/>
              </w:rPr>
              <w:t>82:35</w:t>
            </w:r>
          </w:p>
        </w:tc>
        <w:tc>
          <w:tcPr>
            <w:tcW w:w="652" w:type="dxa"/>
            <w:shd w:val="clear" w:color="auto" w:fill="auto"/>
          </w:tcPr>
          <w:p w14:paraId="5031194E" w14:textId="77777777" w:rsidR="00547CA2" w:rsidRPr="00311830" w:rsidRDefault="00547CA2" w:rsidP="00463647">
            <w:pPr>
              <w:keepLines/>
              <w:widowControl w:val="0"/>
              <w:spacing w:line="240" w:lineRule="auto"/>
              <w:ind w:left="-27"/>
              <w:rPr>
                <w:sz w:val="18"/>
                <w:szCs w:val="18"/>
              </w:rPr>
            </w:pPr>
            <w:r w:rsidRPr="00311830">
              <w:rPr>
                <w:sz w:val="18"/>
                <w:szCs w:val="18"/>
              </w:rPr>
              <w:t>54:46</w:t>
            </w:r>
          </w:p>
        </w:tc>
        <w:tc>
          <w:tcPr>
            <w:tcW w:w="649" w:type="dxa"/>
            <w:shd w:val="clear" w:color="auto" w:fill="auto"/>
          </w:tcPr>
          <w:p w14:paraId="06A4B1C3" w14:textId="77777777" w:rsidR="00547CA2" w:rsidRPr="00311830" w:rsidRDefault="00547CA2" w:rsidP="00463647">
            <w:pPr>
              <w:keepLines/>
              <w:widowControl w:val="0"/>
              <w:spacing w:line="240" w:lineRule="auto"/>
              <w:ind w:left="-27"/>
              <w:rPr>
                <w:sz w:val="18"/>
                <w:szCs w:val="18"/>
              </w:rPr>
            </w:pPr>
            <w:r w:rsidRPr="00311830">
              <w:rPr>
                <w:sz w:val="18"/>
                <w:szCs w:val="18"/>
              </w:rPr>
              <w:t>39:47</w:t>
            </w:r>
          </w:p>
        </w:tc>
        <w:tc>
          <w:tcPr>
            <w:tcW w:w="660" w:type="dxa"/>
            <w:shd w:val="clear" w:color="auto" w:fill="auto"/>
          </w:tcPr>
          <w:p w14:paraId="774432F2" w14:textId="77777777" w:rsidR="00547CA2" w:rsidRPr="00311830" w:rsidRDefault="00547CA2" w:rsidP="00463647">
            <w:pPr>
              <w:keepLines/>
              <w:widowControl w:val="0"/>
              <w:spacing w:line="240" w:lineRule="auto"/>
              <w:ind w:left="-27"/>
              <w:rPr>
                <w:sz w:val="18"/>
                <w:szCs w:val="18"/>
              </w:rPr>
            </w:pPr>
            <w:r w:rsidRPr="00311830">
              <w:rPr>
                <w:sz w:val="18"/>
                <w:szCs w:val="18"/>
              </w:rPr>
              <w:t>21:49</w:t>
            </w:r>
          </w:p>
        </w:tc>
        <w:tc>
          <w:tcPr>
            <w:tcW w:w="649" w:type="dxa"/>
            <w:shd w:val="clear" w:color="auto" w:fill="auto"/>
          </w:tcPr>
          <w:p w14:paraId="0E635518" w14:textId="77777777" w:rsidR="00547CA2" w:rsidRPr="00311830" w:rsidRDefault="00547CA2" w:rsidP="00463647">
            <w:pPr>
              <w:keepLines/>
              <w:widowControl w:val="0"/>
              <w:spacing w:line="240" w:lineRule="auto"/>
              <w:ind w:left="-27"/>
              <w:rPr>
                <w:sz w:val="18"/>
                <w:szCs w:val="18"/>
              </w:rPr>
            </w:pPr>
            <w:r w:rsidRPr="00311830">
              <w:rPr>
                <w:sz w:val="18"/>
                <w:szCs w:val="18"/>
              </w:rPr>
              <w:t>8:50</w:t>
            </w:r>
          </w:p>
        </w:tc>
        <w:tc>
          <w:tcPr>
            <w:tcW w:w="564" w:type="dxa"/>
            <w:shd w:val="clear" w:color="auto" w:fill="auto"/>
          </w:tcPr>
          <w:p w14:paraId="13C431D8" w14:textId="77777777" w:rsidR="00547CA2" w:rsidRPr="00311830" w:rsidRDefault="00547CA2" w:rsidP="00463647">
            <w:pPr>
              <w:keepLines/>
              <w:widowControl w:val="0"/>
              <w:spacing w:line="240" w:lineRule="auto"/>
              <w:ind w:left="-27"/>
              <w:rPr>
                <w:sz w:val="18"/>
                <w:szCs w:val="18"/>
              </w:rPr>
            </w:pPr>
            <w:r w:rsidRPr="00311830">
              <w:rPr>
                <w:sz w:val="18"/>
                <w:szCs w:val="18"/>
              </w:rPr>
              <w:t>0:50</w:t>
            </w:r>
          </w:p>
        </w:tc>
        <w:tc>
          <w:tcPr>
            <w:tcW w:w="555" w:type="dxa"/>
            <w:shd w:val="clear" w:color="auto" w:fill="auto"/>
          </w:tcPr>
          <w:p w14:paraId="68B8E0D1" w14:textId="77777777" w:rsidR="00547CA2" w:rsidRPr="00311830" w:rsidRDefault="00547CA2" w:rsidP="00463647">
            <w:pPr>
              <w:keepLines/>
              <w:widowControl w:val="0"/>
              <w:spacing w:line="240" w:lineRule="auto"/>
              <w:ind w:left="-27"/>
              <w:rPr>
                <w:sz w:val="18"/>
                <w:szCs w:val="18"/>
              </w:rPr>
            </w:pPr>
          </w:p>
        </w:tc>
      </w:tr>
    </w:tbl>
    <w:p w14:paraId="61029A26" w14:textId="77777777" w:rsidR="00547CA2" w:rsidRDefault="00547CA2" w:rsidP="00463647">
      <w:pPr>
        <w:widowControl w:val="0"/>
        <w:tabs>
          <w:tab w:val="clear" w:pos="567"/>
        </w:tabs>
        <w:spacing w:line="240" w:lineRule="auto"/>
        <w:rPr>
          <w:rFonts w:eastAsia="MS Mincho"/>
          <w:szCs w:val="22"/>
          <w:lang w:val="en-US"/>
        </w:rPr>
      </w:pPr>
    </w:p>
    <w:p w14:paraId="3BE07B65" w14:textId="77777777" w:rsidR="00547CA2" w:rsidRPr="00420EF0" w:rsidRDefault="00547CA2" w:rsidP="00463647">
      <w:pPr>
        <w:keepNext/>
        <w:widowControl w:val="0"/>
        <w:tabs>
          <w:tab w:val="clear" w:pos="567"/>
        </w:tabs>
        <w:spacing w:line="240" w:lineRule="auto"/>
        <w:ind w:left="1134" w:hanging="1134"/>
        <w:outlineLvl w:val="6"/>
        <w:rPr>
          <w:rFonts w:eastAsia="MS Mincho"/>
          <w:b/>
          <w:szCs w:val="22"/>
          <w:lang w:val="sv-SE"/>
        </w:rPr>
      </w:pPr>
      <w:r>
        <w:rPr>
          <w:rFonts w:eastAsia="MS Mincho"/>
          <w:b/>
          <w:szCs w:val="22"/>
          <w:lang w:val="sv-SE"/>
        </w:rPr>
        <w:lastRenderedPageBreak/>
        <w:t>Figur</w:t>
      </w:r>
      <w:r w:rsidRPr="00420EF0">
        <w:rPr>
          <w:rFonts w:eastAsia="MS Mincho"/>
          <w:b/>
          <w:szCs w:val="22"/>
          <w:lang w:val="sv-SE"/>
        </w:rPr>
        <w:t> 2</w:t>
      </w:r>
      <w:r w:rsidRPr="00420EF0">
        <w:rPr>
          <w:rFonts w:eastAsia="MS Mincho"/>
          <w:b/>
          <w:szCs w:val="22"/>
          <w:lang w:val="sv-SE"/>
        </w:rPr>
        <w:tab/>
        <w:t>Kaplan-Meier skattning för total överlevnad (ITT population)</w:t>
      </w:r>
    </w:p>
    <w:p w14:paraId="2DEAB87F" w14:textId="77777777" w:rsidR="00547CA2" w:rsidRPr="00311830" w:rsidRDefault="000B798D" w:rsidP="00463647">
      <w:pPr>
        <w:keepNext/>
        <w:widowControl w:val="0"/>
        <w:tabs>
          <w:tab w:val="clear" w:pos="567"/>
        </w:tabs>
        <w:spacing w:line="240" w:lineRule="auto"/>
        <w:rPr>
          <w:rFonts w:eastAsia="MS Mincho"/>
          <w:szCs w:val="22"/>
          <w:lang w:val="sv-SE"/>
        </w:rPr>
      </w:pPr>
      <w:r>
        <w:rPr>
          <w:noProof/>
          <w:lang w:val="en-US"/>
        </w:rPr>
        <mc:AlternateContent>
          <mc:Choice Requires="wps">
            <w:drawing>
              <wp:anchor distT="0" distB="0" distL="114300" distR="114300" simplePos="0" relativeHeight="251660800" behindDoc="0" locked="0" layoutInCell="1" allowOverlap="1" wp14:anchorId="291DCC65" wp14:editId="77370C2A">
                <wp:simplePos x="0" y="0"/>
                <wp:positionH relativeFrom="column">
                  <wp:posOffset>-207645</wp:posOffset>
                </wp:positionH>
                <wp:positionV relativeFrom="paragraph">
                  <wp:posOffset>99695</wp:posOffset>
                </wp:positionV>
                <wp:extent cx="335915" cy="223266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C7450" w14:textId="77777777" w:rsidR="003E7632" w:rsidRPr="00A33DBA" w:rsidRDefault="003E7632" w:rsidP="00547CA2">
                            <w:pPr>
                              <w:rPr>
                                <w:rFonts w:ascii="Arial" w:hAnsi="Arial" w:cs="Arial"/>
                                <w:sz w:val="20"/>
                              </w:rPr>
                            </w:pPr>
                            <w:r>
                              <w:rPr>
                                <w:rFonts w:ascii="Arial" w:hAnsi="Arial" w:cs="Arial"/>
                                <w:sz w:val="20"/>
                              </w:rPr>
                              <w:t>Sannolikhet för total överlevnad</w:t>
                            </w:r>
                          </w:p>
                          <w:p w14:paraId="0676F4D6" w14:textId="77777777" w:rsidR="003E7632" w:rsidRPr="00A33DBA" w:rsidRDefault="003E7632" w:rsidP="00547CA2">
                            <w:pPr>
                              <w:rPr>
                                <w:rFonts w:ascii="Arial" w:hAnsi="Arial" w:cs="Arial"/>
                                <w:sz w:val="20"/>
                              </w:rPr>
                            </w:pPr>
                          </w:p>
                          <w:p w14:paraId="1C9B6C11" w14:textId="77777777" w:rsidR="003E7632" w:rsidRPr="00A33DBA" w:rsidRDefault="003E7632" w:rsidP="00547CA2">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1DCC65" id="_x0000_s1034" type="#_x0000_t202" style="position:absolute;margin-left:-16.35pt;margin-top:7.85pt;width:26.45pt;height:175.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" stroked="f">
                <v:fill opacity="0"/>
                <v:textbox style="layout-flow:vertical;mso-layout-flow-alt:bottom-to-top">
                  <w:txbxContent>
                    <w:p w14:paraId="2A2C7450" w14:textId="77777777" w:rsidR="003E7632" w:rsidRPr="00A33DBA" w:rsidRDefault="003E7632" w:rsidP="00547CA2">
                      <w:pPr>
                        <w:rPr>
                          <w:rFonts w:ascii="Arial" w:hAnsi="Arial" w:cs="Arial"/>
                          <w:sz w:val="20"/>
                        </w:rPr>
                      </w:pPr>
                      <w:r>
                        <w:rPr>
                          <w:rFonts w:ascii="Arial" w:hAnsi="Arial" w:cs="Arial"/>
                          <w:sz w:val="20"/>
                        </w:rPr>
                        <w:t>Sannolikhet för total överlevnad</w:t>
                      </w:r>
                    </w:p>
                    <w:p w14:paraId="0676F4D6" w14:textId="77777777" w:rsidR="003E7632" w:rsidRPr="00A33DBA" w:rsidRDefault="003E7632" w:rsidP="00547CA2">
                      <w:pPr>
                        <w:rPr>
                          <w:rFonts w:ascii="Arial" w:hAnsi="Arial" w:cs="Arial"/>
                          <w:sz w:val="20"/>
                        </w:rPr>
                      </w:pPr>
                    </w:p>
                    <w:p w14:paraId="1C9B6C11" w14:textId="77777777" w:rsidR="003E7632" w:rsidRPr="00A33DBA" w:rsidRDefault="003E7632" w:rsidP="00547CA2">
                      <w:pPr>
                        <w:rPr>
                          <w:rFonts w:ascii="Arial" w:hAnsi="Arial" w:cs="Arial"/>
                          <w:sz w:val="20"/>
                        </w:rPr>
                      </w:pPr>
                    </w:p>
                  </w:txbxContent>
                </v:textbox>
              </v:shape>
            </w:pict>
          </mc:Fallback>
        </mc:AlternateContent>
      </w:r>
    </w:p>
    <w:p w14:paraId="20B49BB5" w14:textId="77777777" w:rsidR="00547CA2" w:rsidRDefault="000B798D" w:rsidP="00463647">
      <w:pPr>
        <w:keepLines/>
        <w:widowControl w:val="0"/>
        <w:tabs>
          <w:tab w:val="clear" w:pos="567"/>
        </w:tabs>
        <w:spacing w:line="240" w:lineRule="auto"/>
        <w:rPr>
          <w:rFonts w:eastAsia="MS Mincho"/>
          <w:szCs w:val="22"/>
          <w:lang w:val="en-US"/>
        </w:rPr>
      </w:pPr>
      <w:r>
        <w:rPr>
          <w:noProof/>
          <w:lang w:val="en-US"/>
        </w:rPr>
        <mc:AlternateContent>
          <mc:Choice Requires="wps">
            <w:drawing>
              <wp:anchor distT="0" distB="0" distL="114300" distR="114300" simplePos="0" relativeHeight="251661824" behindDoc="0" locked="0" layoutInCell="1" allowOverlap="1" wp14:anchorId="15DAA06B" wp14:editId="7F48F7C4">
                <wp:simplePos x="0" y="0"/>
                <wp:positionH relativeFrom="column">
                  <wp:posOffset>350520</wp:posOffset>
                </wp:positionH>
                <wp:positionV relativeFrom="paragraph">
                  <wp:posOffset>934720</wp:posOffset>
                </wp:positionV>
                <wp:extent cx="4585335" cy="1428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39AF" w14:textId="77777777" w:rsidR="003E7632" w:rsidRDefault="003E7632" w:rsidP="00547CA2">
                            <w:pPr>
                              <w:rPr>
                                <w:rFonts w:ascii="Arial" w:hAnsi="Arial" w:cs="Arial"/>
                                <w:sz w:val="20"/>
                              </w:rPr>
                            </w:pPr>
                          </w:p>
                          <w:tbl>
                            <w:tblPr>
                              <w:tblW w:w="0" w:type="auto"/>
                              <w:tblLook w:val="04A0" w:firstRow="1" w:lastRow="0" w:firstColumn="1" w:lastColumn="0" w:noHBand="0" w:noVBand="1"/>
                            </w:tblPr>
                            <w:tblGrid>
                              <w:gridCol w:w="817"/>
                              <w:gridCol w:w="2693"/>
                              <w:gridCol w:w="851"/>
                              <w:gridCol w:w="709"/>
                              <w:gridCol w:w="850"/>
                            </w:tblGrid>
                            <w:tr w:rsidR="003E7632" w:rsidRPr="0055776F" w14:paraId="2837285E" w14:textId="77777777" w:rsidTr="009039A5">
                              <w:tc>
                                <w:tcPr>
                                  <w:tcW w:w="5920" w:type="dxa"/>
                                  <w:gridSpan w:val="5"/>
                                  <w:shd w:val="clear" w:color="auto" w:fill="auto"/>
                                </w:tcPr>
                                <w:p w14:paraId="25E5F167" w14:textId="77777777" w:rsidR="003E7632" w:rsidRPr="0055776F" w:rsidRDefault="003E7632" w:rsidP="0061715E">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016AB598" w14:textId="77777777" w:rsidR="003E7632" w:rsidRPr="0055776F" w:rsidRDefault="003E7632" w:rsidP="0061715E">
                                  <w:pPr>
                                    <w:rPr>
                                      <w:rFonts w:ascii="Arial" w:hAnsi="Arial" w:cs="Arial"/>
                                      <w:sz w:val="20"/>
                                    </w:rPr>
                                  </w:pPr>
                                  <w:r w:rsidRPr="0055776F">
                                    <w:rPr>
                                      <w:rFonts w:ascii="Arial" w:hAnsi="Arial" w:cs="Arial"/>
                                      <w:sz w:val="20"/>
                                    </w:rPr>
                                    <w:t>Hazard ratio 0.45</w:t>
                                  </w:r>
                                </w:p>
                                <w:p w14:paraId="75C52C08" w14:textId="77777777" w:rsidR="003E7632" w:rsidRPr="0055776F" w:rsidRDefault="003E7632" w:rsidP="009039A5">
                                  <w:pPr>
                                    <w:rPr>
                                      <w:rFonts w:ascii="Arial" w:hAnsi="Arial" w:cs="Arial"/>
                                      <w:sz w:val="20"/>
                                      <w:lang w:val="de-DE"/>
                                    </w:rPr>
                                  </w:pPr>
                                  <w:r>
                                    <w:rPr>
                                      <w:rFonts w:ascii="Arial" w:hAnsi="Arial" w:cs="Arial"/>
                                      <w:sz w:val="20"/>
                                    </w:rPr>
                                    <w:t>(95 % Kl, 0,22</w:t>
                                  </w:r>
                                  <w:r>
                                    <w:rPr>
                                      <w:rFonts w:ascii="Arial" w:hAnsi="Arial" w:cs="Arial"/>
                                      <w:sz w:val="20"/>
                                    </w:rPr>
                                    <w:noBreakHyphen/>
                                    <w:t>0,</w:t>
                                  </w:r>
                                  <w:r w:rsidRPr="00A33DBA">
                                    <w:rPr>
                                      <w:rFonts w:ascii="Arial" w:hAnsi="Arial" w:cs="Arial"/>
                                      <w:sz w:val="20"/>
                                    </w:rPr>
                                    <w:t>89)</w:t>
                                  </w:r>
                                </w:p>
                              </w:tc>
                            </w:tr>
                            <w:tr w:rsidR="003E7632" w:rsidRPr="0055776F" w14:paraId="49A85694" w14:textId="77777777" w:rsidTr="009039A5">
                              <w:tc>
                                <w:tcPr>
                                  <w:tcW w:w="817" w:type="dxa"/>
                                  <w:shd w:val="clear" w:color="auto" w:fill="auto"/>
                                </w:tcPr>
                                <w:p w14:paraId="67146E18" w14:textId="77777777" w:rsidR="003E7632" w:rsidRPr="0055776F" w:rsidRDefault="003E7632" w:rsidP="0061715E">
                                  <w:pPr>
                                    <w:rPr>
                                      <w:rFonts w:ascii="Arial" w:hAnsi="Arial" w:cs="Arial"/>
                                      <w:sz w:val="20"/>
                                    </w:rPr>
                                  </w:pPr>
                                </w:p>
                              </w:tc>
                              <w:tc>
                                <w:tcPr>
                                  <w:tcW w:w="2693" w:type="dxa"/>
                                  <w:shd w:val="clear" w:color="auto" w:fill="auto"/>
                                </w:tcPr>
                                <w:p w14:paraId="15D087A8" w14:textId="77777777" w:rsidR="003E7632" w:rsidRPr="0055776F" w:rsidRDefault="003E7632" w:rsidP="0061715E">
                                  <w:pPr>
                                    <w:rPr>
                                      <w:rFonts w:ascii="Arial" w:hAnsi="Arial" w:cs="Arial"/>
                                      <w:sz w:val="20"/>
                                    </w:rPr>
                                  </w:pPr>
                                </w:p>
                              </w:tc>
                              <w:tc>
                                <w:tcPr>
                                  <w:tcW w:w="851" w:type="dxa"/>
                                  <w:tcBorders>
                                    <w:bottom w:val="single" w:sz="4" w:space="0" w:color="auto"/>
                                  </w:tcBorders>
                                  <w:shd w:val="clear" w:color="auto" w:fill="auto"/>
                                </w:tcPr>
                                <w:p w14:paraId="7BF0F1F3" w14:textId="77777777" w:rsidR="003E7632" w:rsidRPr="0055776F" w:rsidRDefault="003E7632" w:rsidP="0061715E">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657EE0C6" w14:textId="77777777" w:rsidR="003E7632" w:rsidRPr="0055776F" w:rsidRDefault="003E7632" w:rsidP="0061715E">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4F82028A" w14:textId="77777777" w:rsidR="003E7632" w:rsidRPr="0055776F" w:rsidRDefault="003E7632" w:rsidP="0061715E">
                                  <w:pPr>
                                    <w:rPr>
                                      <w:rFonts w:ascii="Arial" w:hAnsi="Arial" w:cs="Arial"/>
                                      <w:sz w:val="20"/>
                                    </w:rPr>
                                  </w:pPr>
                                  <w:r w:rsidRPr="0055776F">
                                    <w:rPr>
                                      <w:rFonts w:ascii="Arial" w:hAnsi="Arial" w:cs="Arial"/>
                                      <w:sz w:val="20"/>
                                      <w:lang w:val="de-DE"/>
                                    </w:rPr>
                                    <w:t>Cen</w:t>
                                  </w:r>
                                </w:p>
                              </w:tc>
                            </w:tr>
                            <w:tr w:rsidR="003E7632" w:rsidRPr="0055776F" w14:paraId="6AC99DED" w14:textId="77777777" w:rsidTr="009039A5">
                              <w:tc>
                                <w:tcPr>
                                  <w:tcW w:w="817" w:type="dxa"/>
                                  <w:shd w:val="clear" w:color="auto" w:fill="auto"/>
                                </w:tcPr>
                                <w:p w14:paraId="5A0E3B90" w14:textId="77777777" w:rsidR="003E7632" w:rsidRPr="0055776F" w:rsidRDefault="003E7632" w:rsidP="0061715E">
                                  <w:pPr>
                                    <w:rPr>
                                      <w:rFonts w:ascii="Arial" w:hAnsi="Arial" w:cs="Arial"/>
                                      <w:sz w:val="20"/>
                                    </w:rPr>
                                  </w:pPr>
                                  <w:r w:rsidRPr="0055776F">
                                    <w:rPr>
                                      <w:rFonts w:ascii="Arial" w:hAnsi="Arial" w:cs="Arial"/>
                                      <w:b/>
                                      <w:sz w:val="20"/>
                                    </w:rPr>
                                    <w:t>——</w:t>
                                  </w:r>
                                </w:p>
                              </w:tc>
                              <w:tc>
                                <w:tcPr>
                                  <w:tcW w:w="2693" w:type="dxa"/>
                                  <w:shd w:val="clear" w:color="auto" w:fill="auto"/>
                                </w:tcPr>
                                <w:p w14:paraId="6F0FEE4F" w14:textId="77777777" w:rsidR="003E7632" w:rsidRPr="0055776F" w:rsidRDefault="003E7632" w:rsidP="007E1E98">
                                  <w:pPr>
                                    <w:rPr>
                                      <w:rFonts w:ascii="Arial" w:hAnsi="Arial" w:cs="Arial"/>
                                      <w:sz w:val="20"/>
                                    </w:rPr>
                                  </w:pPr>
                                  <w:r>
                                    <w:rPr>
                                      <w:rFonts w:ascii="Arial" w:hAnsi="Arial" w:cs="Arial"/>
                                      <w:sz w:val="20"/>
                                    </w:rPr>
                                    <w:t>(1) Imatinib 12 månader</w:t>
                                  </w:r>
                                  <w:r w:rsidRPr="0055776F">
                                    <w:rPr>
                                      <w:rFonts w:ascii="Arial" w:hAnsi="Arial" w:cs="Arial"/>
                                      <w:sz w:val="20"/>
                                    </w:rPr>
                                    <w:t>:</w:t>
                                  </w:r>
                                </w:p>
                              </w:tc>
                              <w:tc>
                                <w:tcPr>
                                  <w:tcW w:w="851" w:type="dxa"/>
                                  <w:tcBorders>
                                    <w:top w:val="single" w:sz="4" w:space="0" w:color="auto"/>
                                  </w:tcBorders>
                                  <w:shd w:val="clear" w:color="auto" w:fill="auto"/>
                                </w:tcPr>
                                <w:p w14:paraId="51363539" w14:textId="77777777" w:rsidR="003E7632" w:rsidRPr="0055776F" w:rsidRDefault="003E7632" w:rsidP="0061715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27A4B489" w14:textId="77777777" w:rsidR="003E7632" w:rsidRPr="0055776F" w:rsidRDefault="003E7632" w:rsidP="0061715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74AEA3AA" w14:textId="77777777" w:rsidR="003E7632" w:rsidRPr="0055776F" w:rsidRDefault="003E7632" w:rsidP="0061715E">
                                  <w:pPr>
                                    <w:rPr>
                                      <w:rFonts w:ascii="Arial" w:hAnsi="Arial" w:cs="Arial"/>
                                      <w:sz w:val="20"/>
                                    </w:rPr>
                                  </w:pPr>
                                  <w:r w:rsidRPr="0055776F">
                                    <w:rPr>
                                      <w:rFonts w:ascii="Arial" w:hAnsi="Arial" w:cs="Arial"/>
                                      <w:sz w:val="20"/>
                                    </w:rPr>
                                    <w:t>174</w:t>
                                  </w:r>
                                </w:p>
                              </w:tc>
                            </w:tr>
                            <w:tr w:rsidR="003E7632" w:rsidRPr="0055776F" w14:paraId="2344DF80" w14:textId="77777777" w:rsidTr="009039A5">
                              <w:tc>
                                <w:tcPr>
                                  <w:tcW w:w="817" w:type="dxa"/>
                                  <w:shd w:val="clear" w:color="auto" w:fill="auto"/>
                                </w:tcPr>
                                <w:p w14:paraId="53BC7FF6"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shd w:val="clear" w:color="auto" w:fill="auto"/>
                                </w:tcPr>
                                <w:p w14:paraId="0185EBBE" w14:textId="77777777" w:rsidR="003E7632" w:rsidRPr="0055776F" w:rsidRDefault="003E7632" w:rsidP="007E1E98">
                                  <w:pPr>
                                    <w:rPr>
                                      <w:rFonts w:ascii="Arial" w:hAnsi="Arial" w:cs="Arial"/>
                                      <w:sz w:val="20"/>
                                    </w:rPr>
                                  </w:pPr>
                                  <w:r>
                                    <w:rPr>
                                      <w:rFonts w:ascii="Arial" w:hAnsi="Arial" w:cs="Arial"/>
                                      <w:sz w:val="20"/>
                                    </w:rPr>
                                    <w:t>(2) Imatinib 36 månader</w:t>
                                  </w:r>
                                  <w:r w:rsidRPr="0055776F">
                                    <w:rPr>
                                      <w:rFonts w:ascii="Arial" w:hAnsi="Arial" w:cs="Arial"/>
                                      <w:sz w:val="20"/>
                                    </w:rPr>
                                    <w:t>:</w:t>
                                  </w:r>
                                </w:p>
                              </w:tc>
                              <w:tc>
                                <w:tcPr>
                                  <w:tcW w:w="851" w:type="dxa"/>
                                  <w:tcBorders>
                                    <w:bottom w:val="single" w:sz="4" w:space="0" w:color="auto"/>
                                  </w:tcBorders>
                                  <w:shd w:val="clear" w:color="auto" w:fill="auto"/>
                                </w:tcPr>
                                <w:p w14:paraId="09B196AB" w14:textId="77777777" w:rsidR="003E7632" w:rsidRPr="0055776F" w:rsidRDefault="003E7632" w:rsidP="0061715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CEDCBE6" w14:textId="77777777" w:rsidR="003E7632" w:rsidRPr="0055776F" w:rsidRDefault="003E7632" w:rsidP="0061715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49B44195" w14:textId="77777777" w:rsidR="003E7632" w:rsidRPr="0055776F" w:rsidRDefault="003E7632" w:rsidP="0061715E">
                                  <w:pPr>
                                    <w:rPr>
                                      <w:rFonts w:ascii="Arial" w:hAnsi="Arial" w:cs="Arial"/>
                                      <w:sz w:val="20"/>
                                    </w:rPr>
                                  </w:pPr>
                                  <w:r w:rsidRPr="0055776F">
                                    <w:rPr>
                                      <w:rFonts w:ascii="Arial" w:hAnsi="Arial" w:cs="Arial"/>
                                      <w:sz w:val="20"/>
                                    </w:rPr>
                                    <w:t>186</w:t>
                                  </w:r>
                                </w:p>
                              </w:tc>
                            </w:tr>
                            <w:tr w:rsidR="003E7632" w:rsidRPr="0055776F" w14:paraId="518204C9" w14:textId="77777777" w:rsidTr="009039A5">
                              <w:tc>
                                <w:tcPr>
                                  <w:tcW w:w="817" w:type="dxa"/>
                                  <w:shd w:val="clear" w:color="auto" w:fill="auto"/>
                                </w:tcPr>
                                <w:p w14:paraId="243EFA55"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shd w:val="clear" w:color="auto" w:fill="auto"/>
                                </w:tcPr>
                                <w:p w14:paraId="1F1657A3" w14:textId="77777777" w:rsidR="003E7632" w:rsidRPr="0055776F" w:rsidRDefault="003E7632" w:rsidP="0061715E">
                                  <w:pPr>
                                    <w:rPr>
                                      <w:rFonts w:ascii="Arial" w:hAnsi="Arial" w:cs="Arial"/>
                                      <w:sz w:val="20"/>
                                    </w:rPr>
                                  </w:pPr>
                                  <w:r>
                                    <w:rPr>
                                      <w:rFonts w:ascii="Arial" w:hAnsi="Arial" w:cs="Arial"/>
                                      <w:sz w:val="20"/>
                                    </w:rPr>
                                    <w:t>Censurerade observationer</w:t>
                                  </w:r>
                                </w:p>
                              </w:tc>
                              <w:tc>
                                <w:tcPr>
                                  <w:tcW w:w="851" w:type="dxa"/>
                                  <w:tcBorders>
                                    <w:top w:val="single" w:sz="4" w:space="0" w:color="auto"/>
                                  </w:tcBorders>
                                  <w:shd w:val="clear" w:color="auto" w:fill="auto"/>
                                </w:tcPr>
                                <w:p w14:paraId="372CCA01" w14:textId="77777777" w:rsidR="003E7632" w:rsidRPr="0055776F" w:rsidRDefault="003E7632" w:rsidP="0061715E">
                                  <w:pPr>
                                    <w:rPr>
                                      <w:rFonts w:ascii="Arial" w:hAnsi="Arial" w:cs="Arial"/>
                                      <w:sz w:val="20"/>
                                    </w:rPr>
                                  </w:pPr>
                                </w:p>
                              </w:tc>
                              <w:tc>
                                <w:tcPr>
                                  <w:tcW w:w="709" w:type="dxa"/>
                                  <w:tcBorders>
                                    <w:top w:val="single" w:sz="4" w:space="0" w:color="auto"/>
                                  </w:tcBorders>
                                  <w:shd w:val="clear" w:color="auto" w:fill="auto"/>
                                </w:tcPr>
                                <w:p w14:paraId="4C4E4E45" w14:textId="77777777" w:rsidR="003E7632" w:rsidRPr="0055776F" w:rsidRDefault="003E7632" w:rsidP="0061715E">
                                  <w:pPr>
                                    <w:rPr>
                                      <w:rFonts w:ascii="Arial" w:hAnsi="Arial" w:cs="Arial"/>
                                      <w:sz w:val="20"/>
                                    </w:rPr>
                                  </w:pPr>
                                </w:p>
                              </w:tc>
                              <w:tc>
                                <w:tcPr>
                                  <w:tcW w:w="850" w:type="dxa"/>
                                  <w:tcBorders>
                                    <w:top w:val="single" w:sz="4" w:space="0" w:color="auto"/>
                                  </w:tcBorders>
                                  <w:shd w:val="clear" w:color="auto" w:fill="auto"/>
                                </w:tcPr>
                                <w:p w14:paraId="731D98F6" w14:textId="77777777" w:rsidR="003E7632" w:rsidRPr="0055776F" w:rsidRDefault="003E7632" w:rsidP="0061715E">
                                  <w:pPr>
                                    <w:rPr>
                                      <w:rFonts w:ascii="Arial" w:hAnsi="Arial" w:cs="Arial"/>
                                      <w:sz w:val="20"/>
                                    </w:rPr>
                                  </w:pPr>
                                </w:p>
                              </w:tc>
                            </w:tr>
                          </w:tbl>
                          <w:p w14:paraId="03FE70C2" w14:textId="77777777" w:rsidR="003E7632" w:rsidRPr="00A33DBA" w:rsidRDefault="003E7632" w:rsidP="00547CA2">
                            <w:pPr>
                              <w:rPr>
                                <w:rFonts w:ascii="Arial" w:hAnsi="Arial" w:cs="Arial"/>
                                <w:sz w:val="20"/>
                              </w:rPr>
                            </w:pPr>
                          </w:p>
                          <w:p w14:paraId="53387EDE" w14:textId="77777777" w:rsidR="003E7632" w:rsidRPr="00A33DBA" w:rsidRDefault="003E7632" w:rsidP="00547CA2">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DAA06B" id="_x0000_s1035" type="#_x0000_t202" style="position:absolute;margin-left:27.6pt;margin-top:73.6pt;width:361.05pt;height:1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" filled="f" stroked="f">
                <v:textbox>
                  <w:txbxContent>
                    <w:p w14:paraId="7FC439AF" w14:textId="77777777" w:rsidR="003E7632" w:rsidRDefault="003E7632" w:rsidP="00547CA2">
                      <w:pPr>
                        <w:rPr>
                          <w:rFonts w:ascii="Arial" w:hAnsi="Arial" w:cs="Arial"/>
                          <w:sz w:val="20"/>
                        </w:rPr>
                      </w:pPr>
                    </w:p>
                    <w:tbl>
                      <w:tblPr>
                        <w:tblW w:w="0" w:type="auto"/>
                        <w:tblLook w:val="04A0" w:firstRow="1" w:lastRow="0" w:firstColumn="1" w:lastColumn="0" w:noHBand="0" w:noVBand="1"/>
                      </w:tblPr>
                      <w:tblGrid>
                        <w:gridCol w:w="817"/>
                        <w:gridCol w:w="2693"/>
                        <w:gridCol w:w="851"/>
                        <w:gridCol w:w="709"/>
                        <w:gridCol w:w="850"/>
                      </w:tblGrid>
                      <w:tr w:rsidR="003E7632" w:rsidRPr="0055776F" w14:paraId="2837285E" w14:textId="77777777" w:rsidTr="009039A5">
                        <w:tc>
                          <w:tcPr>
                            <w:tcW w:w="5920" w:type="dxa"/>
                            <w:gridSpan w:val="5"/>
                            <w:shd w:val="clear" w:color="auto" w:fill="auto"/>
                          </w:tcPr>
                          <w:p w14:paraId="25E5F167" w14:textId="77777777" w:rsidR="003E7632" w:rsidRPr="0055776F" w:rsidRDefault="003E7632" w:rsidP="0061715E">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016AB598" w14:textId="77777777" w:rsidR="003E7632" w:rsidRPr="0055776F" w:rsidRDefault="003E7632" w:rsidP="0061715E">
                            <w:pPr>
                              <w:rPr>
                                <w:rFonts w:ascii="Arial" w:hAnsi="Arial" w:cs="Arial"/>
                                <w:sz w:val="20"/>
                              </w:rPr>
                            </w:pPr>
                            <w:r w:rsidRPr="0055776F">
                              <w:rPr>
                                <w:rFonts w:ascii="Arial" w:hAnsi="Arial" w:cs="Arial"/>
                                <w:sz w:val="20"/>
                              </w:rPr>
                              <w:t>Hazard ratio 0.45</w:t>
                            </w:r>
                          </w:p>
                          <w:p w14:paraId="75C52C08" w14:textId="77777777" w:rsidR="003E7632" w:rsidRPr="0055776F" w:rsidRDefault="003E7632" w:rsidP="009039A5">
                            <w:pPr>
                              <w:rPr>
                                <w:rFonts w:ascii="Arial" w:hAnsi="Arial" w:cs="Arial"/>
                                <w:sz w:val="20"/>
                                <w:lang w:val="de-DE"/>
                              </w:rPr>
                            </w:pPr>
                            <w:r>
                              <w:rPr>
                                <w:rFonts w:ascii="Arial" w:hAnsi="Arial" w:cs="Arial"/>
                                <w:sz w:val="20"/>
                              </w:rPr>
                              <w:t>(95 % Kl, 0,22</w:t>
                            </w:r>
                            <w:r>
                              <w:rPr>
                                <w:rFonts w:ascii="Arial" w:hAnsi="Arial" w:cs="Arial"/>
                                <w:sz w:val="20"/>
                              </w:rPr>
                              <w:noBreakHyphen/>
                              <w:t>0,</w:t>
                            </w:r>
                            <w:r w:rsidRPr="00A33DBA">
                              <w:rPr>
                                <w:rFonts w:ascii="Arial" w:hAnsi="Arial" w:cs="Arial"/>
                                <w:sz w:val="20"/>
                              </w:rPr>
                              <w:t>89)</w:t>
                            </w:r>
                          </w:p>
                        </w:tc>
                      </w:tr>
                      <w:tr w:rsidR="003E7632" w:rsidRPr="0055776F" w14:paraId="49A85694" w14:textId="77777777" w:rsidTr="009039A5">
                        <w:tc>
                          <w:tcPr>
                            <w:tcW w:w="817" w:type="dxa"/>
                            <w:shd w:val="clear" w:color="auto" w:fill="auto"/>
                          </w:tcPr>
                          <w:p w14:paraId="67146E18" w14:textId="77777777" w:rsidR="003E7632" w:rsidRPr="0055776F" w:rsidRDefault="003E7632" w:rsidP="0061715E">
                            <w:pPr>
                              <w:rPr>
                                <w:rFonts w:ascii="Arial" w:hAnsi="Arial" w:cs="Arial"/>
                                <w:sz w:val="20"/>
                              </w:rPr>
                            </w:pPr>
                          </w:p>
                        </w:tc>
                        <w:tc>
                          <w:tcPr>
                            <w:tcW w:w="2693" w:type="dxa"/>
                            <w:shd w:val="clear" w:color="auto" w:fill="auto"/>
                          </w:tcPr>
                          <w:p w14:paraId="15D087A8" w14:textId="77777777" w:rsidR="003E7632" w:rsidRPr="0055776F" w:rsidRDefault="003E7632" w:rsidP="0061715E">
                            <w:pPr>
                              <w:rPr>
                                <w:rFonts w:ascii="Arial" w:hAnsi="Arial" w:cs="Arial"/>
                                <w:sz w:val="20"/>
                              </w:rPr>
                            </w:pPr>
                          </w:p>
                        </w:tc>
                        <w:tc>
                          <w:tcPr>
                            <w:tcW w:w="851" w:type="dxa"/>
                            <w:tcBorders>
                              <w:bottom w:val="single" w:sz="4" w:space="0" w:color="auto"/>
                            </w:tcBorders>
                            <w:shd w:val="clear" w:color="auto" w:fill="auto"/>
                          </w:tcPr>
                          <w:p w14:paraId="7BF0F1F3" w14:textId="77777777" w:rsidR="003E7632" w:rsidRPr="0055776F" w:rsidRDefault="003E7632" w:rsidP="0061715E">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657EE0C6" w14:textId="77777777" w:rsidR="003E7632" w:rsidRPr="0055776F" w:rsidRDefault="003E7632" w:rsidP="0061715E">
                            <w:pPr>
                              <w:rPr>
                                <w:rFonts w:ascii="Arial" w:hAnsi="Arial" w:cs="Arial"/>
                                <w:sz w:val="20"/>
                              </w:rPr>
                            </w:pPr>
                            <w:r w:rsidRPr="0055776F">
                              <w:rPr>
                                <w:rFonts w:ascii="Arial" w:hAnsi="Arial" w:cs="Arial"/>
                                <w:sz w:val="20"/>
                                <w:lang w:val="de-DE"/>
                              </w:rPr>
                              <w:t>Evt</w:t>
                            </w:r>
                          </w:p>
                        </w:tc>
                        <w:tc>
                          <w:tcPr>
                            <w:tcW w:w="850" w:type="dxa"/>
                            <w:tcBorders>
                              <w:bottom w:val="single" w:sz="4" w:space="0" w:color="auto"/>
                            </w:tcBorders>
                            <w:shd w:val="clear" w:color="auto" w:fill="auto"/>
                          </w:tcPr>
                          <w:p w14:paraId="4F82028A" w14:textId="77777777" w:rsidR="003E7632" w:rsidRPr="0055776F" w:rsidRDefault="003E7632" w:rsidP="0061715E">
                            <w:pPr>
                              <w:rPr>
                                <w:rFonts w:ascii="Arial" w:hAnsi="Arial" w:cs="Arial"/>
                                <w:sz w:val="20"/>
                              </w:rPr>
                            </w:pPr>
                            <w:r w:rsidRPr="0055776F">
                              <w:rPr>
                                <w:rFonts w:ascii="Arial" w:hAnsi="Arial" w:cs="Arial"/>
                                <w:sz w:val="20"/>
                                <w:lang w:val="de-DE"/>
                              </w:rPr>
                              <w:t>Cen</w:t>
                            </w:r>
                          </w:p>
                        </w:tc>
                      </w:tr>
                      <w:tr w:rsidR="003E7632" w:rsidRPr="0055776F" w14:paraId="6AC99DED" w14:textId="77777777" w:rsidTr="009039A5">
                        <w:tc>
                          <w:tcPr>
                            <w:tcW w:w="817" w:type="dxa"/>
                            <w:shd w:val="clear" w:color="auto" w:fill="auto"/>
                          </w:tcPr>
                          <w:p w14:paraId="5A0E3B90" w14:textId="77777777" w:rsidR="003E7632" w:rsidRPr="0055776F" w:rsidRDefault="003E7632" w:rsidP="0061715E">
                            <w:pPr>
                              <w:rPr>
                                <w:rFonts w:ascii="Arial" w:hAnsi="Arial" w:cs="Arial"/>
                                <w:sz w:val="20"/>
                              </w:rPr>
                            </w:pPr>
                            <w:r w:rsidRPr="0055776F">
                              <w:rPr>
                                <w:rFonts w:ascii="Arial" w:hAnsi="Arial" w:cs="Arial"/>
                                <w:b/>
                                <w:sz w:val="20"/>
                              </w:rPr>
                              <w:t>——</w:t>
                            </w:r>
                          </w:p>
                        </w:tc>
                        <w:tc>
                          <w:tcPr>
                            <w:tcW w:w="2693" w:type="dxa"/>
                            <w:shd w:val="clear" w:color="auto" w:fill="auto"/>
                          </w:tcPr>
                          <w:p w14:paraId="6F0FEE4F" w14:textId="77777777" w:rsidR="003E7632" w:rsidRPr="0055776F" w:rsidRDefault="003E7632" w:rsidP="007E1E98">
                            <w:pPr>
                              <w:rPr>
                                <w:rFonts w:ascii="Arial" w:hAnsi="Arial" w:cs="Arial"/>
                                <w:sz w:val="20"/>
                              </w:rPr>
                            </w:pPr>
                            <w:r>
                              <w:rPr>
                                <w:rFonts w:ascii="Arial" w:hAnsi="Arial" w:cs="Arial"/>
                                <w:sz w:val="20"/>
                              </w:rPr>
                              <w:t>(1) Imatinib 12 månader</w:t>
                            </w:r>
                            <w:r w:rsidRPr="0055776F">
                              <w:rPr>
                                <w:rFonts w:ascii="Arial" w:hAnsi="Arial" w:cs="Arial"/>
                                <w:sz w:val="20"/>
                              </w:rPr>
                              <w:t>:</w:t>
                            </w:r>
                          </w:p>
                        </w:tc>
                        <w:tc>
                          <w:tcPr>
                            <w:tcW w:w="851" w:type="dxa"/>
                            <w:tcBorders>
                              <w:top w:val="single" w:sz="4" w:space="0" w:color="auto"/>
                            </w:tcBorders>
                            <w:shd w:val="clear" w:color="auto" w:fill="auto"/>
                          </w:tcPr>
                          <w:p w14:paraId="51363539" w14:textId="77777777" w:rsidR="003E7632" w:rsidRPr="0055776F" w:rsidRDefault="003E7632" w:rsidP="0061715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27A4B489" w14:textId="77777777" w:rsidR="003E7632" w:rsidRPr="0055776F" w:rsidRDefault="003E7632" w:rsidP="0061715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74AEA3AA" w14:textId="77777777" w:rsidR="003E7632" w:rsidRPr="0055776F" w:rsidRDefault="003E7632" w:rsidP="0061715E">
                            <w:pPr>
                              <w:rPr>
                                <w:rFonts w:ascii="Arial" w:hAnsi="Arial" w:cs="Arial"/>
                                <w:sz w:val="20"/>
                              </w:rPr>
                            </w:pPr>
                            <w:r w:rsidRPr="0055776F">
                              <w:rPr>
                                <w:rFonts w:ascii="Arial" w:hAnsi="Arial" w:cs="Arial"/>
                                <w:sz w:val="20"/>
                              </w:rPr>
                              <w:t>174</w:t>
                            </w:r>
                          </w:p>
                        </w:tc>
                      </w:tr>
                      <w:tr w:rsidR="003E7632" w:rsidRPr="0055776F" w14:paraId="2344DF80" w14:textId="77777777" w:rsidTr="009039A5">
                        <w:tc>
                          <w:tcPr>
                            <w:tcW w:w="817" w:type="dxa"/>
                            <w:shd w:val="clear" w:color="auto" w:fill="auto"/>
                          </w:tcPr>
                          <w:p w14:paraId="53BC7FF6"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shd w:val="clear" w:color="auto" w:fill="auto"/>
                          </w:tcPr>
                          <w:p w14:paraId="0185EBBE" w14:textId="77777777" w:rsidR="003E7632" w:rsidRPr="0055776F" w:rsidRDefault="003E7632" w:rsidP="007E1E98">
                            <w:pPr>
                              <w:rPr>
                                <w:rFonts w:ascii="Arial" w:hAnsi="Arial" w:cs="Arial"/>
                                <w:sz w:val="20"/>
                              </w:rPr>
                            </w:pPr>
                            <w:r>
                              <w:rPr>
                                <w:rFonts w:ascii="Arial" w:hAnsi="Arial" w:cs="Arial"/>
                                <w:sz w:val="20"/>
                              </w:rPr>
                              <w:t>(2) Imatinib 36 månader</w:t>
                            </w:r>
                            <w:r w:rsidRPr="0055776F">
                              <w:rPr>
                                <w:rFonts w:ascii="Arial" w:hAnsi="Arial" w:cs="Arial"/>
                                <w:sz w:val="20"/>
                              </w:rPr>
                              <w:t>:</w:t>
                            </w:r>
                          </w:p>
                        </w:tc>
                        <w:tc>
                          <w:tcPr>
                            <w:tcW w:w="851" w:type="dxa"/>
                            <w:tcBorders>
                              <w:bottom w:val="single" w:sz="4" w:space="0" w:color="auto"/>
                            </w:tcBorders>
                            <w:shd w:val="clear" w:color="auto" w:fill="auto"/>
                          </w:tcPr>
                          <w:p w14:paraId="09B196AB" w14:textId="77777777" w:rsidR="003E7632" w:rsidRPr="0055776F" w:rsidRDefault="003E7632" w:rsidP="0061715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CEDCBE6" w14:textId="77777777" w:rsidR="003E7632" w:rsidRPr="0055776F" w:rsidRDefault="003E7632" w:rsidP="0061715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49B44195" w14:textId="77777777" w:rsidR="003E7632" w:rsidRPr="0055776F" w:rsidRDefault="003E7632" w:rsidP="0061715E">
                            <w:pPr>
                              <w:rPr>
                                <w:rFonts w:ascii="Arial" w:hAnsi="Arial" w:cs="Arial"/>
                                <w:sz w:val="20"/>
                              </w:rPr>
                            </w:pPr>
                            <w:r w:rsidRPr="0055776F">
                              <w:rPr>
                                <w:rFonts w:ascii="Arial" w:hAnsi="Arial" w:cs="Arial"/>
                                <w:sz w:val="20"/>
                              </w:rPr>
                              <w:t>186</w:t>
                            </w:r>
                          </w:p>
                        </w:tc>
                      </w:tr>
                      <w:tr w:rsidR="003E7632" w:rsidRPr="0055776F" w14:paraId="518204C9" w14:textId="77777777" w:rsidTr="009039A5">
                        <w:tc>
                          <w:tcPr>
                            <w:tcW w:w="817" w:type="dxa"/>
                            <w:shd w:val="clear" w:color="auto" w:fill="auto"/>
                          </w:tcPr>
                          <w:p w14:paraId="243EFA55" w14:textId="77777777" w:rsidR="003E7632" w:rsidRPr="0055776F" w:rsidRDefault="003E7632" w:rsidP="0061715E">
                            <w:pPr>
                              <w:rPr>
                                <w:rFonts w:ascii="Arial" w:hAnsi="Arial" w:cs="Arial"/>
                                <w:sz w:val="20"/>
                              </w:rPr>
                            </w:pPr>
                            <w:r w:rsidRPr="0055776F">
                              <w:rPr>
                                <w:rFonts w:ascii="Arial" w:hAnsi="Arial" w:cs="Arial"/>
                                <w:sz w:val="20"/>
                              </w:rPr>
                              <w:t>│││</w:t>
                            </w:r>
                          </w:p>
                        </w:tc>
                        <w:tc>
                          <w:tcPr>
                            <w:tcW w:w="2693" w:type="dxa"/>
                            <w:shd w:val="clear" w:color="auto" w:fill="auto"/>
                          </w:tcPr>
                          <w:p w14:paraId="1F1657A3" w14:textId="77777777" w:rsidR="003E7632" w:rsidRPr="0055776F" w:rsidRDefault="003E7632" w:rsidP="0061715E">
                            <w:pPr>
                              <w:rPr>
                                <w:rFonts w:ascii="Arial" w:hAnsi="Arial" w:cs="Arial"/>
                                <w:sz w:val="20"/>
                              </w:rPr>
                            </w:pPr>
                            <w:r>
                              <w:rPr>
                                <w:rFonts w:ascii="Arial" w:hAnsi="Arial" w:cs="Arial"/>
                                <w:sz w:val="20"/>
                              </w:rPr>
                              <w:t>Censurerade observationer</w:t>
                            </w:r>
                          </w:p>
                        </w:tc>
                        <w:tc>
                          <w:tcPr>
                            <w:tcW w:w="851" w:type="dxa"/>
                            <w:tcBorders>
                              <w:top w:val="single" w:sz="4" w:space="0" w:color="auto"/>
                            </w:tcBorders>
                            <w:shd w:val="clear" w:color="auto" w:fill="auto"/>
                          </w:tcPr>
                          <w:p w14:paraId="372CCA01" w14:textId="77777777" w:rsidR="003E7632" w:rsidRPr="0055776F" w:rsidRDefault="003E7632" w:rsidP="0061715E">
                            <w:pPr>
                              <w:rPr>
                                <w:rFonts w:ascii="Arial" w:hAnsi="Arial" w:cs="Arial"/>
                                <w:sz w:val="20"/>
                              </w:rPr>
                            </w:pPr>
                          </w:p>
                        </w:tc>
                        <w:tc>
                          <w:tcPr>
                            <w:tcW w:w="709" w:type="dxa"/>
                            <w:tcBorders>
                              <w:top w:val="single" w:sz="4" w:space="0" w:color="auto"/>
                            </w:tcBorders>
                            <w:shd w:val="clear" w:color="auto" w:fill="auto"/>
                          </w:tcPr>
                          <w:p w14:paraId="4C4E4E45" w14:textId="77777777" w:rsidR="003E7632" w:rsidRPr="0055776F" w:rsidRDefault="003E7632" w:rsidP="0061715E">
                            <w:pPr>
                              <w:rPr>
                                <w:rFonts w:ascii="Arial" w:hAnsi="Arial" w:cs="Arial"/>
                                <w:sz w:val="20"/>
                              </w:rPr>
                            </w:pPr>
                          </w:p>
                        </w:tc>
                        <w:tc>
                          <w:tcPr>
                            <w:tcW w:w="850" w:type="dxa"/>
                            <w:tcBorders>
                              <w:top w:val="single" w:sz="4" w:space="0" w:color="auto"/>
                            </w:tcBorders>
                            <w:shd w:val="clear" w:color="auto" w:fill="auto"/>
                          </w:tcPr>
                          <w:p w14:paraId="731D98F6" w14:textId="77777777" w:rsidR="003E7632" w:rsidRPr="0055776F" w:rsidRDefault="003E7632" w:rsidP="0061715E">
                            <w:pPr>
                              <w:rPr>
                                <w:rFonts w:ascii="Arial" w:hAnsi="Arial" w:cs="Arial"/>
                                <w:sz w:val="20"/>
                              </w:rPr>
                            </w:pPr>
                          </w:p>
                        </w:tc>
                      </w:tr>
                    </w:tbl>
                    <w:p w14:paraId="03FE70C2" w14:textId="77777777" w:rsidR="003E7632" w:rsidRPr="00A33DBA" w:rsidRDefault="003E7632" w:rsidP="00547CA2">
                      <w:pPr>
                        <w:rPr>
                          <w:rFonts w:ascii="Arial" w:hAnsi="Arial" w:cs="Arial"/>
                          <w:sz w:val="20"/>
                        </w:rPr>
                      </w:pPr>
                    </w:p>
                    <w:p w14:paraId="53387EDE" w14:textId="77777777" w:rsidR="003E7632" w:rsidRPr="00A33DBA" w:rsidRDefault="003E7632" w:rsidP="00547CA2">
                      <w:pPr>
                        <w:rPr>
                          <w:rFonts w:ascii="Arial" w:hAnsi="Arial" w:cs="Arial"/>
                          <w:sz w:val="20"/>
                        </w:rPr>
                      </w:pPr>
                    </w:p>
                  </w:txbxContent>
                </v:textbox>
              </v:shape>
            </w:pict>
          </mc:Fallback>
        </mc:AlternateContent>
      </w:r>
      <w:r w:rsidRPr="00D82973">
        <w:rPr>
          <w:noProof/>
          <w:lang w:val="en-US"/>
        </w:rPr>
        <w:drawing>
          <wp:inline distT="0" distB="0" distL="0" distR="0" wp14:anchorId="2D5624AC" wp14:editId="5CC9A7BC">
            <wp:extent cx="5948680" cy="26365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8680" cy="2636520"/>
                    </a:xfrm>
                    <a:prstGeom prst="rect">
                      <a:avLst/>
                    </a:prstGeom>
                    <a:noFill/>
                    <a:ln>
                      <a:noFill/>
                    </a:ln>
                  </pic:spPr>
                </pic:pic>
              </a:graphicData>
            </a:graphic>
          </wp:inline>
        </w:drawing>
      </w:r>
    </w:p>
    <w:p w14:paraId="4BC631BD" w14:textId="77777777" w:rsidR="00547CA2" w:rsidRDefault="000B798D" w:rsidP="00463647">
      <w:pPr>
        <w:keepLines/>
        <w:widowControl w:val="0"/>
        <w:tabs>
          <w:tab w:val="clear" w:pos="567"/>
        </w:tabs>
        <w:spacing w:line="240" w:lineRule="auto"/>
        <w:rPr>
          <w:rFonts w:eastAsia="MS Mincho"/>
          <w:szCs w:val="22"/>
          <w:lang w:val="en-US"/>
        </w:rPr>
      </w:pPr>
      <w:r>
        <w:rPr>
          <w:rFonts w:eastAsia="MS Mincho"/>
          <w:noProof/>
          <w:szCs w:val="22"/>
          <w:lang w:val="en-US"/>
        </w:rPr>
        <mc:AlternateContent>
          <mc:Choice Requires="wps">
            <w:drawing>
              <wp:anchor distT="0" distB="0" distL="114300" distR="114300" simplePos="0" relativeHeight="251662848" behindDoc="0" locked="0" layoutInCell="1" allowOverlap="1" wp14:anchorId="3F34BB8D" wp14:editId="650BEB69">
                <wp:simplePos x="0" y="0"/>
                <wp:positionH relativeFrom="column">
                  <wp:posOffset>2320290</wp:posOffset>
                </wp:positionH>
                <wp:positionV relativeFrom="paragraph">
                  <wp:posOffset>11430</wp:posOffset>
                </wp:positionV>
                <wp:extent cx="2268220" cy="3905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390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058670" w14:textId="77777777" w:rsidR="003E7632" w:rsidRPr="00A33DBA" w:rsidRDefault="003E7632" w:rsidP="00547CA2">
                            <w:pPr>
                              <w:rPr>
                                <w:rFonts w:ascii="Arial" w:hAnsi="Arial" w:cs="Arial"/>
                                <w:sz w:val="20"/>
                              </w:rPr>
                            </w:pPr>
                            <w:r>
                              <w:rPr>
                                <w:rFonts w:ascii="Arial" w:hAnsi="Arial" w:cs="Arial"/>
                                <w:sz w:val="20"/>
                                <w:lang w:val="de-DE"/>
                              </w:rPr>
                              <w:t>Överlevnadstid (månader)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34BB8D" id="_x0000_s1036" type="#_x0000_t202" style="position:absolute;margin-left:182.7pt;margin-top:.9pt;width:178.6pt;height:3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" stroked="f">
                <v:fill opacity="0"/>
                <v:textbox>
                  <w:txbxContent>
                    <w:p w14:paraId="64058670" w14:textId="77777777" w:rsidR="003E7632" w:rsidRPr="00A33DBA" w:rsidRDefault="003E7632" w:rsidP="00547CA2">
                      <w:pPr>
                        <w:rPr>
                          <w:rFonts w:ascii="Arial" w:hAnsi="Arial" w:cs="Arial"/>
                          <w:sz w:val="20"/>
                        </w:rPr>
                      </w:pPr>
                      <w:r>
                        <w:rPr>
                          <w:rFonts w:ascii="Arial" w:hAnsi="Arial" w:cs="Arial"/>
                          <w:sz w:val="20"/>
                          <w:lang w:val="de-DE"/>
                        </w:rPr>
                        <w:t>Överlevnadstid (månader)</w:t>
                      </w:r>
                    </w:p>
                  </w:txbxContent>
                </v:textbox>
              </v:shape>
            </w:pict>
          </mc:Fallback>
        </mc:AlternateContent>
      </w:r>
    </w:p>
    <w:p w14:paraId="0D6F0857" w14:textId="77777777" w:rsidR="00547CA2" w:rsidRDefault="00547CA2" w:rsidP="00463647">
      <w:pPr>
        <w:keepLines/>
        <w:widowControl w:val="0"/>
        <w:spacing w:line="240" w:lineRule="auto"/>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547CA2" w:rsidRPr="0055776F" w14:paraId="411FD8BA" w14:textId="77777777" w:rsidTr="00F17D9B">
        <w:tc>
          <w:tcPr>
            <w:tcW w:w="10632" w:type="dxa"/>
            <w:gridSpan w:val="16"/>
            <w:shd w:val="clear" w:color="auto" w:fill="auto"/>
          </w:tcPr>
          <w:p w14:paraId="779F9B90" w14:textId="77777777" w:rsidR="00547CA2" w:rsidRPr="0055776F" w:rsidRDefault="00547CA2" w:rsidP="00463647">
            <w:pPr>
              <w:keepLines/>
              <w:widowControl w:val="0"/>
              <w:spacing w:line="240" w:lineRule="auto"/>
              <w:ind w:left="-27"/>
              <w:rPr>
                <w:rFonts w:ascii="Arial" w:hAnsi="Arial" w:cs="Arial"/>
                <w:sz w:val="16"/>
                <w:szCs w:val="16"/>
              </w:rPr>
            </w:pPr>
            <w:r w:rsidRPr="009039A5">
              <w:rPr>
                <w:rFonts w:ascii="Arial" w:hAnsi="Arial" w:cs="Arial"/>
                <w:sz w:val="20"/>
              </w:rPr>
              <w:t>Risk : Händelser</w:t>
            </w:r>
          </w:p>
        </w:tc>
      </w:tr>
      <w:tr w:rsidR="00547CA2" w:rsidRPr="0055776F" w14:paraId="6161A064" w14:textId="77777777" w:rsidTr="00F17D9B">
        <w:tc>
          <w:tcPr>
            <w:tcW w:w="450" w:type="dxa"/>
            <w:shd w:val="clear" w:color="auto" w:fill="auto"/>
          </w:tcPr>
          <w:p w14:paraId="7DCA2352" w14:textId="77777777" w:rsidR="00547CA2" w:rsidRPr="0055776F" w:rsidRDefault="00547CA2" w:rsidP="00463647">
            <w:pPr>
              <w:keepLines/>
              <w:widowControl w:val="0"/>
              <w:spacing w:line="240" w:lineRule="auto"/>
              <w:rPr>
                <w:sz w:val="20"/>
              </w:rPr>
            </w:pPr>
            <w:r w:rsidRPr="0055776F">
              <w:rPr>
                <w:sz w:val="20"/>
              </w:rPr>
              <w:t>(1)</w:t>
            </w:r>
          </w:p>
        </w:tc>
        <w:tc>
          <w:tcPr>
            <w:tcW w:w="691" w:type="dxa"/>
            <w:shd w:val="clear" w:color="auto" w:fill="auto"/>
          </w:tcPr>
          <w:p w14:paraId="4EB9F321" w14:textId="77777777" w:rsidR="00547CA2" w:rsidRPr="0055776F" w:rsidRDefault="00547CA2" w:rsidP="00463647">
            <w:pPr>
              <w:keepLines/>
              <w:widowControl w:val="0"/>
              <w:spacing w:line="240" w:lineRule="auto"/>
              <w:ind w:left="-45"/>
              <w:rPr>
                <w:sz w:val="20"/>
              </w:rPr>
            </w:pPr>
            <w:r w:rsidRPr="0055776F">
              <w:rPr>
                <w:sz w:val="20"/>
              </w:rPr>
              <w:t>199:0</w:t>
            </w:r>
          </w:p>
        </w:tc>
        <w:tc>
          <w:tcPr>
            <w:tcW w:w="672" w:type="dxa"/>
            <w:shd w:val="clear" w:color="auto" w:fill="auto"/>
          </w:tcPr>
          <w:p w14:paraId="4EB11A05" w14:textId="77777777" w:rsidR="00547CA2" w:rsidRPr="0055776F" w:rsidRDefault="00547CA2" w:rsidP="00463647">
            <w:pPr>
              <w:keepLines/>
              <w:widowControl w:val="0"/>
              <w:spacing w:line="240" w:lineRule="auto"/>
              <w:ind w:left="-45"/>
              <w:rPr>
                <w:sz w:val="20"/>
              </w:rPr>
            </w:pPr>
            <w:r w:rsidRPr="0055776F">
              <w:rPr>
                <w:sz w:val="20"/>
              </w:rPr>
              <w:t>190:2</w:t>
            </w:r>
          </w:p>
        </w:tc>
        <w:tc>
          <w:tcPr>
            <w:tcW w:w="714" w:type="dxa"/>
            <w:shd w:val="clear" w:color="auto" w:fill="auto"/>
          </w:tcPr>
          <w:p w14:paraId="7B401445" w14:textId="77777777" w:rsidR="00547CA2" w:rsidRPr="0055776F" w:rsidRDefault="00547CA2" w:rsidP="00463647">
            <w:pPr>
              <w:keepLines/>
              <w:widowControl w:val="0"/>
              <w:spacing w:line="240" w:lineRule="auto"/>
              <w:ind w:left="-45"/>
              <w:rPr>
                <w:sz w:val="20"/>
              </w:rPr>
            </w:pPr>
            <w:r w:rsidRPr="0055776F">
              <w:rPr>
                <w:sz w:val="20"/>
              </w:rPr>
              <w:t>188:2</w:t>
            </w:r>
          </w:p>
        </w:tc>
        <w:tc>
          <w:tcPr>
            <w:tcW w:w="722" w:type="dxa"/>
            <w:shd w:val="clear" w:color="auto" w:fill="auto"/>
          </w:tcPr>
          <w:p w14:paraId="64568ED4" w14:textId="77777777" w:rsidR="00547CA2" w:rsidRPr="0055776F" w:rsidRDefault="00547CA2" w:rsidP="00463647">
            <w:pPr>
              <w:keepLines/>
              <w:widowControl w:val="0"/>
              <w:spacing w:line="240" w:lineRule="auto"/>
              <w:ind w:left="-45"/>
              <w:rPr>
                <w:sz w:val="20"/>
              </w:rPr>
            </w:pPr>
            <w:r w:rsidRPr="0055776F">
              <w:rPr>
                <w:sz w:val="20"/>
              </w:rPr>
              <w:t>183:6</w:t>
            </w:r>
          </w:p>
        </w:tc>
        <w:tc>
          <w:tcPr>
            <w:tcW w:w="694" w:type="dxa"/>
            <w:shd w:val="clear" w:color="auto" w:fill="auto"/>
          </w:tcPr>
          <w:p w14:paraId="67B24D47" w14:textId="77777777" w:rsidR="00547CA2" w:rsidRPr="0055776F" w:rsidRDefault="00547CA2" w:rsidP="00463647">
            <w:pPr>
              <w:keepLines/>
              <w:widowControl w:val="0"/>
              <w:spacing w:line="240" w:lineRule="auto"/>
              <w:ind w:left="-45"/>
              <w:rPr>
                <w:sz w:val="20"/>
              </w:rPr>
            </w:pPr>
            <w:r w:rsidRPr="0055776F">
              <w:rPr>
                <w:sz w:val="20"/>
              </w:rPr>
              <w:t>176:8</w:t>
            </w:r>
          </w:p>
        </w:tc>
        <w:tc>
          <w:tcPr>
            <w:tcW w:w="772" w:type="dxa"/>
            <w:shd w:val="clear" w:color="auto" w:fill="auto"/>
          </w:tcPr>
          <w:p w14:paraId="3E4B9D12" w14:textId="77777777" w:rsidR="00547CA2" w:rsidRPr="0055776F" w:rsidRDefault="00547CA2" w:rsidP="00463647">
            <w:pPr>
              <w:keepLines/>
              <w:widowControl w:val="0"/>
              <w:spacing w:line="240" w:lineRule="auto"/>
              <w:ind w:left="-45"/>
              <w:rPr>
                <w:sz w:val="20"/>
              </w:rPr>
            </w:pPr>
            <w:r w:rsidRPr="0055776F">
              <w:rPr>
                <w:sz w:val="20"/>
              </w:rPr>
              <w:t>156:10</w:t>
            </w:r>
          </w:p>
        </w:tc>
        <w:tc>
          <w:tcPr>
            <w:tcW w:w="782" w:type="dxa"/>
            <w:shd w:val="clear" w:color="auto" w:fill="auto"/>
          </w:tcPr>
          <w:p w14:paraId="75D5942D" w14:textId="77777777" w:rsidR="00547CA2" w:rsidRPr="0055776F" w:rsidRDefault="00547CA2" w:rsidP="00463647">
            <w:pPr>
              <w:keepLines/>
              <w:widowControl w:val="0"/>
              <w:spacing w:line="240" w:lineRule="auto"/>
              <w:ind w:left="-45"/>
              <w:rPr>
                <w:sz w:val="20"/>
              </w:rPr>
            </w:pPr>
            <w:r w:rsidRPr="0055776F">
              <w:rPr>
                <w:sz w:val="20"/>
              </w:rPr>
              <w:t>140:11</w:t>
            </w:r>
          </w:p>
        </w:tc>
        <w:tc>
          <w:tcPr>
            <w:tcW w:w="798" w:type="dxa"/>
            <w:shd w:val="clear" w:color="auto" w:fill="auto"/>
          </w:tcPr>
          <w:p w14:paraId="1DA27DFB" w14:textId="77777777" w:rsidR="00547CA2" w:rsidRPr="0055776F" w:rsidRDefault="00547CA2" w:rsidP="00463647">
            <w:pPr>
              <w:keepLines/>
              <w:widowControl w:val="0"/>
              <w:spacing w:line="240" w:lineRule="auto"/>
              <w:ind w:left="-45"/>
              <w:rPr>
                <w:sz w:val="20"/>
              </w:rPr>
            </w:pPr>
            <w:r w:rsidRPr="0055776F">
              <w:rPr>
                <w:sz w:val="20"/>
              </w:rPr>
              <w:t>105:14</w:t>
            </w:r>
          </w:p>
        </w:tc>
        <w:tc>
          <w:tcPr>
            <w:tcW w:w="654" w:type="dxa"/>
            <w:shd w:val="clear" w:color="auto" w:fill="auto"/>
          </w:tcPr>
          <w:p w14:paraId="7DC7D4EE" w14:textId="77777777" w:rsidR="00547CA2" w:rsidRPr="0055776F" w:rsidRDefault="00547CA2" w:rsidP="00463647">
            <w:pPr>
              <w:keepLines/>
              <w:widowControl w:val="0"/>
              <w:spacing w:line="240" w:lineRule="auto"/>
              <w:ind w:left="-45"/>
              <w:rPr>
                <w:sz w:val="20"/>
              </w:rPr>
            </w:pPr>
            <w:r w:rsidRPr="0055776F">
              <w:rPr>
                <w:sz w:val="20"/>
              </w:rPr>
              <w:t>87:18</w:t>
            </w:r>
          </w:p>
        </w:tc>
        <w:tc>
          <w:tcPr>
            <w:tcW w:w="630" w:type="dxa"/>
            <w:shd w:val="clear" w:color="auto" w:fill="auto"/>
          </w:tcPr>
          <w:p w14:paraId="7640AAFD" w14:textId="77777777" w:rsidR="00547CA2" w:rsidRPr="0055776F" w:rsidRDefault="00547CA2" w:rsidP="00463647">
            <w:pPr>
              <w:keepLines/>
              <w:widowControl w:val="0"/>
              <w:spacing w:line="240" w:lineRule="auto"/>
              <w:ind w:left="-45"/>
              <w:rPr>
                <w:sz w:val="20"/>
              </w:rPr>
            </w:pPr>
            <w:r w:rsidRPr="0055776F">
              <w:rPr>
                <w:sz w:val="20"/>
              </w:rPr>
              <w:t>64:22</w:t>
            </w:r>
          </w:p>
        </w:tc>
        <w:tc>
          <w:tcPr>
            <w:tcW w:w="644" w:type="dxa"/>
            <w:shd w:val="clear" w:color="auto" w:fill="auto"/>
          </w:tcPr>
          <w:p w14:paraId="29ECA7EB" w14:textId="77777777" w:rsidR="00547CA2" w:rsidRPr="0055776F" w:rsidRDefault="00547CA2" w:rsidP="00463647">
            <w:pPr>
              <w:keepLines/>
              <w:widowControl w:val="0"/>
              <w:spacing w:line="240" w:lineRule="auto"/>
              <w:ind w:left="-45"/>
              <w:rPr>
                <w:sz w:val="20"/>
              </w:rPr>
            </w:pPr>
            <w:r w:rsidRPr="0055776F">
              <w:rPr>
                <w:sz w:val="20"/>
              </w:rPr>
              <w:t>46:23</w:t>
            </w:r>
          </w:p>
        </w:tc>
        <w:tc>
          <w:tcPr>
            <w:tcW w:w="672" w:type="dxa"/>
            <w:shd w:val="clear" w:color="auto" w:fill="auto"/>
          </w:tcPr>
          <w:p w14:paraId="76F2AD85" w14:textId="77777777" w:rsidR="00547CA2" w:rsidRPr="0055776F" w:rsidRDefault="00547CA2" w:rsidP="00463647">
            <w:pPr>
              <w:keepLines/>
              <w:widowControl w:val="0"/>
              <w:spacing w:line="240" w:lineRule="auto"/>
              <w:ind w:left="-45"/>
              <w:rPr>
                <w:sz w:val="20"/>
              </w:rPr>
            </w:pPr>
            <w:r w:rsidRPr="0055776F">
              <w:rPr>
                <w:sz w:val="20"/>
              </w:rPr>
              <w:t>27:25</w:t>
            </w:r>
          </w:p>
        </w:tc>
        <w:tc>
          <w:tcPr>
            <w:tcW w:w="686" w:type="dxa"/>
            <w:shd w:val="clear" w:color="auto" w:fill="auto"/>
          </w:tcPr>
          <w:p w14:paraId="56F7CEA3" w14:textId="77777777" w:rsidR="00547CA2" w:rsidRPr="0055776F" w:rsidRDefault="00547CA2" w:rsidP="00463647">
            <w:pPr>
              <w:keepLines/>
              <w:widowControl w:val="0"/>
              <w:spacing w:line="240" w:lineRule="auto"/>
              <w:ind w:left="-45"/>
              <w:rPr>
                <w:sz w:val="20"/>
              </w:rPr>
            </w:pPr>
            <w:r w:rsidRPr="0055776F">
              <w:rPr>
                <w:sz w:val="20"/>
              </w:rPr>
              <w:t>20:25</w:t>
            </w:r>
          </w:p>
        </w:tc>
        <w:tc>
          <w:tcPr>
            <w:tcW w:w="560" w:type="dxa"/>
            <w:shd w:val="clear" w:color="auto" w:fill="auto"/>
          </w:tcPr>
          <w:p w14:paraId="7BBF1ED9" w14:textId="77777777" w:rsidR="00547CA2" w:rsidRPr="0055776F" w:rsidRDefault="00547CA2" w:rsidP="00463647">
            <w:pPr>
              <w:keepLines/>
              <w:widowControl w:val="0"/>
              <w:spacing w:line="240" w:lineRule="auto"/>
              <w:ind w:left="-45"/>
              <w:rPr>
                <w:sz w:val="20"/>
              </w:rPr>
            </w:pPr>
            <w:r w:rsidRPr="0055776F">
              <w:rPr>
                <w:sz w:val="20"/>
              </w:rPr>
              <w:t>2:25</w:t>
            </w:r>
          </w:p>
        </w:tc>
        <w:tc>
          <w:tcPr>
            <w:tcW w:w="491" w:type="dxa"/>
            <w:shd w:val="clear" w:color="auto" w:fill="auto"/>
          </w:tcPr>
          <w:p w14:paraId="6E0F70A7" w14:textId="77777777" w:rsidR="00547CA2" w:rsidRPr="0055776F" w:rsidRDefault="00547CA2" w:rsidP="00463647">
            <w:pPr>
              <w:keepLines/>
              <w:widowControl w:val="0"/>
              <w:spacing w:line="240" w:lineRule="auto"/>
              <w:ind w:left="-45"/>
              <w:rPr>
                <w:sz w:val="20"/>
              </w:rPr>
            </w:pPr>
            <w:r w:rsidRPr="0055776F">
              <w:rPr>
                <w:sz w:val="20"/>
              </w:rPr>
              <w:t>0:25</w:t>
            </w:r>
          </w:p>
        </w:tc>
      </w:tr>
      <w:tr w:rsidR="00547CA2" w:rsidRPr="0055776F" w14:paraId="0AD59673" w14:textId="77777777" w:rsidTr="00F17D9B">
        <w:tc>
          <w:tcPr>
            <w:tcW w:w="450" w:type="dxa"/>
            <w:shd w:val="clear" w:color="auto" w:fill="auto"/>
          </w:tcPr>
          <w:p w14:paraId="7953018E" w14:textId="77777777" w:rsidR="00547CA2" w:rsidRPr="0055776F" w:rsidRDefault="00547CA2" w:rsidP="00463647">
            <w:pPr>
              <w:keepLines/>
              <w:widowControl w:val="0"/>
              <w:spacing w:line="240" w:lineRule="auto"/>
              <w:rPr>
                <w:sz w:val="20"/>
              </w:rPr>
            </w:pPr>
            <w:r w:rsidRPr="0055776F">
              <w:rPr>
                <w:sz w:val="20"/>
              </w:rPr>
              <w:t>(2)</w:t>
            </w:r>
          </w:p>
        </w:tc>
        <w:tc>
          <w:tcPr>
            <w:tcW w:w="691" w:type="dxa"/>
            <w:shd w:val="clear" w:color="auto" w:fill="auto"/>
          </w:tcPr>
          <w:p w14:paraId="006F8DA4" w14:textId="77777777" w:rsidR="00547CA2" w:rsidRPr="0055776F" w:rsidRDefault="00547CA2" w:rsidP="00463647">
            <w:pPr>
              <w:keepLines/>
              <w:widowControl w:val="0"/>
              <w:spacing w:line="240" w:lineRule="auto"/>
              <w:ind w:left="-45"/>
              <w:rPr>
                <w:sz w:val="20"/>
              </w:rPr>
            </w:pPr>
            <w:r w:rsidRPr="0055776F">
              <w:rPr>
                <w:sz w:val="20"/>
              </w:rPr>
              <w:t>198:0</w:t>
            </w:r>
          </w:p>
        </w:tc>
        <w:tc>
          <w:tcPr>
            <w:tcW w:w="672" w:type="dxa"/>
            <w:shd w:val="clear" w:color="auto" w:fill="auto"/>
          </w:tcPr>
          <w:p w14:paraId="5299732A" w14:textId="77777777" w:rsidR="00547CA2" w:rsidRPr="0055776F" w:rsidRDefault="00547CA2" w:rsidP="00463647">
            <w:pPr>
              <w:keepLines/>
              <w:widowControl w:val="0"/>
              <w:spacing w:line="240" w:lineRule="auto"/>
              <w:ind w:left="-45"/>
              <w:rPr>
                <w:sz w:val="20"/>
              </w:rPr>
            </w:pPr>
            <w:r w:rsidRPr="0055776F">
              <w:rPr>
                <w:sz w:val="20"/>
              </w:rPr>
              <w:t>196:0</w:t>
            </w:r>
          </w:p>
        </w:tc>
        <w:tc>
          <w:tcPr>
            <w:tcW w:w="714" w:type="dxa"/>
            <w:shd w:val="clear" w:color="auto" w:fill="auto"/>
          </w:tcPr>
          <w:p w14:paraId="63E40100" w14:textId="77777777" w:rsidR="00547CA2" w:rsidRPr="0055776F" w:rsidRDefault="00547CA2" w:rsidP="00463647">
            <w:pPr>
              <w:keepLines/>
              <w:widowControl w:val="0"/>
              <w:spacing w:line="240" w:lineRule="auto"/>
              <w:ind w:left="-45"/>
              <w:rPr>
                <w:sz w:val="20"/>
              </w:rPr>
            </w:pPr>
            <w:r w:rsidRPr="0055776F">
              <w:rPr>
                <w:sz w:val="20"/>
              </w:rPr>
              <w:t>192:0</w:t>
            </w:r>
          </w:p>
        </w:tc>
        <w:tc>
          <w:tcPr>
            <w:tcW w:w="722" w:type="dxa"/>
            <w:shd w:val="clear" w:color="auto" w:fill="auto"/>
          </w:tcPr>
          <w:p w14:paraId="3D075423" w14:textId="77777777" w:rsidR="00547CA2" w:rsidRPr="0055776F" w:rsidRDefault="00547CA2" w:rsidP="00463647">
            <w:pPr>
              <w:keepLines/>
              <w:widowControl w:val="0"/>
              <w:spacing w:line="240" w:lineRule="auto"/>
              <w:ind w:left="-45"/>
              <w:rPr>
                <w:sz w:val="20"/>
              </w:rPr>
            </w:pPr>
            <w:r w:rsidRPr="0055776F">
              <w:rPr>
                <w:sz w:val="20"/>
              </w:rPr>
              <w:t>187:4</w:t>
            </w:r>
          </w:p>
        </w:tc>
        <w:tc>
          <w:tcPr>
            <w:tcW w:w="694" w:type="dxa"/>
            <w:shd w:val="clear" w:color="auto" w:fill="auto"/>
          </w:tcPr>
          <w:p w14:paraId="5D339536" w14:textId="77777777" w:rsidR="00547CA2" w:rsidRPr="0055776F" w:rsidRDefault="00547CA2" w:rsidP="00463647">
            <w:pPr>
              <w:keepLines/>
              <w:widowControl w:val="0"/>
              <w:spacing w:line="240" w:lineRule="auto"/>
              <w:ind w:left="-45"/>
              <w:rPr>
                <w:sz w:val="20"/>
              </w:rPr>
            </w:pPr>
            <w:r w:rsidRPr="0055776F">
              <w:rPr>
                <w:sz w:val="20"/>
              </w:rPr>
              <w:t>184:5</w:t>
            </w:r>
          </w:p>
        </w:tc>
        <w:tc>
          <w:tcPr>
            <w:tcW w:w="772" w:type="dxa"/>
            <w:shd w:val="clear" w:color="auto" w:fill="auto"/>
          </w:tcPr>
          <w:p w14:paraId="1EF011EF" w14:textId="77777777" w:rsidR="00547CA2" w:rsidRPr="0055776F" w:rsidRDefault="00547CA2" w:rsidP="00463647">
            <w:pPr>
              <w:keepLines/>
              <w:widowControl w:val="0"/>
              <w:spacing w:line="240" w:lineRule="auto"/>
              <w:ind w:left="-45"/>
              <w:rPr>
                <w:sz w:val="20"/>
              </w:rPr>
            </w:pPr>
            <w:r w:rsidRPr="0055776F">
              <w:rPr>
                <w:sz w:val="20"/>
              </w:rPr>
              <w:t>164:7</w:t>
            </w:r>
          </w:p>
        </w:tc>
        <w:tc>
          <w:tcPr>
            <w:tcW w:w="782" w:type="dxa"/>
            <w:shd w:val="clear" w:color="auto" w:fill="auto"/>
          </w:tcPr>
          <w:p w14:paraId="7AECC514" w14:textId="77777777" w:rsidR="00547CA2" w:rsidRPr="0055776F" w:rsidRDefault="00547CA2" w:rsidP="00463647">
            <w:pPr>
              <w:keepLines/>
              <w:widowControl w:val="0"/>
              <w:spacing w:line="240" w:lineRule="auto"/>
              <w:ind w:left="-45"/>
              <w:rPr>
                <w:sz w:val="20"/>
              </w:rPr>
            </w:pPr>
            <w:r w:rsidRPr="0055776F">
              <w:rPr>
                <w:sz w:val="20"/>
              </w:rPr>
              <w:t>152:7</w:t>
            </w:r>
          </w:p>
        </w:tc>
        <w:tc>
          <w:tcPr>
            <w:tcW w:w="798" w:type="dxa"/>
            <w:shd w:val="clear" w:color="auto" w:fill="auto"/>
          </w:tcPr>
          <w:p w14:paraId="68518680" w14:textId="77777777" w:rsidR="00547CA2" w:rsidRPr="0055776F" w:rsidRDefault="00547CA2" w:rsidP="00463647">
            <w:pPr>
              <w:keepLines/>
              <w:widowControl w:val="0"/>
              <w:spacing w:line="240" w:lineRule="auto"/>
              <w:ind w:left="-45"/>
              <w:rPr>
                <w:sz w:val="20"/>
              </w:rPr>
            </w:pPr>
            <w:r w:rsidRPr="0055776F">
              <w:rPr>
                <w:sz w:val="20"/>
              </w:rPr>
              <w:t>119:8</w:t>
            </w:r>
          </w:p>
        </w:tc>
        <w:tc>
          <w:tcPr>
            <w:tcW w:w="654" w:type="dxa"/>
            <w:shd w:val="clear" w:color="auto" w:fill="auto"/>
          </w:tcPr>
          <w:p w14:paraId="1AA1CE9E" w14:textId="77777777" w:rsidR="00547CA2" w:rsidRPr="0055776F" w:rsidRDefault="00547CA2" w:rsidP="00463647">
            <w:pPr>
              <w:keepLines/>
              <w:widowControl w:val="0"/>
              <w:spacing w:line="240" w:lineRule="auto"/>
              <w:ind w:left="-45"/>
              <w:rPr>
                <w:sz w:val="20"/>
              </w:rPr>
            </w:pPr>
            <w:r w:rsidRPr="0055776F">
              <w:rPr>
                <w:sz w:val="20"/>
              </w:rPr>
              <w:t>100:8</w:t>
            </w:r>
          </w:p>
        </w:tc>
        <w:tc>
          <w:tcPr>
            <w:tcW w:w="630" w:type="dxa"/>
            <w:shd w:val="clear" w:color="auto" w:fill="auto"/>
          </w:tcPr>
          <w:p w14:paraId="4C804F60" w14:textId="77777777" w:rsidR="00547CA2" w:rsidRPr="0055776F" w:rsidRDefault="00547CA2" w:rsidP="00463647">
            <w:pPr>
              <w:keepLines/>
              <w:widowControl w:val="0"/>
              <w:spacing w:line="240" w:lineRule="auto"/>
              <w:ind w:left="-45"/>
              <w:rPr>
                <w:sz w:val="20"/>
              </w:rPr>
            </w:pPr>
            <w:r w:rsidRPr="0055776F">
              <w:rPr>
                <w:sz w:val="20"/>
              </w:rPr>
              <w:t>76:10</w:t>
            </w:r>
          </w:p>
        </w:tc>
        <w:tc>
          <w:tcPr>
            <w:tcW w:w="644" w:type="dxa"/>
            <w:shd w:val="clear" w:color="auto" w:fill="auto"/>
          </w:tcPr>
          <w:p w14:paraId="7171F6C1" w14:textId="77777777" w:rsidR="00547CA2" w:rsidRPr="0055776F" w:rsidRDefault="00547CA2" w:rsidP="00463647">
            <w:pPr>
              <w:keepLines/>
              <w:widowControl w:val="0"/>
              <w:spacing w:line="240" w:lineRule="auto"/>
              <w:ind w:left="-45"/>
              <w:rPr>
                <w:sz w:val="20"/>
              </w:rPr>
            </w:pPr>
            <w:r w:rsidRPr="0055776F">
              <w:rPr>
                <w:sz w:val="20"/>
              </w:rPr>
              <w:t>56:11</w:t>
            </w:r>
          </w:p>
        </w:tc>
        <w:tc>
          <w:tcPr>
            <w:tcW w:w="672" w:type="dxa"/>
            <w:shd w:val="clear" w:color="auto" w:fill="auto"/>
          </w:tcPr>
          <w:p w14:paraId="3C1444FF" w14:textId="77777777" w:rsidR="00547CA2" w:rsidRPr="0055776F" w:rsidRDefault="00547CA2" w:rsidP="00463647">
            <w:pPr>
              <w:keepLines/>
              <w:widowControl w:val="0"/>
              <w:spacing w:line="240" w:lineRule="auto"/>
              <w:ind w:left="-45"/>
              <w:rPr>
                <w:sz w:val="20"/>
              </w:rPr>
            </w:pPr>
            <w:r w:rsidRPr="0055776F">
              <w:rPr>
                <w:sz w:val="20"/>
              </w:rPr>
              <w:t>31:11</w:t>
            </w:r>
          </w:p>
        </w:tc>
        <w:tc>
          <w:tcPr>
            <w:tcW w:w="686" w:type="dxa"/>
            <w:shd w:val="clear" w:color="auto" w:fill="auto"/>
          </w:tcPr>
          <w:p w14:paraId="70A7C047" w14:textId="77777777" w:rsidR="00547CA2" w:rsidRPr="0055776F" w:rsidRDefault="00547CA2" w:rsidP="00463647">
            <w:pPr>
              <w:keepLines/>
              <w:widowControl w:val="0"/>
              <w:spacing w:line="240" w:lineRule="auto"/>
              <w:ind w:left="-45"/>
              <w:rPr>
                <w:sz w:val="20"/>
              </w:rPr>
            </w:pPr>
            <w:r w:rsidRPr="0055776F">
              <w:rPr>
                <w:sz w:val="20"/>
              </w:rPr>
              <w:t>13:12</w:t>
            </w:r>
          </w:p>
        </w:tc>
        <w:tc>
          <w:tcPr>
            <w:tcW w:w="560" w:type="dxa"/>
            <w:shd w:val="clear" w:color="auto" w:fill="auto"/>
          </w:tcPr>
          <w:p w14:paraId="6E88553B" w14:textId="77777777" w:rsidR="00547CA2" w:rsidRPr="0055776F" w:rsidRDefault="00547CA2" w:rsidP="00463647">
            <w:pPr>
              <w:keepLines/>
              <w:widowControl w:val="0"/>
              <w:spacing w:line="240" w:lineRule="auto"/>
              <w:ind w:left="-45"/>
              <w:rPr>
                <w:sz w:val="20"/>
              </w:rPr>
            </w:pPr>
            <w:r>
              <w:rPr>
                <w:sz w:val="20"/>
              </w:rPr>
              <w:t>0</w:t>
            </w:r>
            <w:r w:rsidRPr="0055776F">
              <w:rPr>
                <w:sz w:val="20"/>
              </w:rPr>
              <w:t>:12</w:t>
            </w:r>
          </w:p>
        </w:tc>
        <w:tc>
          <w:tcPr>
            <w:tcW w:w="491" w:type="dxa"/>
            <w:shd w:val="clear" w:color="auto" w:fill="auto"/>
          </w:tcPr>
          <w:p w14:paraId="7F3AB8EF" w14:textId="77777777" w:rsidR="00547CA2" w:rsidRPr="0055776F" w:rsidRDefault="00547CA2" w:rsidP="00463647">
            <w:pPr>
              <w:keepLines/>
              <w:widowControl w:val="0"/>
              <w:spacing w:line="240" w:lineRule="auto"/>
              <w:ind w:left="-45"/>
              <w:rPr>
                <w:sz w:val="20"/>
              </w:rPr>
            </w:pPr>
          </w:p>
        </w:tc>
      </w:tr>
    </w:tbl>
    <w:p w14:paraId="3EF9635D" w14:textId="77777777" w:rsidR="00547CA2" w:rsidRDefault="00547CA2" w:rsidP="00463647">
      <w:pPr>
        <w:keepLines/>
        <w:widowControl w:val="0"/>
        <w:tabs>
          <w:tab w:val="clear" w:pos="567"/>
        </w:tabs>
        <w:spacing w:line="240" w:lineRule="auto"/>
        <w:rPr>
          <w:rFonts w:eastAsia="MS Mincho"/>
          <w:szCs w:val="22"/>
          <w:lang w:val="en-US"/>
        </w:rPr>
      </w:pPr>
    </w:p>
    <w:p w14:paraId="0065B95C" w14:textId="77777777" w:rsidR="00547CA2" w:rsidRPr="00134EC1" w:rsidRDefault="00547CA2" w:rsidP="00463647">
      <w:pPr>
        <w:pStyle w:val="EndnoteText"/>
        <w:widowControl w:val="0"/>
        <w:tabs>
          <w:tab w:val="clear" w:pos="567"/>
        </w:tabs>
        <w:rPr>
          <w:color w:val="000000"/>
          <w:szCs w:val="22"/>
          <w:lang w:val="sv-SE"/>
        </w:rPr>
      </w:pPr>
      <w:r>
        <w:rPr>
          <w:color w:val="000000"/>
          <w:szCs w:val="22"/>
          <w:lang w:val="sv-SE"/>
        </w:rPr>
        <w:t>Det finns inga kontrollerade studier hos barnpatienter med c-Kit positiv GIST. Sjutton (17) patienter med GIST (med eller utan Kit och PDGFR mutationer) har rapporterats i 7 publikationer. Åldern på dessa patienter sträckte sig från 8 till 18 år och imatinib gavs både i adjuvanta och metastaserande fall i doser från 300 till 800 mg dagligen. Majoriteten av barnpatienter som behandlats för GIST saknade data för att bekräfta c-kit eller PDGFR mutationer vilket kan ha lett till blandade kliniska utfall.</w:t>
      </w:r>
    </w:p>
    <w:p w14:paraId="5984B857" w14:textId="77777777" w:rsidR="00547CA2" w:rsidRPr="00FD5CFE" w:rsidRDefault="00547CA2" w:rsidP="00463647">
      <w:pPr>
        <w:widowControl w:val="0"/>
        <w:tabs>
          <w:tab w:val="clear" w:pos="567"/>
        </w:tabs>
        <w:spacing w:line="240" w:lineRule="auto"/>
        <w:rPr>
          <w:rFonts w:eastAsia="MS Mincho"/>
          <w:szCs w:val="22"/>
          <w:lang w:val="sv-SE"/>
        </w:rPr>
      </w:pPr>
    </w:p>
    <w:p w14:paraId="53A0CB1B" w14:textId="77777777" w:rsidR="00547CA2" w:rsidRPr="000E7AE9" w:rsidRDefault="00547CA2" w:rsidP="00463647">
      <w:pPr>
        <w:pStyle w:val="Nottoc-headings"/>
        <w:keepLines w:val="0"/>
        <w:widowControl w:val="0"/>
        <w:spacing w:before="0" w:after="0"/>
        <w:rPr>
          <w:rFonts w:ascii="Times New Roman" w:eastAsia="MS Mincho" w:hAnsi="Times New Roman"/>
          <w:b w:val="0"/>
          <w:color w:val="000000"/>
          <w:sz w:val="22"/>
          <w:szCs w:val="22"/>
          <w:u w:val="single"/>
          <w:lang w:val="sv-SE" w:eastAsia="ja-JP"/>
        </w:rPr>
      </w:pPr>
      <w:r w:rsidRPr="000E7AE9">
        <w:rPr>
          <w:rFonts w:ascii="Times New Roman" w:eastAsia="MS Mincho" w:hAnsi="Times New Roman"/>
          <w:b w:val="0"/>
          <w:color w:val="000000"/>
          <w:sz w:val="22"/>
          <w:szCs w:val="22"/>
          <w:u w:val="single"/>
          <w:lang w:val="sv-SE" w:eastAsia="ja-JP"/>
        </w:rPr>
        <w:t>Kliniska studier vid DFSP</w:t>
      </w:r>
    </w:p>
    <w:p w14:paraId="5A9CA971" w14:textId="77777777" w:rsidR="00547CA2" w:rsidRPr="000E7AE9" w:rsidRDefault="00547CA2" w:rsidP="00463647">
      <w:pPr>
        <w:pStyle w:val="EndnoteText"/>
        <w:widowControl w:val="0"/>
        <w:tabs>
          <w:tab w:val="clear" w:pos="567"/>
        </w:tabs>
        <w:rPr>
          <w:color w:val="000000"/>
          <w:szCs w:val="22"/>
          <w:lang w:val="sv-SE"/>
        </w:rPr>
      </w:pPr>
      <w:r w:rsidRPr="000E7AE9">
        <w:rPr>
          <w:color w:val="000000"/>
          <w:szCs w:val="22"/>
          <w:lang w:val="sv-SE"/>
        </w:rPr>
        <w:t xml:space="preserve">En fas II, öppen, multicenter klinisk studie (studie B2225) utfördes på 12 patienter med DFSP som behandlades med Glivec 800 mg dagligen. Åldrarna hos DFSP-patienterna sträckte sig från 23 till 75 år; DFSP var metastatisk, lokalt återkommande efter initial resektiv kirurgi och bedömd ej vara mottaglig för ytterligare resektiv kirurgi vid tidpunkten för inträde i studien. Primärt kännetecken för effekt baserades på objektiv svarsfrekvens. Av de 12 enrollerade patienterna svarade 9, en fullständigt och 8 partiellt. Tre av de partiellt svarande blev senare sjukdomsfria genom kirurgi. Behandlingstiden i studie B2225 var i median 6,2 månader, med 24,3 månader som maximal tid. Ytterligare 6 DFSP-patienter som behandlades med Glivec rapporterades i 5 publicerade fallrapporter, deras åldrar sträckte sig från 18 månader till 49 år. De vuxna patienterna som rapporterats i den publicerade litteraturen behandlades med antingen 400 mg (4 fall) eller 800 mg (1 fall) Glivec dagligen. </w:t>
      </w:r>
      <w:r>
        <w:rPr>
          <w:color w:val="000000"/>
          <w:szCs w:val="22"/>
          <w:lang w:val="sv-SE"/>
        </w:rPr>
        <w:t>Fem (</w:t>
      </w:r>
      <w:r w:rsidRPr="000E7AE9">
        <w:rPr>
          <w:color w:val="000000"/>
          <w:szCs w:val="22"/>
          <w:lang w:val="sv-SE"/>
        </w:rPr>
        <w:t>5</w:t>
      </w:r>
      <w:r>
        <w:rPr>
          <w:color w:val="000000"/>
          <w:szCs w:val="22"/>
          <w:lang w:val="sv-SE"/>
        </w:rPr>
        <w:t>)</w:t>
      </w:r>
      <w:r w:rsidRPr="000E7AE9">
        <w:rPr>
          <w:color w:val="000000"/>
          <w:szCs w:val="22"/>
          <w:lang w:val="sv-SE"/>
        </w:rPr>
        <w:t> patienter svarade, 3 patienter fullständigt och 2 partiellt. Mediantiden för behandling i den publicerade litteraturen sträckte sig mellan 4 veckor och mer än 20 månader. Translokation t(17:22)[q22:q13], eller dess genprodukt, förekom hos nästan alla patienter som svarade på Glivec-behandling.</w:t>
      </w:r>
    </w:p>
    <w:p w14:paraId="471D3DB3" w14:textId="77777777" w:rsidR="00547CA2" w:rsidRDefault="00547CA2" w:rsidP="00463647">
      <w:pPr>
        <w:pStyle w:val="EndnoteText"/>
        <w:widowControl w:val="0"/>
        <w:tabs>
          <w:tab w:val="clear" w:pos="567"/>
        </w:tabs>
        <w:rPr>
          <w:color w:val="000000"/>
          <w:szCs w:val="22"/>
          <w:lang w:val="sv-SE"/>
        </w:rPr>
      </w:pPr>
    </w:p>
    <w:p w14:paraId="47D4DA36" w14:textId="77777777" w:rsidR="00547CA2" w:rsidRPr="00134EC1" w:rsidRDefault="00547CA2" w:rsidP="00463647">
      <w:pPr>
        <w:pStyle w:val="EndnoteText"/>
        <w:widowControl w:val="0"/>
        <w:tabs>
          <w:tab w:val="clear" w:pos="567"/>
        </w:tabs>
        <w:rPr>
          <w:color w:val="000000"/>
          <w:szCs w:val="22"/>
          <w:lang w:val="sv-SE"/>
        </w:rPr>
      </w:pPr>
      <w:r>
        <w:rPr>
          <w:color w:val="000000"/>
          <w:szCs w:val="22"/>
          <w:lang w:val="sv-SE"/>
        </w:rPr>
        <w:t>Det finns inga kontrollerade studier hos barnpatienter med DFSP. Fem (5) patienter med rearrangemang av DFSP och PDGFR-generna har rapporterats i 3 publikationer. Åldern på dessa patienter sträckte sig från nyfödda till 14 år och imatinib gavs i en dos om 50 mg dagligen eller doser från 400 till 520 mg/m</w:t>
      </w:r>
      <w:r w:rsidRPr="00FD5CFE">
        <w:rPr>
          <w:color w:val="000000"/>
          <w:szCs w:val="22"/>
          <w:vertAlign w:val="superscript"/>
          <w:lang w:val="sv-SE"/>
        </w:rPr>
        <w:t>2</w:t>
      </w:r>
      <w:r>
        <w:rPr>
          <w:color w:val="000000"/>
          <w:szCs w:val="22"/>
          <w:lang w:val="sv-SE"/>
        </w:rPr>
        <w:t xml:space="preserve"> dagligen. Alla patienter uppnådde partiellt och/eller fullständigt svar.</w:t>
      </w:r>
    </w:p>
    <w:p w14:paraId="4BC42FD2" w14:textId="77777777" w:rsidR="00547CA2" w:rsidRPr="000E7AE9" w:rsidRDefault="00547CA2" w:rsidP="00463647">
      <w:pPr>
        <w:pStyle w:val="EndnoteText"/>
        <w:widowControl w:val="0"/>
        <w:tabs>
          <w:tab w:val="clear" w:pos="567"/>
        </w:tabs>
        <w:rPr>
          <w:color w:val="000000"/>
          <w:szCs w:val="22"/>
          <w:lang w:val="sv-SE"/>
        </w:rPr>
      </w:pPr>
    </w:p>
    <w:p w14:paraId="406B5BD6" w14:textId="77777777" w:rsidR="00161D46" w:rsidRPr="000E7AE9" w:rsidRDefault="00161D46" w:rsidP="00463647">
      <w:pPr>
        <w:pStyle w:val="Heading4"/>
        <w:widowControl w:val="0"/>
        <w:spacing w:line="240" w:lineRule="auto"/>
        <w:jc w:val="left"/>
        <w:rPr>
          <w:noProof w:val="0"/>
          <w:color w:val="000000"/>
          <w:szCs w:val="22"/>
          <w:lang w:val="sv-SE"/>
        </w:rPr>
      </w:pPr>
      <w:r w:rsidRPr="000E7AE9">
        <w:rPr>
          <w:noProof w:val="0"/>
          <w:color w:val="000000"/>
          <w:szCs w:val="22"/>
          <w:lang w:val="sv-SE"/>
        </w:rPr>
        <w:t>5.2</w:t>
      </w:r>
      <w:r w:rsidRPr="000E7AE9">
        <w:rPr>
          <w:noProof w:val="0"/>
          <w:color w:val="000000"/>
          <w:szCs w:val="22"/>
          <w:lang w:val="sv-SE"/>
        </w:rPr>
        <w:tab/>
        <w:t>Farmakokinetiska egenskaper</w:t>
      </w:r>
    </w:p>
    <w:p w14:paraId="71AF04B2" w14:textId="77777777" w:rsidR="00161D46" w:rsidRPr="000E7AE9" w:rsidRDefault="00161D46" w:rsidP="00463647">
      <w:pPr>
        <w:pStyle w:val="EndnoteText"/>
        <w:keepNext/>
        <w:widowControl w:val="0"/>
        <w:tabs>
          <w:tab w:val="clear" w:pos="567"/>
        </w:tabs>
        <w:rPr>
          <w:color w:val="000000"/>
          <w:szCs w:val="22"/>
          <w:lang w:val="sv-SE"/>
        </w:rPr>
      </w:pPr>
    </w:p>
    <w:p w14:paraId="62540657"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Glivecs farmakokinetiska egenskaper</w:t>
      </w:r>
    </w:p>
    <w:p w14:paraId="4C84242D"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Glivecs farmakokinetiska egenskaper har utvärderats i dosintervallet 25 till 1 000 mg. Den farmakokinetiska profilen i plasma analyserades dag 1 och antingen dag 7 eller dag 28, då den genomsnittliga plasmakoncentrationen hade nått steady state.</w:t>
      </w:r>
    </w:p>
    <w:p w14:paraId="046CB3C2" w14:textId="77777777" w:rsidR="00161D46" w:rsidRPr="000E7AE9" w:rsidRDefault="00161D46" w:rsidP="00463647">
      <w:pPr>
        <w:pStyle w:val="EndnoteText"/>
        <w:widowControl w:val="0"/>
        <w:tabs>
          <w:tab w:val="clear" w:pos="567"/>
        </w:tabs>
        <w:rPr>
          <w:color w:val="000000"/>
          <w:szCs w:val="22"/>
          <w:lang w:val="sv-SE"/>
        </w:rPr>
      </w:pPr>
    </w:p>
    <w:p w14:paraId="5938D20C" w14:textId="77777777" w:rsidR="002C2500" w:rsidRPr="000E7AE9" w:rsidRDefault="007D6097" w:rsidP="00463647">
      <w:pPr>
        <w:pStyle w:val="EndnoteText"/>
        <w:keepNext/>
        <w:widowControl w:val="0"/>
        <w:tabs>
          <w:tab w:val="clear" w:pos="567"/>
        </w:tabs>
        <w:outlineLvl w:val="0"/>
        <w:rPr>
          <w:color w:val="000000"/>
          <w:szCs w:val="22"/>
          <w:u w:val="single"/>
          <w:lang w:val="sv-SE"/>
        </w:rPr>
      </w:pPr>
      <w:r w:rsidRPr="000E7AE9">
        <w:rPr>
          <w:color w:val="000000"/>
          <w:szCs w:val="22"/>
          <w:u w:val="single"/>
          <w:lang w:val="sv-SE"/>
        </w:rPr>
        <w:lastRenderedPageBreak/>
        <w:t>Absorption</w:t>
      </w:r>
    </w:p>
    <w:p w14:paraId="73DEF584" w14:textId="77777777" w:rsidR="007D6097" w:rsidRPr="000E7AE9" w:rsidRDefault="007D6097" w:rsidP="00463647">
      <w:pPr>
        <w:pStyle w:val="EndnoteText"/>
        <w:widowControl w:val="0"/>
        <w:tabs>
          <w:tab w:val="clear" w:pos="567"/>
        </w:tabs>
        <w:rPr>
          <w:color w:val="000000"/>
          <w:szCs w:val="22"/>
          <w:lang w:val="sv-SE"/>
        </w:rPr>
      </w:pPr>
      <w:r w:rsidRPr="000E7AE9">
        <w:rPr>
          <w:color w:val="000000"/>
          <w:szCs w:val="22"/>
          <w:lang w:val="sv-SE"/>
        </w:rPr>
        <w:t>Genomsnittlig absolut biotillgänglighet för imatinib är 98</w:t>
      </w:r>
      <w:r w:rsidR="00C4299F">
        <w:rPr>
          <w:color w:val="000000"/>
          <w:szCs w:val="22"/>
          <w:lang w:val="sv-SE"/>
        </w:rPr>
        <w:t> </w:t>
      </w:r>
      <w:r w:rsidRPr="000E7AE9">
        <w:rPr>
          <w:color w:val="000000"/>
          <w:szCs w:val="22"/>
          <w:lang w:val="sv-SE"/>
        </w:rPr>
        <w:t>%. Det var hög variabilitet mellan patienter för AUC-värden i plasma för imatinib efter en peroral dos. När dosen ges tillsammans med en måltid med högt fettinnehåll reduceras absorptionen för imatinib obetydligt (11</w:t>
      </w:r>
      <w:r w:rsidR="00C4299F">
        <w:rPr>
          <w:color w:val="000000"/>
          <w:szCs w:val="22"/>
          <w:lang w:val="sv-SE"/>
        </w:rPr>
        <w:t> </w:t>
      </w:r>
      <w:r w:rsidRPr="000E7AE9">
        <w:rPr>
          <w:color w:val="000000"/>
          <w:szCs w:val="22"/>
          <w:lang w:val="sv-SE"/>
        </w:rPr>
        <w:t>% minskning i C</w:t>
      </w:r>
      <w:r w:rsidRPr="000E7AE9">
        <w:rPr>
          <w:color w:val="000000"/>
          <w:szCs w:val="22"/>
          <w:vertAlign w:val="subscript"/>
          <w:lang w:val="sv-SE"/>
        </w:rPr>
        <w:t>max</w:t>
      </w:r>
      <w:r w:rsidRPr="000E7AE9">
        <w:rPr>
          <w:color w:val="000000"/>
          <w:szCs w:val="22"/>
          <w:lang w:val="sv-SE"/>
        </w:rPr>
        <w:t xml:space="preserve"> och förlängning av t</w:t>
      </w:r>
      <w:r w:rsidRPr="000E7AE9">
        <w:rPr>
          <w:color w:val="000000"/>
          <w:szCs w:val="22"/>
          <w:vertAlign w:val="subscript"/>
          <w:lang w:val="sv-SE"/>
        </w:rPr>
        <w:t>max</w:t>
      </w:r>
      <w:r w:rsidRPr="000E7AE9">
        <w:rPr>
          <w:color w:val="000000"/>
          <w:szCs w:val="22"/>
          <w:lang w:val="sv-SE"/>
        </w:rPr>
        <w:t xml:space="preserve"> med 1,5 timmar), med en liten minskning av AUC (7,4</w:t>
      </w:r>
      <w:r w:rsidR="00C4299F">
        <w:rPr>
          <w:color w:val="000000"/>
          <w:szCs w:val="22"/>
          <w:lang w:val="sv-SE"/>
        </w:rPr>
        <w:t> </w:t>
      </w:r>
      <w:r w:rsidRPr="000E7AE9">
        <w:rPr>
          <w:color w:val="000000"/>
          <w:szCs w:val="22"/>
          <w:lang w:val="sv-SE"/>
        </w:rPr>
        <w:t>%) jämfört med under fasta. Effekten av tidigare gastrointestinal kirurgi på läkemedelsabsorption har inte undersökts.</w:t>
      </w:r>
    </w:p>
    <w:p w14:paraId="4B7DBD04" w14:textId="77777777" w:rsidR="007D6097" w:rsidRPr="000E7AE9" w:rsidRDefault="007D6097" w:rsidP="00463647">
      <w:pPr>
        <w:pStyle w:val="EndnoteText"/>
        <w:widowControl w:val="0"/>
        <w:tabs>
          <w:tab w:val="clear" w:pos="567"/>
        </w:tabs>
        <w:rPr>
          <w:color w:val="000000"/>
          <w:szCs w:val="22"/>
          <w:lang w:val="sv-SE"/>
        </w:rPr>
      </w:pPr>
    </w:p>
    <w:p w14:paraId="31C92A3B" w14:textId="77777777" w:rsidR="00161D46" w:rsidRPr="000E7AE9" w:rsidRDefault="00161D46" w:rsidP="00463647">
      <w:pPr>
        <w:pStyle w:val="EndnoteText"/>
        <w:keepNext/>
        <w:widowControl w:val="0"/>
        <w:tabs>
          <w:tab w:val="clear" w:pos="567"/>
        </w:tabs>
        <w:rPr>
          <w:color w:val="000000"/>
          <w:szCs w:val="22"/>
          <w:lang w:val="sv-SE"/>
        </w:rPr>
      </w:pPr>
      <w:r w:rsidRPr="000E7AE9">
        <w:rPr>
          <w:color w:val="000000"/>
          <w:szCs w:val="22"/>
          <w:u w:val="single"/>
          <w:lang w:val="sv-SE"/>
        </w:rPr>
        <w:t>Distribution</w:t>
      </w:r>
    </w:p>
    <w:p w14:paraId="0D65E2DE"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Vid kliniskt relevanta koncentrationer av imatinib är bindningen till plasmaproteiner cirka 95</w:t>
      </w:r>
      <w:r w:rsidR="00C4299F">
        <w:rPr>
          <w:color w:val="000000"/>
          <w:szCs w:val="22"/>
          <w:lang w:val="sv-SE"/>
        </w:rPr>
        <w:t> </w:t>
      </w:r>
      <w:r w:rsidRPr="000E7AE9">
        <w:rPr>
          <w:color w:val="000000"/>
          <w:szCs w:val="22"/>
          <w:lang w:val="sv-SE"/>
        </w:rPr>
        <w:t xml:space="preserve">% på basis av försök </w:t>
      </w:r>
      <w:r w:rsidRPr="000E7AE9">
        <w:rPr>
          <w:i/>
          <w:color w:val="000000"/>
          <w:szCs w:val="22"/>
          <w:lang w:val="sv-SE"/>
        </w:rPr>
        <w:t>in vitro</w:t>
      </w:r>
      <w:r w:rsidRPr="000E7AE9">
        <w:rPr>
          <w:color w:val="000000"/>
          <w:szCs w:val="22"/>
          <w:lang w:val="sv-SE"/>
        </w:rPr>
        <w:t>, huvudsakligen till albumin och orosomukoid och med liten bindning till lipoprotein.</w:t>
      </w:r>
    </w:p>
    <w:p w14:paraId="18BD126D" w14:textId="77777777" w:rsidR="00161D46" w:rsidRPr="000E7AE9" w:rsidRDefault="00161D46" w:rsidP="00463647">
      <w:pPr>
        <w:pStyle w:val="EndnoteText"/>
        <w:widowControl w:val="0"/>
        <w:tabs>
          <w:tab w:val="clear" w:pos="567"/>
        </w:tabs>
        <w:rPr>
          <w:color w:val="000000"/>
          <w:szCs w:val="22"/>
          <w:lang w:val="sv-SE"/>
        </w:rPr>
      </w:pPr>
    </w:p>
    <w:p w14:paraId="2878A6C8" w14:textId="77777777" w:rsidR="00161D46" w:rsidRPr="000E7AE9" w:rsidRDefault="00BA0A58" w:rsidP="00463647">
      <w:pPr>
        <w:pStyle w:val="EndnoteText"/>
        <w:keepNext/>
        <w:widowControl w:val="0"/>
        <w:tabs>
          <w:tab w:val="clear" w:pos="567"/>
        </w:tabs>
        <w:rPr>
          <w:color w:val="000000"/>
          <w:szCs w:val="22"/>
          <w:lang w:val="sv-SE"/>
        </w:rPr>
      </w:pPr>
      <w:r>
        <w:rPr>
          <w:color w:val="000000"/>
          <w:szCs w:val="22"/>
          <w:u w:val="single"/>
          <w:lang w:val="sv-SE"/>
        </w:rPr>
        <w:t>Metabolism</w:t>
      </w:r>
    </w:p>
    <w:p w14:paraId="37A30F90"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 xml:space="preserve">Den huvudsakliga cirkulerande metaboliten hos människa är det N-demetylerade piperazinderivatet, som uppvisar en liknande effekt </w:t>
      </w:r>
      <w:r w:rsidRPr="000E7AE9">
        <w:rPr>
          <w:i/>
          <w:color w:val="000000"/>
          <w:szCs w:val="22"/>
          <w:lang w:val="sv-SE"/>
        </w:rPr>
        <w:t>in vitro</w:t>
      </w:r>
      <w:r w:rsidRPr="000E7AE9">
        <w:rPr>
          <w:color w:val="000000"/>
          <w:szCs w:val="22"/>
          <w:lang w:val="sv-SE"/>
        </w:rPr>
        <w:t xml:space="preserve"> som modersubstansen. Plasma-AUC för denna metabolit är bara 16</w:t>
      </w:r>
      <w:r w:rsidR="00C4299F">
        <w:rPr>
          <w:color w:val="000000"/>
          <w:szCs w:val="22"/>
          <w:lang w:val="sv-SE"/>
        </w:rPr>
        <w:t> </w:t>
      </w:r>
      <w:r w:rsidRPr="000E7AE9">
        <w:rPr>
          <w:color w:val="000000"/>
          <w:szCs w:val="22"/>
          <w:lang w:val="sv-SE"/>
        </w:rPr>
        <w:t>% av AUC för imatinib. Plasmaproteinbindningen av den N-demetylerade metaboliten liknar den för modersubstansen.</w:t>
      </w:r>
    </w:p>
    <w:p w14:paraId="0598D70A" w14:textId="77777777" w:rsidR="00161D46" w:rsidRPr="000E7AE9" w:rsidRDefault="00161D46" w:rsidP="00463647">
      <w:pPr>
        <w:pStyle w:val="EndnoteText"/>
        <w:widowControl w:val="0"/>
        <w:tabs>
          <w:tab w:val="clear" w:pos="567"/>
        </w:tabs>
        <w:rPr>
          <w:color w:val="000000"/>
          <w:szCs w:val="22"/>
          <w:lang w:val="sv-SE"/>
        </w:rPr>
      </w:pPr>
    </w:p>
    <w:p w14:paraId="537E584C" w14:textId="77777777" w:rsidR="00161D46" w:rsidRPr="000E7AE9" w:rsidRDefault="00161D46" w:rsidP="00463647">
      <w:pPr>
        <w:pStyle w:val="TextChar"/>
        <w:widowControl w:val="0"/>
        <w:spacing w:before="0"/>
        <w:jc w:val="left"/>
        <w:rPr>
          <w:color w:val="000000"/>
          <w:sz w:val="22"/>
          <w:szCs w:val="22"/>
          <w:lang w:val="sv-SE"/>
        </w:rPr>
      </w:pPr>
      <w:r w:rsidRPr="000E7AE9">
        <w:rPr>
          <w:color w:val="000000"/>
          <w:sz w:val="22"/>
          <w:szCs w:val="22"/>
          <w:lang w:val="sv-SE"/>
        </w:rPr>
        <w:t>Imatinib och N-demetylmetaboliten svarade tillsammans för cirka 65</w:t>
      </w:r>
      <w:r w:rsidR="00C4299F">
        <w:rPr>
          <w:color w:val="000000"/>
          <w:sz w:val="22"/>
          <w:szCs w:val="22"/>
          <w:lang w:val="sv-SE"/>
        </w:rPr>
        <w:t> </w:t>
      </w:r>
      <w:r w:rsidRPr="000E7AE9">
        <w:rPr>
          <w:color w:val="000000"/>
          <w:sz w:val="22"/>
          <w:szCs w:val="22"/>
          <w:lang w:val="sv-SE"/>
        </w:rPr>
        <w:t>% av den cirkulerande radioaktiviteten (AUC</w:t>
      </w:r>
      <w:r w:rsidRPr="000E7AE9">
        <w:rPr>
          <w:color w:val="000000"/>
          <w:sz w:val="22"/>
          <w:szCs w:val="22"/>
          <w:vertAlign w:val="subscript"/>
          <w:lang w:val="sv-SE"/>
        </w:rPr>
        <w:t>(0-48 tim)</w:t>
      </w:r>
      <w:r w:rsidRPr="000E7AE9">
        <w:rPr>
          <w:color w:val="000000"/>
          <w:sz w:val="22"/>
          <w:szCs w:val="22"/>
          <w:lang w:val="sv-SE"/>
        </w:rPr>
        <w:t>). Den resterande cirkulerande radioaktiviteten utgjordes av ett antal smärre metaboliter.</w:t>
      </w:r>
    </w:p>
    <w:p w14:paraId="310E4842" w14:textId="77777777" w:rsidR="00161D46" w:rsidRPr="000E7AE9" w:rsidRDefault="00161D46" w:rsidP="00463647">
      <w:pPr>
        <w:pStyle w:val="TextChar"/>
        <w:widowControl w:val="0"/>
        <w:spacing w:before="0"/>
        <w:rPr>
          <w:color w:val="000000"/>
          <w:sz w:val="22"/>
          <w:szCs w:val="22"/>
          <w:lang w:val="sv-SE"/>
        </w:rPr>
      </w:pPr>
    </w:p>
    <w:p w14:paraId="0BF6CDFE" w14:textId="77777777" w:rsidR="00161D46" w:rsidRPr="000E7AE9" w:rsidRDefault="00161D46" w:rsidP="00463647">
      <w:pPr>
        <w:pStyle w:val="TextChar"/>
        <w:widowControl w:val="0"/>
        <w:spacing w:before="0"/>
        <w:jc w:val="left"/>
        <w:rPr>
          <w:color w:val="000000"/>
          <w:sz w:val="22"/>
          <w:szCs w:val="22"/>
          <w:lang w:val="sv-SE"/>
        </w:rPr>
      </w:pPr>
      <w:r w:rsidRPr="000E7AE9">
        <w:rPr>
          <w:color w:val="000000"/>
          <w:sz w:val="22"/>
          <w:szCs w:val="22"/>
          <w:lang w:val="sv-SE"/>
        </w:rPr>
        <w:t xml:space="preserve">Resultaten </w:t>
      </w:r>
      <w:r w:rsidRPr="000E7AE9">
        <w:rPr>
          <w:i/>
          <w:color w:val="000000"/>
          <w:sz w:val="22"/>
          <w:szCs w:val="22"/>
          <w:lang w:val="sv-SE"/>
        </w:rPr>
        <w:t>in vitro</w:t>
      </w:r>
      <w:r w:rsidRPr="000E7AE9">
        <w:rPr>
          <w:color w:val="000000"/>
          <w:sz w:val="22"/>
          <w:szCs w:val="22"/>
          <w:lang w:val="sv-SE"/>
        </w:rPr>
        <w:t xml:space="preserve"> visade att CYP3A4 var det huvudsakliga humana P450-enzymet som katalyserar biotransformeringen av imatinib. Av ett antal tänkbara läkemedel (aciklovir, allopurinol, amfotericin, cytarabin, erytromycin, flukonazol, hydroxiurea, norfloxacin, paracetamol, penicillin V) var det endast erytromycin (IC</w:t>
      </w:r>
      <w:r w:rsidRPr="000E7AE9">
        <w:rPr>
          <w:color w:val="000000"/>
          <w:sz w:val="22"/>
          <w:szCs w:val="22"/>
          <w:vertAlign w:val="subscript"/>
          <w:lang w:val="sv-SE"/>
        </w:rPr>
        <w:t>50</w:t>
      </w:r>
      <w:r w:rsidRPr="000E7AE9">
        <w:rPr>
          <w:color w:val="000000"/>
          <w:sz w:val="22"/>
          <w:szCs w:val="22"/>
          <w:lang w:val="sv-SE"/>
        </w:rPr>
        <w:t xml:space="preserve"> 50 µM) och flukonazol (IC</w:t>
      </w:r>
      <w:r w:rsidRPr="000E7AE9">
        <w:rPr>
          <w:color w:val="000000"/>
          <w:sz w:val="22"/>
          <w:szCs w:val="22"/>
          <w:vertAlign w:val="subscript"/>
          <w:lang w:val="sv-SE"/>
        </w:rPr>
        <w:t>50</w:t>
      </w:r>
      <w:r w:rsidRPr="000E7AE9">
        <w:rPr>
          <w:color w:val="000000"/>
          <w:sz w:val="22"/>
          <w:szCs w:val="22"/>
          <w:lang w:val="sv-SE"/>
        </w:rPr>
        <w:t xml:space="preserve"> 118 µM) som uppvisade en hämning av imatinibmetabolismen som kunde vara kliniskt relevant.</w:t>
      </w:r>
    </w:p>
    <w:p w14:paraId="16493DBA" w14:textId="77777777" w:rsidR="00161D46" w:rsidRPr="000E7AE9" w:rsidRDefault="00161D46" w:rsidP="00463647">
      <w:pPr>
        <w:pStyle w:val="TextChar"/>
        <w:widowControl w:val="0"/>
        <w:spacing w:before="0"/>
        <w:rPr>
          <w:color w:val="000000"/>
          <w:sz w:val="22"/>
          <w:szCs w:val="22"/>
          <w:lang w:val="sv-SE"/>
        </w:rPr>
      </w:pPr>
    </w:p>
    <w:p w14:paraId="12D1C1BE" w14:textId="77777777" w:rsidR="00161D46" w:rsidRPr="000E7AE9" w:rsidRDefault="00161D46" w:rsidP="00463647">
      <w:pPr>
        <w:pStyle w:val="TextChar"/>
        <w:widowControl w:val="0"/>
        <w:spacing w:before="0"/>
        <w:jc w:val="left"/>
        <w:rPr>
          <w:color w:val="000000"/>
          <w:sz w:val="22"/>
          <w:szCs w:val="22"/>
          <w:lang w:val="sv-SE"/>
        </w:rPr>
      </w:pPr>
      <w:r w:rsidRPr="000E7AE9">
        <w:rPr>
          <w:color w:val="000000"/>
          <w:sz w:val="22"/>
          <w:szCs w:val="22"/>
          <w:lang w:val="sv-SE"/>
        </w:rPr>
        <w:t xml:space="preserve">Imatinib visades </w:t>
      </w:r>
      <w:r w:rsidRPr="000E7AE9">
        <w:rPr>
          <w:i/>
          <w:color w:val="000000"/>
          <w:sz w:val="22"/>
          <w:szCs w:val="22"/>
          <w:lang w:val="sv-SE"/>
        </w:rPr>
        <w:t>in vitro</w:t>
      </w:r>
      <w:r w:rsidRPr="000E7AE9">
        <w:rPr>
          <w:color w:val="000000"/>
          <w:sz w:val="22"/>
          <w:szCs w:val="22"/>
          <w:lang w:val="sv-SE"/>
        </w:rPr>
        <w:t xml:space="preserve"> vara en kompetitiv hämmare av substratmarkörer för CYP2C9, CYP2D6 och CYP3A4/5. K</w:t>
      </w:r>
      <w:r w:rsidRPr="000E7AE9">
        <w:rPr>
          <w:color w:val="000000"/>
          <w:sz w:val="22"/>
          <w:szCs w:val="22"/>
          <w:vertAlign w:val="subscript"/>
          <w:lang w:val="sv-SE"/>
        </w:rPr>
        <w:t>i</w:t>
      </w:r>
      <w:r w:rsidRPr="000E7AE9">
        <w:rPr>
          <w:color w:val="000000"/>
          <w:sz w:val="22"/>
          <w:szCs w:val="22"/>
          <w:lang w:val="sv-SE"/>
        </w:rPr>
        <w:t>-värden i humana levermikrosomer var 27, 7,5 respektive 7,9 </w:t>
      </w:r>
      <w:r w:rsidRPr="000E7AE9">
        <w:rPr>
          <w:color w:val="000000"/>
          <w:sz w:val="22"/>
          <w:szCs w:val="22"/>
          <w:lang w:val="sv-SE"/>
        </w:rPr>
        <w:sym w:font="Symbol" w:char="F06D"/>
      </w:r>
      <w:r w:rsidRPr="000E7AE9">
        <w:rPr>
          <w:color w:val="000000"/>
          <w:sz w:val="22"/>
          <w:szCs w:val="22"/>
          <w:lang w:val="sv-SE"/>
        </w:rPr>
        <w:t>mol/l. Maximala plasmakoncentrationsvärden av imatinib hos patienter är 2–4 </w:t>
      </w:r>
      <w:r w:rsidRPr="000E7AE9">
        <w:rPr>
          <w:color w:val="000000"/>
          <w:sz w:val="22"/>
          <w:szCs w:val="22"/>
          <w:lang w:val="sv-SE"/>
        </w:rPr>
        <w:sym w:font="Symbol" w:char="F06D"/>
      </w:r>
      <w:r w:rsidRPr="000E7AE9">
        <w:rPr>
          <w:color w:val="000000"/>
          <w:sz w:val="22"/>
          <w:szCs w:val="22"/>
          <w:lang w:val="sv-SE"/>
        </w:rPr>
        <w:t>mol/l. Följaktligen är en hämning av CYP2D6- och/eller CYP3A4/5-medierad metabolism möjlig av samtidigt givna läkemedel. Imatinib interfererade inte med biotransformeringen av 5-fluorouracil, men det hämmade paklitaxels metabolism, som ett resultat av en kompetitiv hämning av CYP2C8 (K</w:t>
      </w:r>
      <w:r w:rsidRPr="000E7AE9">
        <w:rPr>
          <w:color w:val="000000"/>
          <w:sz w:val="22"/>
          <w:szCs w:val="22"/>
          <w:vertAlign w:val="subscript"/>
          <w:lang w:val="sv-SE"/>
        </w:rPr>
        <w:t>i</w:t>
      </w:r>
      <w:r w:rsidRPr="000E7AE9">
        <w:rPr>
          <w:color w:val="000000"/>
          <w:sz w:val="22"/>
          <w:szCs w:val="22"/>
          <w:lang w:val="sv-SE"/>
        </w:rPr>
        <w:t xml:space="preserve"> = 34,7 µM). Detta K</w:t>
      </w:r>
      <w:r w:rsidRPr="000E7AE9">
        <w:rPr>
          <w:color w:val="000000"/>
          <w:sz w:val="22"/>
          <w:szCs w:val="22"/>
          <w:vertAlign w:val="subscript"/>
          <w:lang w:val="sv-SE"/>
        </w:rPr>
        <w:t>i</w:t>
      </w:r>
      <w:r w:rsidRPr="000E7AE9">
        <w:rPr>
          <w:color w:val="000000"/>
          <w:sz w:val="22"/>
          <w:szCs w:val="22"/>
          <w:lang w:val="sv-SE"/>
        </w:rPr>
        <w:t>-värde är mycket högre än de förväntade plasmanivåerna av imatinib hos patienter. Följaktligen förväntas ingen interaktion vid samtidig administrering av 5-fluorouracil eller paklitaxel och imatinib.</w:t>
      </w:r>
    </w:p>
    <w:p w14:paraId="14026035" w14:textId="77777777" w:rsidR="00161D46" w:rsidRPr="000E7AE9" w:rsidRDefault="00161D46" w:rsidP="00463647">
      <w:pPr>
        <w:pStyle w:val="EndnoteText"/>
        <w:widowControl w:val="0"/>
        <w:tabs>
          <w:tab w:val="clear" w:pos="567"/>
        </w:tabs>
        <w:rPr>
          <w:color w:val="000000"/>
          <w:szCs w:val="22"/>
          <w:lang w:val="sv-SE"/>
        </w:rPr>
      </w:pPr>
    </w:p>
    <w:p w14:paraId="3A317DFD" w14:textId="77777777" w:rsidR="00161D46" w:rsidRPr="000E7AE9" w:rsidRDefault="00161D46" w:rsidP="00463647">
      <w:pPr>
        <w:pStyle w:val="EndnoteText"/>
        <w:keepNext/>
        <w:widowControl w:val="0"/>
        <w:tabs>
          <w:tab w:val="clear" w:pos="567"/>
        </w:tabs>
        <w:rPr>
          <w:color w:val="000000"/>
          <w:szCs w:val="22"/>
          <w:lang w:val="sv-SE"/>
        </w:rPr>
      </w:pPr>
      <w:r w:rsidRPr="000E7AE9">
        <w:rPr>
          <w:color w:val="000000"/>
          <w:szCs w:val="22"/>
          <w:u w:val="single"/>
          <w:lang w:val="sv-SE"/>
        </w:rPr>
        <w:t>Elimin</w:t>
      </w:r>
      <w:r w:rsidR="00746FA7">
        <w:rPr>
          <w:color w:val="000000"/>
          <w:szCs w:val="22"/>
          <w:u w:val="single"/>
          <w:lang w:val="sv-SE"/>
        </w:rPr>
        <w:t>ering</w:t>
      </w:r>
    </w:p>
    <w:p w14:paraId="17BB173F"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 xml:space="preserve">Baserat på återvinningen av substans(er) efter en peroralt tillfört </w:t>
      </w:r>
      <w:r w:rsidRPr="000E7AE9">
        <w:rPr>
          <w:color w:val="000000"/>
          <w:szCs w:val="22"/>
          <w:vertAlign w:val="superscript"/>
          <w:lang w:val="sv-SE"/>
        </w:rPr>
        <w:t>14</w:t>
      </w:r>
      <w:r w:rsidRPr="000E7AE9">
        <w:rPr>
          <w:color w:val="000000"/>
          <w:szCs w:val="22"/>
          <w:lang w:val="sv-SE"/>
        </w:rPr>
        <w:t>C-märkt dos av imatinib, återfanns cirka 81</w:t>
      </w:r>
      <w:r w:rsidR="00C4299F">
        <w:rPr>
          <w:color w:val="000000"/>
          <w:szCs w:val="22"/>
          <w:lang w:val="sv-SE"/>
        </w:rPr>
        <w:t> </w:t>
      </w:r>
      <w:r w:rsidRPr="000E7AE9">
        <w:rPr>
          <w:color w:val="000000"/>
          <w:szCs w:val="22"/>
          <w:lang w:val="sv-SE"/>
        </w:rPr>
        <w:t>% av dosen inom 7 dagar, dels i faeces (68</w:t>
      </w:r>
      <w:r w:rsidR="00C4299F">
        <w:rPr>
          <w:color w:val="000000"/>
          <w:szCs w:val="22"/>
          <w:lang w:val="sv-SE"/>
        </w:rPr>
        <w:t> </w:t>
      </w:r>
      <w:r w:rsidRPr="000E7AE9">
        <w:rPr>
          <w:color w:val="000000"/>
          <w:szCs w:val="22"/>
          <w:lang w:val="sv-SE"/>
        </w:rPr>
        <w:t>% av dosen), dels i urinen (13</w:t>
      </w:r>
      <w:r w:rsidR="00C4299F">
        <w:rPr>
          <w:color w:val="000000"/>
          <w:szCs w:val="22"/>
          <w:lang w:val="sv-SE"/>
        </w:rPr>
        <w:t> </w:t>
      </w:r>
      <w:r w:rsidRPr="000E7AE9">
        <w:rPr>
          <w:color w:val="000000"/>
          <w:szCs w:val="22"/>
          <w:lang w:val="sv-SE"/>
        </w:rPr>
        <w:t>% av dosen). Oförändrat imatinib utgjorde 25</w:t>
      </w:r>
      <w:r w:rsidR="00C4299F">
        <w:rPr>
          <w:color w:val="000000"/>
          <w:szCs w:val="22"/>
          <w:lang w:val="sv-SE"/>
        </w:rPr>
        <w:t> </w:t>
      </w:r>
      <w:r w:rsidRPr="000E7AE9">
        <w:rPr>
          <w:color w:val="000000"/>
          <w:szCs w:val="22"/>
          <w:lang w:val="sv-SE"/>
        </w:rPr>
        <w:t>% av dosen (5</w:t>
      </w:r>
      <w:r w:rsidR="00C4299F">
        <w:rPr>
          <w:color w:val="000000"/>
          <w:szCs w:val="22"/>
          <w:lang w:val="sv-SE"/>
        </w:rPr>
        <w:t> </w:t>
      </w:r>
      <w:r w:rsidRPr="000E7AE9">
        <w:rPr>
          <w:color w:val="000000"/>
          <w:szCs w:val="22"/>
          <w:lang w:val="sv-SE"/>
        </w:rPr>
        <w:t>% i urin, 20</w:t>
      </w:r>
      <w:r w:rsidR="00C4299F">
        <w:rPr>
          <w:color w:val="000000"/>
          <w:szCs w:val="22"/>
          <w:lang w:val="sv-SE"/>
        </w:rPr>
        <w:t> </w:t>
      </w:r>
      <w:r w:rsidRPr="000E7AE9">
        <w:rPr>
          <w:color w:val="000000"/>
          <w:szCs w:val="22"/>
          <w:lang w:val="sv-SE"/>
        </w:rPr>
        <w:t>% i faeces), och övrigt är metaboliter.</w:t>
      </w:r>
    </w:p>
    <w:p w14:paraId="7F779889" w14:textId="77777777" w:rsidR="00161D46" w:rsidRPr="000E7AE9" w:rsidRDefault="00161D46" w:rsidP="00463647">
      <w:pPr>
        <w:pStyle w:val="EndnoteText"/>
        <w:widowControl w:val="0"/>
        <w:tabs>
          <w:tab w:val="clear" w:pos="567"/>
        </w:tabs>
        <w:rPr>
          <w:color w:val="000000"/>
          <w:szCs w:val="22"/>
          <w:lang w:val="sv-SE"/>
        </w:rPr>
      </w:pPr>
    </w:p>
    <w:p w14:paraId="2A23B901" w14:textId="77777777" w:rsidR="00161D46" w:rsidRPr="000E7AE9" w:rsidRDefault="00161D46" w:rsidP="00463647">
      <w:pPr>
        <w:pStyle w:val="EndnoteText"/>
        <w:keepNext/>
        <w:widowControl w:val="0"/>
        <w:tabs>
          <w:tab w:val="clear" w:pos="567"/>
        </w:tabs>
        <w:rPr>
          <w:color w:val="000000"/>
          <w:szCs w:val="22"/>
          <w:lang w:val="sv-SE"/>
        </w:rPr>
      </w:pPr>
      <w:r w:rsidRPr="000E7AE9">
        <w:rPr>
          <w:color w:val="000000"/>
          <w:szCs w:val="22"/>
          <w:u w:val="single"/>
          <w:lang w:val="sv-SE"/>
        </w:rPr>
        <w:t>Farmakokinetik i plasma</w:t>
      </w:r>
    </w:p>
    <w:p w14:paraId="377D314F"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Hos friska frivilliga och efter peroral tillförsel var t</w:t>
      </w:r>
      <w:r w:rsidRPr="000E7AE9">
        <w:rPr>
          <w:color w:val="000000"/>
          <w:szCs w:val="22"/>
          <w:vertAlign w:val="subscript"/>
          <w:lang w:val="sv-SE"/>
        </w:rPr>
        <w:t xml:space="preserve">½ </w:t>
      </w:r>
      <w:r w:rsidRPr="000E7AE9">
        <w:rPr>
          <w:color w:val="000000"/>
          <w:szCs w:val="22"/>
          <w:lang w:val="sv-SE"/>
        </w:rPr>
        <w:t>ungefär 18 timmar, vilket indikerar att dosering en gång dagligen är lämplig. Ökningen av genomsnittlig AUC med ökande dos var linjär och dosproportionerlig i intervallet 25–1 000 mg imatinib efter peroral tillförsel. Imatinibs kinetiska egenskaper ändrades inte vid upprepad dosering och ackumulationen var en faktor 1,5–2,5 vid steady state och dosering en gång dagligen.</w:t>
      </w:r>
    </w:p>
    <w:p w14:paraId="58D96449" w14:textId="77777777" w:rsidR="00161D46" w:rsidRPr="000E7AE9" w:rsidRDefault="00161D46" w:rsidP="00463647">
      <w:pPr>
        <w:pStyle w:val="EndnoteText"/>
        <w:widowControl w:val="0"/>
        <w:tabs>
          <w:tab w:val="clear" w:pos="567"/>
        </w:tabs>
        <w:rPr>
          <w:color w:val="000000"/>
          <w:szCs w:val="22"/>
          <w:lang w:val="sv-SE"/>
        </w:rPr>
      </w:pPr>
    </w:p>
    <w:p w14:paraId="26E93464"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Farmakokinetik hos GIST-patienter</w:t>
      </w:r>
    </w:p>
    <w:p w14:paraId="5B8B9B12"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 xml:space="preserve">Hos patienter med GIST var exponeringen vid steady-state 1,5 gånger högre än den som observerats hos KML-patienter vid samma dos (400 mg dagligen). Baserat på preliminär populationsfarmakokinetik hos GIST-patienter var det tre variabler (albumin, antalet vita blodkroppar och bilirubin), som befanns ha ett statistiskt signifikant samband med farmakokinetiken för imatinib. Minskade värden av albumin orsakade en minskad clearance (CL/f). Större antal vita blodkroppar ledde till en minskning av CL/f. Emellertid, dessa samband är inte tillräckligt uttalade för att kräva en dosjustering. Hos denna patientpopulation kan förekomsten av levermetastaser möjligen leda till </w:t>
      </w:r>
      <w:r w:rsidRPr="000E7AE9">
        <w:rPr>
          <w:color w:val="000000"/>
          <w:szCs w:val="22"/>
          <w:lang w:val="sv-SE"/>
        </w:rPr>
        <w:lastRenderedPageBreak/>
        <w:t>leverinsufficiens och minskad metabolism.</w:t>
      </w:r>
    </w:p>
    <w:p w14:paraId="15C8EAF7" w14:textId="77777777" w:rsidR="00161D46" w:rsidRPr="000E7AE9" w:rsidRDefault="00161D46" w:rsidP="00463647">
      <w:pPr>
        <w:pStyle w:val="EndnoteText"/>
        <w:widowControl w:val="0"/>
        <w:tabs>
          <w:tab w:val="clear" w:pos="567"/>
        </w:tabs>
        <w:rPr>
          <w:color w:val="000000"/>
          <w:szCs w:val="22"/>
          <w:lang w:val="sv-SE"/>
        </w:rPr>
      </w:pPr>
    </w:p>
    <w:p w14:paraId="57EACF02" w14:textId="77777777" w:rsidR="00161D46" w:rsidRPr="000E7AE9" w:rsidRDefault="00161D46" w:rsidP="00463647">
      <w:pPr>
        <w:pStyle w:val="EndnoteText"/>
        <w:keepNext/>
        <w:widowControl w:val="0"/>
        <w:tabs>
          <w:tab w:val="clear" w:pos="567"/>
        </w:tabs>
        <w:rPr>
          <w:color w:val="000000"/>
          <w:szCs w:val="22"/>
          <w:lang w:val="sv-SE"/>
        </w:rPr>
      </w:pPr>
      <w:r w:rsidRPr="000E7AE9">
        <w:rPr>
          <w:color w:val="000000"/>
          <w:szCs w:val="22"/>
          <w:u w:val="single"/>
          <w:lang w:val="sv-SE"/>
        </w:rPr>
        <w:t>Farmakokinetik i populationen</w:t>
      </w:r>
    </w:p>
    <w:p w14:paraId="6614724A"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En farmakokinetisk analys i en population av KML-patienter visar på en mindre effekt av ålder på distributionsvolymen (12</w:t>
      </w:r>
      <w:r w:rsidR="00C4299F">
        <w:rPr>
          <w:color w:val="000000"/>
          <w:szCs w:val="22"/>
          <w:lang w:val="sv-SE"/>
        </w:rPr>
        <w:t> </w:t>
      </w:r>
      <w:r w:rsidRPr="000E7AE9">
        <w:rPr>
          <w:color w:val="000000"/>
          <w:szCs w:val="22"/>
          <w:lang w:val="sv-SE"/>
        </w:rPr>
        <w:t>% ökning hos patienter &gt; 65 år). Denna förändring bedöms inte vara kliniskt signifikant. Effekten av kroppsvikt på clearance av imatinib är sådan att för en patient som väger 50 kg förväntas genomsnittlig clearance vara 8,5 l/timme, medan en patient som väger 100 kg förväntas ha ökad clearance motsvarande 11,8 l/timme. Dessa förändringar anses inte vara tillräckligt stora för att motivera en dosjustering på grundval av kroppsvikt. Det föreligger ingen effekt av kön på imatinibs kinetiska egenskaper.</w:t>
      </w:r>
    </w:p>
    <w:p w14:paraId="397176AC" w14:textId="77777777" w:rsidR="00161D46" w:rsidRPr="000E7AE9" w:rsidRDefault="00161D46" w:rsidP="00463647">
      <w:pPr>
        <w:pStyle w:val="EndnoteText"/>
        <w:widowControl w:val="0"/>
        <w:tabs>
          <w:tab w:val="clear" w:pos="567"/>
        </w:tabs>
        <w:rPr>
          <w:color w:val="000000"/>
          <w:szCs w:val="22"/>
          <w:lang w:val="sv-SE"/>
        </w:rPr>
      </w:pPr>
    </w:p>
    <w:p w14:paraId="50E26CA4"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Farmakokinetik hos barn</w:t>
      </w:r>
    </w:p>
    <w:p w14:paraId="196EA659" w14:textId="77777777" w:rsidR="00161D46" w:rsidRPr="000E7AE9" w:rsidRDefault="00161D46" w:rsidP="00463647">
      <w:pPr>
        <w:pStyle w:val="EndnoteText"/>
        <w:widowControl w:val="0"/>
        <w:rPr>
          <w:color w:val="000000"/>
          <w:szCs w:val="22"/>
          <w:lang w:val="sv-SE"/>
        </w:rPr>
      </w:pPr>
      <w:r w:rsidRPr="000E7AE9">
        <w:rPr>
          <w:color w:val="000000"/>
          <w:szCs w:val="22"/>
          <w:lang w:val="sv-SE"/>
        </w:rPr>
        <w:t>Liksom hos vuxna patienter, absorberades imatinib snabbt efter oral administrering hos pediatriska patienter i både fas I- och fas II-studier. Dosering till barn med 260 respektive 340 mg/m</w:t>
      </w:r>
      <w:r w:rsidRPr="000E7AE9">
        <w:rPr>
          <w:color w:val="000000"/>
          <w:szCs w:val="22"/>
          <w:vertAlign w:val="superscript"/>
          <w:lang w:val="sv-SE"/>
        </w:rPr>
        <w:t>2</w:t>
      </w:r>
      <w:r w:rsidRPr="000E7AE9">
        <w:rPr>
          <w:color w:val="000000"/>
          <w:szCs w:val="22"/>
          <w:lang w:val="sv-SE"/>
        </w:rPr>
        <w:t>/dag uppnådde liknande exponering som doser om 400 mg respektive 600 mg till vuxna patienter. Jämförelsen av AUC</w:t>
      </w:r>
      <w:r w:rsidRPr="000E7AE9">
        <w:rPr>
          <w:color w:val="000000"/>
          <w:szCs w:val="22"/>
          <w:vertAlign w:val="subscript"/>
          <w:lang w:val="sv-SE"/>
        </w:rPr>
        <w:t>(0-24)</w:t>
      </w:r>
      <w:r w:rsidRPr="000E7AE9">
        <w:rPr>
          <w:color w:val="000000"/>
          <w:szCs w:val="22"/>
          <w:lang w:val="sv-SE"/>
        </w:rPr>
        <w:t xml:space="preserve"> vid dag 8 och dag 1 vid dosnivån 340 mg/m</w:t>
      </w:r>
      <w:r w:rsidRPr="000E7AE9">
        <w:rPr>
          <w:color w:val="000000"/>
          <w:szCs w:val="22"/>
          <w:vertAlign w:val="superscript"/>
          <w:lang w:val="sv-SE"/>
        </w:rPr>
        <w:t>2</w:t>
      </w:r>
      <w:r w:rsidRPr="000E7AE9">
        <w:rPr>
          <w:color w:val="000000"/>
          <w:szCs w:val="22"/>
          <w:lang w:val="sv-SE"/>
        </w:rPr>
        <w:t>/dag uppdagade en ackumulering på 1,7 gånger efter upprepad daglig engångsdosering.</w:t>
      </w:r>
    </w:p>
    <w:p w14:paraId="44F064D8" w14:textId="77777777" w:rsidR="00161D46" w:rsidRDefault="00161D46" w:rsidP="00463647">
      <w:pPr>
        <w:pStyle w:val="EndnoteText"/>
        <w:widowControl w:val="0"/>
        <w:tabs>
          <w:tab w:val="clear" w:pos="567"/>
        </w:tabs>
        <w:rPr>
          <w:color w:val="000000"/>
          <w:szCs w:val="22"/>
          <w:lang w:val="sv-SE"/>
        </w:rPr>
      </w:pPr>
    </w:p>
    <w:p w14:paraId="55599B5E" w14:textId="77777777" w:rsidR="003706F0" w:rsidRPr="00D22E26" w:rsidRDefault="003706F0" w:rsidP="00463647">
      <w:pPr>
        <w:pStyle w:val="EndnoteText"/>
        <w:widowControl w:val="0"/>
        <w:rPr>
          <w:color w:val="000000"/>
          <w:szCs w:val="22"/>
          <w:lang w:val="sv-SE"/>
        </w:rPr>
      </w:pPr>
      <w:r w:rsidRPr="009C3437">
        <w:rPr>
          <w:color w:val="000000"/>
          <w:szCs w:val="22"/>
          <w:lang w:val="sv-SE"/>
        </w:rPr>
        <w:t>Baserat på en farmakokinetisk analys i en sammanslagen population av</w:t>
      </w:r>
      <w:r w:rsidRPr="004E6ECF">
        <w:rPr>
          <w:color w:val="000000"/>
          <w:szCs w:val="22"/>
          <w:lang w:val="sv-SE"/>
        </w:rPr>
        <w:t xml:space="preserve"> pediatriska patienter med </w:t>
      </w:r>
      <w:r>
        <w:rPr>
          <w:color w:val="000000"/>
          <w:szCs w:val="22"/>
          <w:lang w:val="sv-SE"/>
        </w:rPr>
        <w:t>hematologiska</w:t>
      </w:r>
      <w:r w:rsidRPr="004E6ECF">
        <w:rPr>
          <w:color w:val="000000"/>
          <w:szCs w:val="22"/>
          <w:lang w:val="sv-SE"/>
        </w:rPr>
        <w:t xml:space="preserve"> rubbningar (</w:t>
      </w:r>
      <w:r w:rsidR="00116EAF">
        <w:rPr>
          <w:color w:val="000000"/>
          <w:szCs w:val="22"/>
          <w:lang w:val="sv-SE"/>
        </w:rPr>
        <w:t>K</w:t>
      </w:r>
      <w:r w:rsidRPr="004E6ECF">
        <w:rPr>
          <w:color w:val="000000"/>
          <w:szCs w:val="22"/>
          <w:lang w:val="sv-SE"/>
        </w:rPr>
        <w:t xml:space="preserve">ML, Ph+ALL, eller andra </w:t>
      </w:r>
      <w:r>
        <w:rPr>
          <w:color w:val="000000"/>
          <w:szCs w:val="22"/>
          <w:lang w:val="sv-SE"/>
        </w:rPr>
        <w:t>hematologiska rubbningar som behandlats med imatinib</w:t>
      </w:r>
      <w:r w:rsidRPr="004E6ECF">
        <w:rPr>
          <w:color w:val="000000"/>
          <w:szCs w:val="22"/>
          <w:lang w:val="sv-SE"/>
        </w:rPr>
        <w:t xml:space="preserve">), </w:t>
      </w:r>
      <w:r>
        <w:rPr>
          <w:color w:val="000000"/>
          <w:szCs w:val="22"/>
          <w:lang w:val="sv-SE"/>
        </w:rPr>
        <w:t xml:space="preserve">ökar </w:t>
      </w:r>
      <w:r w:rsidRPr="004E6ECF">
        <w:rPr>
          <w:color w:val="000000"/>
          <w:szCs w:val="22"/>
          <w:lang w:val="sv-SE"/>
        </w:rPr>
        <w:t xml:space="preserve">clearance </w:t>
      </w:r>
      <w:r>
        <w:rPr>
          <w:color w:val="000000"/>
          <w:szCs w:val="22"/>
          <w:lang w:val="sv-SE"/>
        </w:rPr>
        <w:t xml:space="preserve">av </w:t>
      </w:r>
      <w:r w:rsidRPr="004E6ECF">
        <w:rPr>
          <w:color w:val="000000"/>
          <w:szCs w:val="22"/>
          <w:lang w:val="sv-SE"/>
        </w:rPr>
        <w:t xml:space="preserve">imatinib </w:t>
      </w:r>
      <w:r>
        <w:rPr>
          <w:color w:val="000000"/>
          <w:szCs w:val="22"/>
          <w:lang w:val="sv-SE"/>
        </w:rPr>
        <w:t xml:space="preserve">med ökad </w:t>
      </w:r>
      <w:r w:rsidRPr="00E963C5">
        <w:rPr>
          <w:color w:val="000000"/>
          <w:szCs w:val="22"/>
          <w:lang w:val="sv-SE"/>
        </w:rPr>
        <w:t>kroppsyta (BSA). Efter korrigering av BSA</w:t>
      </w:r>
      <w:r w:rsidRPr="004E6ECF">
        <w:rPr>
          <w:color w:val="000000"/>
          <w:szCs w:val="22"/>
          <w:lang w:val="sv-SE"/>
        </w:rPr>
        <w:t xml:space="preserve"> effekten</w:t>
      </w:r>
      <w:r w:rsidRPr="00D22E26">
        <w:rPr>
          <w:color w:val="000000"/>
          <w:szCs w:val="22"/>
          <w:lang w:val="sv-SE"/>
        </w:rPr>
        <w:t xml:space="preserve">, så hade inte </w:t>
      </w:r>
      <w:r>
        <w:rPr>
          <w:color w:val="000000"/>
          <w:szCs w:val="22"/>
          <w:lang w:val="sv-SE"/>
        </w:rPr>
        <w:t>annan demografi</w:t>
      </w:r>
      <w:r w:rsidRPr="00D22E26">
        <w:rPr>
          <w:color w:val="000000"/>
          <w:szCs w:val="22"/>
          <w:lang w:val="sv-SE"/>
        </w:rPr>
        <w:t xml:space="preserve"> såsom ålder, kroppsvikt </w:t>
      </w:r>
      <w:r w:rsidRPr="009C3437">
        <w:rPr>
          <w:color w:val="000000"/>
          <w:szCs w:val="22"/>
          <w:lang w:val="sv-SE"/>
        </w:rPr>
        <w:t>och body mass index</w:t>
      </w:r>
      <w:r w:rsidRPr="00D22E26">
        <w:rPr>
          <w:color w:val="000000"/>
          <w:szCs w:val="22"/>
          <w:lang w:val="sv-SE"/>
        </w:rPr>
        <w:t xml:space="preserve"> </w:t>
      </w:r>
      <w:r>
        <w:rPr>
          <w:color w:val="000000"/>
          <w:szCs w:val="22"/>
          <w:lang w:val="sv-SE"/>
        </w:rPr>
        <w:t>kliniskt signifikanta effekter på exponeringen av imatinib.</w:t>
      </w:r>
      <w:r w:rsidRPr="00D22E26">
        <w:rPr>
          <w:color w:val="000000"/>
          <w:szCs w:val="22"/>
          <w:lang w:val="sv-SE"/>
        </w:rPr>
        <w:t xml:space="preserve"> </w:t>
      </w:r>
      <w:r>
        <w:rPr>
          <w:color w:val="000000"/>
          <w:szCs w:val="22"/>
          <w:lang w:val="sv-SE"/>
        </w:rPr>
        <w:t>Analysen bekräftar att exponeringen av imatinib hos pediatriska patienter som fick 260 mg/</w:t>
      </w:r>
      <w:r w:rsidRPr="00D22E26">
        <w:rPr>
          <w:color w:val="000000"/>
          <w:szCs w:val="22"/>
          <w:lang w:val="sv-SE"/>
        </w:rPr>
        <w:t>m</w:t>
      </w:r>
      <w:r w:rsidRPr="00D22E26">
        <w:rPr>
          <w:color w:val="000000"/>
          <w:szCs w:val="22"/>
          <w:vertAlign w:val="superscript"/>
          <w:lang w:val="sv-SE"/>
        </w:rPr>
        <w:t>2</w:t>
      </w:r>
      <w:r w:rsidRPr="00D22E26">
        <w:rPr>
          <w:color w:val="000000"/>
          <w:szCs w:val="22"/>
          <w:lang w:val="sv-SE"/>
        </w:rPr>
        <w:t xml:space="preserve"> en gång dagligen (överskred ej 400 mg en gång dagligen) eller 340 mg/m</w:t>
      </w:r>
      <w:r w:rsidRPr="00D22E26">
        <w:rPr>
          <w:color w:val="000000"/>
          <w:szCs w:val="22"/>
          <w:vertAlign w:val="superscript"/>
          <w:lang w:val="sv-SE"/>
        </w:rPr>
        <w:t>2</w:t>
      </w:r>
      <w:r w:rsidRPr="00D22E26">
        <w:rPr>
          <w:color w:val="000000"/>
          <w:szCs w:val="22"/>
          <w:lang w:val="sv-SE"/>
        </w:rPr>
        <w:t xml:space="preserve"> en gång dagligen (överskred ej 600 mg en gång dagligen) </w:t>
      </w:r>
      <w:r>
        <w:rPr>
          <w:color w:val="000000"/>
          <w:szCs w:val="22"/>
          <w:lang w:val="sv-SE"/>
        </w:rPr>
        <w:t xml:space="preserve">var likt de hos vuxna patienter som fick imatinib </w:t>
      </w:r>
      <w:r w:rsidRPr="00D22E26">
        <w:rPr>
          <w:color w:val="000000"/>
          <w:szCs w:val="22"/>
          <w:lang w:val="sv-SE"/>
        </w:rPr>
        <w:t xml:space="preserve">400 mg </w:t>
      </w:r>
      <w:r>
        <w:rPr>
          <w:color w:val="000000"/>
          <w:szCs w:val="22"/>
          <w:lang w:val="sv-SE"/>
        </w:rPr>
        <w:t>eller</w:t>
      </w:r>
      <w:r w:rsidRPr="00D22E26">
        <w:rPr>
          <w:color w:val="000000"/>
          <w:szCs w:val="22"/>
          <w:lang w:val="sv-SE"/>
        </w:rPr>
        <w:t xml:space="preserve"> 600 mg </w:t>
      </w:r>
      <w:r>
        <w:rPr>
          <w:color w:val="000000"/>
          <w:szCs w:val="22"/>
          <w:lang w:val="sv-SE"/>
        </w:rPr>
        <w:t>en gång dagligen</w:t>
      </w:r>
      <w:r w:rsidRPr="00D22E26">
        <w:rPr>
          <w:color w:val="000000"/>
          <w:szCs w:val="22"/>
          <w:lang w:val="sv-SE"/>
        </w:rPr>
        <w:t>.</w:t>
      </w:r>
    </w:p>
    <w:p w14:paraId="69AA4A60" w14:textId="77777777" w:rsidR="003706F0" w:rsidRPr="000E7AE9" w:rsidRDefault="003706F0" w:rsidP="00463647">
      <w:pPr>
        <w:pStyle w:val="EndnoteText"/>
        <w:widowControl w:val="0"/>
        <w:tabs>
          <w:tab w:val="clear" w:pos="567"/>
        </w:tabs>
        <w:rPr>
          <w:color w:val="000000"/>
          <w:szCs w:val="22"/>
          <w:lang w:val="sv-SE"/>
        </w:rPr>
      </w:pPr>
    </w:p>
    <w:p w14:paraId="44F42DED" w14:textId="77777777" w:rsidR="00161D46" w:rsidRPr="000E7AE9" w:rsidRDefault="00161D46" w:rsidP="00463647">
      <w:pPr>
        <w:pStyle w:val="EndnoteText"/>
        <w:keepNext/>
        <w:widowControl w:val="0"/>
        <w:tabs>
          <w:tab w:val="clear" w:pos="567"/>
        </w:tabs>
        <w:rPr>
          <w:color w:val="000000"/>
          <w:szCs w:val="22"/>
          <w:u w:val="single"/>
          <w:lang w:val="sv-SE"/>
        </w:rPr>
      </w:pPr>
      <w:r w:rsidRPr="000E7AE9">
        <w:rPr>
          <w:color w:val="000000"/>
          <w:szCs w:val="22"/>
          <w:u w:val="single"/>
          <w:lang w:val="sv-SE"/>
        </w:rPr>
        <w:t>Organfunktionsnedsättning</w:t>
      </w:r>
    </w:p>
    <w:p w14:paraId="6692A9E6" w14:textId="77777777" w:rsidR="00161D46" w:rsidRPr="000E7AE9" w:rsidRDefault="00161D46" w:rsidP="00463647">
      <w:pPr>
        <w:widowControl w:val="0"/>
        <w:autoSpaceDE w:val="0"/>
        <w:autoSpaceDN w:val="0"/>
        <w:adjustRightInd w:val="0"/>
        <w:spacing w:line="240" w:lineRule="auto"/>
        <w:rPr>
          <w:color w:val="000000"/>
          <w:szCs w:val="22"/>
          <w:lang w:val="sv-SE"/>
        </w:rPr>
      </w:pPr>
      <w:r w:rsidRPr="000E7AE9">
        <w:rPr>
          <w:color w:val="000000"/>
          <w:szCs w:val="22"/>
          <w:lang w:val="sv-SE"/>
        </w:rPr>
        <w:t>Imatinib och dess metaboliter utsöndras inte signifikant via njurarna. Patienter med lätt till måttligt nedsatt njurfunktion tycks ha högre plasmaexponering än patienter med normal njurfunktion. Ökningen är cirka 1,5 till 2 ggr, vilket motsvarar en 1,5x ökning av plasma-AGP, till vilket imatinib binder starkt. Clearance av fritt aktivt imatinib är förmodligen likartad för patienter med nedsatt njurfunktion och patienter med normal njurfunktion eftersom utsöndring via njuren endast i mindre utsträckning står för eliminationen av imatinib (se avsnitten 4.2 och 4.4).</w:t>
      </w:r>
    </w:p>
    <w:p w14:paraId="238CBD5D" w14:textId="77777777" w:rsidR="00161D46" w:rsidRPr="000E7AE9" w:rsidRDefault="00161D46" w:rsidP="00463647">
      <w:pPr>
        <w:widowControl w:val="0"/>
        <w:autoSpaceDE w:val="0"/>
        <w:autoSpaceDN w:val="0"/>
        <w:adjustRightInd w:val="0"/>
        <w:spacing w:line="240" w:lineRule="auto"/>
        <w:rPr>
          <w:color w:val="000000"/>
          <w:szCs w:val="22"/>
          <w:lang w:val="sv-SE"/>
        </w:rPr>
      </w:pPr>
    </w:p>
    <w:p w14:paraId="69496655" w14:textId="77777777" w:rsidR="00161D46" w:rsidRPr="000E7AE9" w:rsidRDefault="00161D46" w:rsidP="00463647">
      <w:pPr>
        <w:pStyle w:val="EndnoteText"/>
        <w:widowControl w:val="0"/>
        <w:tabs>
          <w:tab w:val="clear" w:pos="567"/>
        </w:tabs>
        <w:rPr>
          <w:color w:val="000000"/>
          <w:szCs w:val="22"/>
          <w:lang w:val="sv-SE"/>
        </w:rPr>
      </w:pPr>
      <w:r w:rsidRPr="000E7AE9">
        <w:rPr>
          <w:color w:val="000000"/>
          <w:szCs w:val="22"/>
          <w:lang w:val="sv-SE"/>
        </w:rPr>
        <w:t>Trots att resultaten från de farmakokinetiska analyserna visade att det finns en betydande variation mellan individer, ökade inte medelexponeringen för imatinib hos patienter med varierande grad av leverfunktionsrubbning jämfört med patienter med normal leverfunktion (se avsnitten 4.2, 4.4 och 4.8).</w:t>
      </w:r>
    </w:p>
    <w:p w14:paraId="3FE7CB02" w14:textId="77777777" w:rsidR="00161D46" w:rsidRPr="000E7AE9" w:rsidRDefault="00161D46" w:rsidP="00463647">
      <w:pPr>
        <w:pStyle w:val="EndnoteText"/>
        <w:widowControl w:val="0"/>
        <w:tabs>
          <w:tab w:val="clear" w:pos="567"/>
        </w:tabs>
        <w:rPr>
          <w:color w:val="000000"/>
          <w:szCs w:val="22"/>
          <w:lang w:val="sv-SE"/>
        </w:rPr>
      </w:pPr>
    </w:p>
    <w:p w14:paraId="3A63D66E" w14:textId="77777777" w:rsidR="00161D46" w:rsidRPr="000E7AE9" w:rsidRDefault="00161D46" w:rsidP="00463647">
      <w:pPr>
        <w:pStyle w:val="Heading4"/>
        <w:widowControl w:val="0"/>
        <w:spacing w:line="240" w:lineRule="auto"/>
        <w:rPr>
          <w:noProof w:val="0"/>
          <w:color w:val="000000"/>
          <w:szCs w:val="22"/>
          <w:lang w:val="sv-SE"/>
        </w:rPr>
      </w:pPr>
      <w:r w:rsidRPr="000E7AE9">
        <w:rPr>
          <w:noProof w:val="0"/>
          <w:color w:val="000000"/>
          <w:szCs w:val="22"/>
          <w:lang w:val="sv-SE"/>
        </w:rPr>
        <w:t>5.3</w:t>
      </w:r>
      <w:r w:rsidRPr="000E7AE9">
        <w:rPr>
          <w:noProof w:val="0"/>
          <w:color w:val="000000"/>
          <w:szCs w:val="22"/>
          <w:lang w:val="sv-SE"/>
        </w:rPr>
        <w:tab/>
        <w:t>Prekliniska säkerhetsuppgifter</w:t>
      </w:r>
    </w:p>
    <w:p w14:paraId="23261779" w14:textId="77777777" w:rsidR="00161D46" w:rsidRPr="000E7AE9" w:rsidRDefault="00161D46" w:rsidP="00463647">
      <w:pPr>
        <w:keepNext/>
        <w:widowControl w:val="0"/>
        <w:tabs>
          <w:tab w:val="clear" w:pos="567"/>
        </w:tabs>
        <w:spacing w:line="240" w:lineRule="auto"/>
        <w:rPr>
          <w:color w:val="000000"/>
          <w:szCs w:val="22"/>
          <w:lang w:val="sv-SE"/>
        </w:rPr>
      </w:pPr>
    </w:p>
    <w:p w14:paraId="075F4AD0"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Utvärdering av den prekliniska säkerheten för imatinib har gjorts på råtta, hund, apa och kanin.</w:t>
      </w:r>
    </w:p>
    <w:p w14:paraId="6DC5B679" w14:textId="77777777" w:rsidR="00161D46" w:rsidRPr="000E7AE9" w:rsidRDefault="00161D46" w:rsidP="00463647">
      <w:pPr>
        <w:widowControl w:val="0"/>
        <w:spacing w:line="240" w:lineRule="auto"/>
        <w:rPr>
          <w:color w:val="000000"/>
          <w:szCs w:val="22"/>
          <w:lang w:val="sv-SE"/>
        </w:rPr>
      </w:pPr>
    </w:p>
    <w:p w14:paraId="54F6208A"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Toxicitetsstudier vid upprepad dosering uppvisade milda till måttliga hematologiska förändringar hos råtta, hund och apa, samt benmärgsförändringar hos råtta och hund.</w:t>
      </w:r>
    </w:p>
    <w:p w14:paraId="014B2D39" w14:textId="77777777" w:rsidR="00161D46" w:rsidRPr="000E7AE9" w:rsidRDefault="00161D46" w:rsidP="00463647">
      <w:pPr>
        <w:widowControl w:val="0"/>
        <w:spacing w:line="240" w:lineRule="auto"/>
        <w:rPr>
          <w:color w:val="000000"/>
          <w:szCs w:val="22"/>
          <w:lang w:val="sv-SE"/>
        </w:rPr>
      </w:pPr>
    </w:p>
    <w:p w14:paraId="3C128414"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Hos råtta och hund var levern målorgan. Milda till måttliga transaminasstegringar och en liten minskning i kolesterol, triglycerider, totala protein- och albuminvärden observerades hos båda djurarterna. Inga histopatologiska förändringar kunde ses i råttlever. Allvarlig levertoxicitet observerades hos hundar som behandlats i 2 veckor, med förhöjda leverenzymer, hepatocellulär nekros, gallgångsnekros och gallgångshyperplasi.</w:t>
      </w:r>
    </w:p>
    <w:p w14:paraId="2D61B8BA" w14:textId="77777777" w:rsidR="00161D46" w:rsidRPr="000E7AE9" w:rsidRDefault="00161D46" w:rsidP="00463647">
      <w:pPr>
        <w:widowControl w:val="0"/>
        <w:spacing w:line="240" w:lineRule="auto"/>
        <w:rPr>
          <w:color w:val="000000"/>
          <w:szCs w:val="22"/>
          <w:lang w:val="sv-SE"/>
        </w:rPr>
      </w:pPr>
    </w:p>
    <w:p w14:paraId="18F88520"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 xml:space="preserve">Njurtoxicitet observerades hos apor som behandlats i 2 veckor, med fokal mineralisering och utvidgning av njurtubuli och tubulär nefros. Ökat urea (BUN) och kreatinin observerades hos flera av dessa djur. Hos råtta observerades hyperplasi av epitelet i njurpapillen och i urinblåsan vid doser </w:t>
      </w:r>
      <w:r w:rsidRPr="000E7AE9">
        <w:rPr>
          <w:color w:val="000000"/>
          <w:szCs w:val="22"/>
          <w:lang w:val="sv-SE"/>
        </w:rPr>
        <w:sym w:font="Symbol" w:char="F0B3"/>
      </w:r>
      <w:r w:rsidRPr="000E7AE9">
        <w:rPr>
          <w:color w:val="000000"/>
          <w:szCs w:val="22"/>
          <w:lang w:val="sv-SE"/>
        </w:rPr>
        <w:t xml:space="preserve"> 6 mg/kg i 13-veckorsstudien, utan några förändringar i serum- eller urinparametrar. En ökad </w:t>
      </w:r>
      <w:r w:rsidRPr="000E7AE9">
        <w:rPr>
          <w:color w:val="000000"/>
          <w:szCs w:val="22"/>
          <w:lang w:val="sv-SE"/>
        </w:rPr>
        <w:lastRenderedPageBreak/>
        <w:t>frekvens av opportunistiska infektioner observerades vid kronisk behandling med imatinib.</w:t>
      </w:r>
    </w:p>
    <w:p w14:paraId="1117D007" w14:textId="77777777" w:rsidR="00161D46" w:rsidRPr="000E7AE9" w:rsidRDefault="00161D46" w:rsidP="00463647">
      <w:pPr>
        <w:widowControl w:val="0"/>
        <w:spacing w:line="240" w:lineRule="auto"/>
        <w:rPr>
          <w:color w:val="000000"/>
          <w:szCs w:val="22"/>
          <w:lang w:val="sv-SE"/>
        </w:rPr>
      </w:pPr>
    </w:p>
    <w:p w14:paraId="5994673F"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I en 39-veckorsstudie på apa, kunde inget NOAEL (nivån för ingen observerad toxisk effekt) bestämmas vid den lägsta dosen 15 mg/kg, ungefär en tredjedel av den maximala dosen av 800 mg/dag till människa baserat på kroppsytan. Behandlingen innebar en försämring av de normalt undertryckta malariainfektionerna hos dessa djur.</w:t>
      </w:r>
    </w:p>
    <w:p w14:paraId="2D49B966" w14:textId="77777777" w:rsidR="00161D46" w:rsidRPr="000E7AE9" w:rsidRDefault="00161D46" w:rsidP="00463647">
      <w:pPr>
        <w:widowControl w:val="0"/>
        <w:spacing w:line="240" w:lineRule="auto"/>
        <w:rPr>
          <w:color w:val="000000"/>
          <w:szCs w:val="22"/>
          <w:lang w:val="sv-SE"/>
        </w:rPr>
      </w:pPr>
    </w:p>
    <w:p w14:paraId="005A4BE9"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 xml:space="preserve">Imatinib ansågs inte vara genotoxiskt i bakterier, mammalieceller (Ames test, muslymfom) </w:t>
      </w:r>
      <w:r w:rsidRPr="000E7AE9">
        <w:rPr>
          <w:i/>
          <w:color w:val="000000"/>
          <w:szCs w:val="22"/>
          <w:lang w:val="sv-SE"/>
        </w:rPr>
        <w:t>in vitro</w:t>
      </w:r>
      <w:r w:rsidRPr="000E7AE9">
        <w:rPr>
          <w:color w:val="000000"/>
          <w:szCs w:val="22"/>
          <w:lang w:val="sv-SE"/>
        </w:rPr>
        <w:t xml:space="preserve">, och i råttmikronukleus </w:t>
      </w:r>
      <w:r w:rsidRPr="000E7AE9">
        <w:rPr>
          <w:i/>
          <w:color w:val="000000"/>
          <w:szCs w:val="22"/>
          <w:lang w:val="sv-SE"/>
        </w:rPr>
        <w:t>in vivo</w:t>
      </w:r>
      <w:r w:rsidRPr="000E7AE9">
        <w:rPr>
          <w:color w:val="000000"/>
          <w:szCs w:val="22"/>
          <w:lang w:val="sv-SE"/>
        </w:rPr>
        <w:t xml:space="preserve">. Positiva genotoxiska effekter avseende klastogenicitet (kromosomavvikelser) erhölls i ett mammaliecellstest </w:t>
      </w:r>
      <w:r w:rsidRPr="000E7AE9">
        <w:rPr>
          <w:i/>
          <w:color w:val="000000"/>
          <w:szCs w:val="22"/>
          <w:lang w:val="sv-SE"/>
        </w:rPr>
        <w:t xml:space="preserve">in vitro </w:t>
      </w:r>
      <w:r w:rsidRPr="000E7AE9">
        <w:rPr>
          <w:color w:val="000000"/>
          <w:szCs w:val="22"/>
          <w:lang w:val="sv-SE"/>
        </w:rPr>
        <w:t>(Chinese hamster ovary) i närvaro av metabolisk aktivering. Två intermediärer från tillverkningsprocessen, som också finns i den färdiga produkten, är positiva för mutagenes i Amestestet. En av dessa intermediärer var även positiv i muslymfomtestet.</w:t>
      </w:r>
    </w:p>
    <w:p w14:paraId="231ED28F" w14:textId="77777777" w:rsidR="00161D46" w:rsidRPr="000E7AE9" w:rsidRDefault="00161D46" w:rsidP="00463647">
      <w:pPr>
        <w:widowControl w:val="0"/>
        <w:spacing w:line="240" w:lineRule="auto"/>
        <w:rPr>
          <w:color w:val="000000"/>
          <w:szCs w:val="22"/>
          <w:lang w:val="sv-SE"/>
        </w:rPr>
      </w:pPr>
    </w:p>
    <w:p w14:paraId="7080722B"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 xml:space="preserve">I en fertilitetsstudie på hanråttor som doserades 70 dagar innan parning, minskade testikel- och bitestikelvikten och procentandelen rörliga spermier vid 60 mg/kg, ungefär lika med den maximala kliniska dosen av 800 mg/dag baserat på kroppsytan. Detta sågs inte vid doser ≤ 20 mg/kg. En lätt till måttlig minskning i spermatogenes observerades hos hund vid orala doser </w:t>
      </w:r>
      <w:r w:rsidRPr="000E7AE9">
        <w:rPr>
          <w:color w:val="000000"/>
          <w:szCs w:val="22"/>
          <w:lang w:val="sv-SE"/>
        </w:rPr>
        <w:sym w:font="Symbol" w:char="F0B3"/>
      </w:r>
      <w:r w:rsidRPr="000E7AE9">
        <w:rPr>
          <w:color w:val="000000"/>
          <w:szCs w:val="22"/>
          <w:lang w:val="sv-SE"/>
        </w:rPr>
        <w:t> 30 mg/kg. När honråttor doserades 14 dagar innan parning och till dräktighetsdag 6, sågs ingen effekt på parning eller antal dräktiga honor. Vid doser på 60 mg/kg hade honråttorna en signifikant spontanförlust av foster och ett reducerat antal levande foster. Detta sågs inte vid doser ≤ 20 mg/kg.</w:t>
      </w:r>
    </w:p>
    <w:p w14:paraId="0AA8C905" w14:textId="77777777" w:rsidR="00161D46" w:rsidRPr="000E7AE9" w:rsidRDefault="00161D46" w:rsidP="00463647">
      <w:pPr>
        <w:widowControl w:val="0"/>
        <w:spacing w:line="240" w:lineRule="auto"/>
        <w:rPr>
          <w:color w:val="000000"/>
          <w:szCs w:val="22"/>
          <w:lang w:val="sv-SE"/>
        </w:rPr>
      </w:pPr>
    </w:p>
    <w:p w14:paraId="08347FCA"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I en oral, pre- och postnatal utvecklingsstudie på råttor, noterades en röd vaginal flytning hos gruppen med 45 mg/kg/dag på endera dräktighetsdag 14 eller 15. Vid samma dos, ökade antalet dödfödda ungar liksom de som avled mellan postpartumdag 0 och 4. Hos F</w:t>
      </w:r>
      <w:r w:rsidRPr="000E7AE9">
        <w:rPr>
          <w:color w:val="000000"/>
          <w:szCs w:val="22"/>
          <w:vertAlign w:val="subscript"/>
          <w:lang w:val="sv-SE"/>
        </w:rPr>
        <w:t>1</w:t>
      </w:r>
      <w:r w:rsidRPr="000E7AE9">
        <w:rPr>
          <w:color w:val="000000"/>
          <w:szCs w:val="22"/>
          <w:lang w:val="sv-SE"/>
        </w:rPr>
        <w:t>-avkomman, vid samma dosnivå, minskade medelkroppsvikten från födsel till avlivning och antalet kullar som uppnådde kriterier för preputial separering minskade något. F</w:t>
      </w:r>
      <w:r w:rsidRPr="000E7AE9">
        <w:rPr>
          <w:color w:val="000000"/>
          <w:szCs w:val="22"/>
          <w:vertAlign w:val="subscript"/>
          <w:lang w:val="sv-SE"/>
        </w:rPr>
        <w:t>1</w:t>
      </w:r>
      <w:r w:rsidRPr="000E7AE9">
        <w:rPr>
          <w:color w:val="000000"/>
          <w:szCs w:val="22"/>
          <w:lang w:val="sv-SE"/>
        </w:rPr>
        <w:t>-fertilitet påverkades inte, medan ett ökat antal resorptioner och ett ökat antal levande foster noterades med 45 mg/kg/dag. Nivån för ingen observerad effekt (NOEL) för både moderdjurens och F</w:t>
      </w:r>
      <w:r w:rsidRPr="000E7AE9">
        <w:rPr>
          <w:color w:val="000000"/>
          <w:szCs w:val="22"/>
          <w:vertAlign w:val="subscript"/>
          <w:lang w:val="sv-SE"/>
        </w:rPr>
        <w:t>1</w:t>
      </w:r>
      <w:r w:rsidRPr="000E7AE9">
        <w:rPr>
          <w:color w:val="000000"/>
          <w:szCs w:val="22"/>
          <w:lang w:val="sv-SE"/>
        </w:rPr>
        <w:t>-generationen var 15 mg/kg/dag (en fjärdedel av den maximala dosen till människa om 800 mg).</w:t>
      </w:r>
    </w:p>
    <w:p w14:paraId="611719FC" w14:textId="77777777" w:rsidR="00161D46" w:rsidRPr="000E7AE9" w:rsidRDefault="00161D46" w:rsidP="00463647">
      <w:pPr>
        <w:widowControl w:val="0"/>
        <w:spacing w:line="240" w:lineRule="auto"/>
        <w:rPr>
          <w:color w:val="000000"/>
          <w:szCs w:val="22"/>
          <w:lang w:val="sv-SE"/>
        </w:rPr>
      </w:pPr>
    </w:p>
    <w:p w14:paraId="4E4CBBD4"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Imatinib var teratogent hos råtta när det gavs under organogenesen vid doser ≥ 100 mg/kg, ungefär lika med den maximala kliniska dosen av 800 mg/dag baserat på kroppsytan. Teratogena effekter omfattade exencefali eller encefalocele, frånvarande/minskat frontal- och frånvarande parietalben. Dessa effekter sågs inte vid doser ≤ 30 mg/kg.</w:t>
      </w:r>
    </w:p>
    <w:p w14:paraId="70CE8157" w14:textId="77777777" w:rsidR="00161D46" w:rsidRDefault="00161D46" w:rsidP="00463647">
      <w:pPr>
        <w:widowControl w:val="0"/>
        <w:spacing w:line="240" w:lineRule="auto"/>
        <w:rPr>
          <w:color w:val="000000"/>
          <w:szCs w:val="22"/>
          <w:lang w:val="sv-SE"/>
        </w:rPr>
      </w:pPr>
    </w:p>
    <w:p w14:paraId="3D44D1D4" w14:textId="77777777" w:rsidR="00741F9E" w:rsidRPr="006C6E26" w:rsidRDefault="00741F9E" w:rsidP="00463647">
      <w:pPr>
        <w:widowControl w:val="0"/>
        <w:spacing w:line="240" w:lineRule="auto"/>
        <w:rPr>
          <w:color w:val="000000"/>
          <w:szCs w:val="22"/>
          <w:lang w:val="sv-SE"/>
        </w:rPr>
      </w:pPr>
      <w:r>
        <w:rPr>
          <w:color w:val="000000"/>
          <w:szCs w:val="22"/>
          <w:lang w:val="sv-SE"/>
        </w:rPr>
        <w:t xml:space="preserve">Inga nya målorgan identifierades i den juvenila utvecklingstoxikologiska studien på råttor (dag 10 till 70 postpartum) med avseende på kända målorgan hos vuxna råttor. I den juvenila toxikologiska studien observerades effekter på tillväxt, försening i vaginal öppning och preputial separation vid ungefär 0,3 till 2 gånger paediatrisk medelexponering vid högsta rekommenderad dos på </w:t>
      </w:r>
      <w:r w:rsidRPr="006C6E26">
        <w:rPr>
          <w:color w:val="000000"/>
          <w:szCs w:val="22"/>
          <w:lang w:val="sv-SE"/>
        </w:rPr>
        <w:t>340 mg/m</w:t>
      </w:r>
      <w:r w:rsidRPr="006C6E26">
        <w:rPr>
          <w:color w:val="000000"/>
          <w:szCs w:val="22"/>
          <w:vertAlign w:val="superscript"/>
          <w:lang w:val="sv-SE"/>
        </w:rPr>
        <w:t>2</w:t>
      </w:r>
      <w:r>
        <w:rPr>
          <w:color w:val="000000"/>
          <w:szCs w:val="22"/>
          <w:lang w:val="sv-SE"/>
        </w:rPr>
        <w:t xml:space="preserve">. Dessutom observerades mortalitet hos juvenila djur (kring avvänjningsfasen) vid ungefär 2 gånger paediatrisk medelexponering vid högsta rekommenderad dos på </w:t>
      </w:r>
      <w:r w:rsidRPr="006C6E26">
        <w:rPr>
          <w:color w:val="000000"/>
          <w:szCs w:val="22"/>
          <w:lang w:val="sv-SE"/>
        </w:rPr>
        <w:t>340 mg/m</w:t>
      </w:r>
      <w:r w:rsidRPr="006C6E26">
        <w:rPr>
          <w:color w:val="000000"/>
          <w:szCs w:val="22"/>
          <w:vertAlign w:val="superscript"/>
          <w:lang w:val="sv-SE"/>
        </w:rPr>
        <w:t>2</w:t>
      </w:r>
      <w:r w:rsidRPr="006C6E26">
        <w:rPr>
          <w:color w:val="000000"/>
          <w:szCs w:val="22"/>
          <w:lang w:val="sv-SE"/>
        </w:rPr>
        <w:t>.</w:t>
      </w:r>
    </w:p>
    <w:p w14:paraId="14328929" w14:textId="77777777" w:rsidR="00741F9E" w:rsidRPr="000E7AE9" w:rsidRDefault="00741F9E" w:rsidP="00463647">
      <w:pPr>
        <w:widowControl w:val="0"/>
        <w:spacing w:line="240" w:lineRule="auto"/>
        <w:rPr>
          <w:color w:val="000000"/>
          <w:szCs w:val="22"/>
          <w:lang w:val="sv-SE"/>
        </w:rPr>
      </w:pPr>
    </w:p>
    <w:p w14:paraId="71C4A6E2" w14:textId="77777777" w:rsidR="00161D46" w:rsidRPr="000E7AE9" w:rsidRDefault="00161D46" w:rsidP="00463647">
      <w:pPr>
        <w:widowControl w:val="0"/>
        <w:spacing w:line="240" w:lineRule="auto"/>
        <w:rPr>
          <w:color w:val="000000"/>
          <w:szCs w:val="22"/>
          <w:lang w:val="sv-SE"/>
        </w:rPr>
      </w:pPr>
      <w:r w:rsidRPr="000E7AE9">
        <w:rPr>
          <w:color w:val="000000"/>
          <w:szCs w:val="22"/>
          <w:lang w:val="sv-SE"/>
        </w:rPr>
        <w:t>I den 2-åriga karcinogenicitetsstudien på råtta resulterade administrering av imatinib med 15, 30 och 60 mg/kg/dag i en statistiskt signifikant reduktion av livslängden hos hannar vid 60 mg/kg/dag och honor vid ≥ 30 mg/kg/dag. Histopatologisk undersökning av avlidna djur visade på kardiomyopati (båda könen), kronisk progressiv nefropati (honor) och papillom i preputiala körtlar som huvudorsak till död eller orsak till avlivning. Målorgan för neoplastiska förändringar var njurar, urinblåsa, urinrör, preputiala och klitorala körtlar, tunntarm, bisköldkörtlar, binjurekörtlar och icke-glandulär magsäck. Nivån för ingen observerad effekt (NOEL) för de olika målorganen med neoplastiska förändringar bestämdes enligt följande: 30 mg/kg/dag för njurarna, urinblåsa, urinrör, tunntarm, bisköldkörtlar, binjurar och icke-glandulär magsäck.</w:t>
      </w:r>
    </w:p>
    <w:p w14:paraId="204326C3" w14:textId="77777777" w:rsidR="00161D46" w:rsidRPr="000E7AE9" w:rsidRDefault="00161D46" w:rsidP="00463647">
      <w:pPr>
        <w:widowControl w:val="0"/>
        <w:spacing w:line="240" w:lineRule="auto"/>
        <w:rPr>
          <w:color w:val="000000"/>
          <w:szCs w:val="22"/>
          <w:lang w:val="sv-SE"/>
        </w:rPr>
      </w:pPr>
    </w:p>
    <w:p w14:paraId="4B32C7A7" w14:textId="77777777" w:rsidR="00161D46" w:rsidRPr="000E7AE9" w:rsidRDefault="00161D46" w:rsidP="00463647">
      <w:pPr>
        <w:widowControl w:val="0"/>
        <w:spacing w:line="240" w:lineRule="auto"/>
        <w:rPr>
          <w:bCs/>
          <w:color w:val="000000"/>
          <w:szCs w:val="22"/>
          <w:lang w:val="sv-SE"/>
        </w:rPr>
      </w:pPr>
      <w:r w:rsidRPr="000E7AE9">
        <w:rPr>
          <w:bCs/>
          <w:color w:val="000000"/>
          <w:szCs w:val="22"/>
          <w:lang w:val="sv-SE"/>
        </w:rPr>
        <w:t>Papillom/karcinom i preputiala och klitorala körtlar noterades från 30 mg/kg/dag och uppåt, vilket utgör ungefär 0,5 respektive 0,3 gånger den dagliga exponeringen hos människa (baserat på AUC) vid 400 mg/dag respektive 800 mg/dag och 0,4 gånger den dagliga exponeringen hos barn (baserat på AUC) vid 340 mg/m</w:t>
      </w:r>
      <w:r w:rsidRPr="000E7AE9">
        <w:rPr>
          <w:bCs/>
          <w:color w:val="000000"/>
          <w:szCs w:val="22"/>
          <w:vertAlign w:val="superscript"/>
          <w:lang w:val="sv-SE"/>
        </w:rPr>
        <w:t>2</w:t>
      </w:r>
      <w:r w:rsidRPr="000E7AE9">
        <w:rPr>
          <w:bCs/>
          <w:color w:val="000000"/>
          <w:szCs w:val="22"/>
          <w:lang w:val="sv-SE"/>
        </w:rPr>
        <w:t xml:space="preserve">/dag. Nivån för ingen observerad effekt (NOEL) var 15 mg/kg/dag. </w:t>
      </w:r>
      <w:r w:rsidRPr="000E7AE9">
        <w:rPr>
          <w:bCs/>
          <w:color w:val="000000"/>
          <w:szCs w:val="22"/>
          <w:lang w:val="sv-SE"/>
        </w:rPr>
        <w:lastRenderedPageBreak/>
        <w:t>Njuradenom/karcinom, urinblåse- och urinrörspapillom, tunntarmsadenokarcinom, bisköldkörteladenom, benigna och maligna medullära tumörer i binjurar och papillom/karcinom i icke-glandulär magsäck noterades vid 60 mg/kg/dag, vilket utgör ungefär 1,7 eller 1 gång den dagliga exponeringen hos människa (baserat på AUC) vid 400 mg/dag respektive 800 mg/dag, och 1,2 gånger den dagliga exponeringen hos barn (baserat på AUC) vid 340 mg/m</w:t>
      </w:r>
      <w:r w:rsidRPr="000E7AE9">
        <w:rPr>
          <w:bCs/>
          <w:color w:val="000000"/>
          <w:szCs w:val="22"/>
          <w:vertAlign w:val="superscript"/>
          <w:lang w:val="sv-SE"/>
        </w:rPr>
        <w:t>2</w:t>
      </w:r>
      <w:r w:rsidRPr="000E7AE9">
        <w:rPr>
          <w:bCs/>
          <w:color w:val="000000"/>
          <w:szCs w:val="22"/>
          <w:lang w:val="sv-SE"/>
        </w:rPr>
        <w:t>/dag. Nivån för ingen observerad effect (NOEL) var 30 mg/kg/dag.</w:t>
      </w:r>
    </w:p>
    <w:p w14:paraId="76223013" w14:textId="77777777" w:rsidR="00161D46" w:rsidRPr="000E7AE9" w:rsidRDefault="00161D46" w:rsidP="00463647">
      <w:pPr>
        <w:widowControl w:val="0"/>
        <w:spacing w:line="240" w:lineRule="auto"/>
        <w:rPr>
          <w:bCs/>
          <w:color w:val="000000"/>
          <w:szCs w:val="22"/>
          <w:lang w:val="sv-SE"/>
        </w:rPr>
      </w:pPr>
    </w:p>
    <w:p w14:paraId="189B4403" w14:textId="77777777" w:rsidR="00161D46" w:rsidRPr="000E7AE9" w:rsidRDefault="00161D46" w:rsidP="00463647">
      <w:pPr>
        <w:widowControl w:val="0"/>
        <w:spacing w:line="240" w:lineRule="auto"/>
        <w:rPr>
          <w:bCs/>
          <w:color w:val="000000"/>
          <w:szCs w:val="22"/>
          <w:lang w:val="sv-SE"/>
        </w:rPr>
      </w:pPr>
      <w:r w:rsidRPr="000E7AE9">
        <w:rPr>
          <w:bCs/>
          <w:color w:val="000000"/>
          <w:szCs w:val="22"/>
          <w:lang w:val="sv-SE"/>
        </w:rPr>
        <w:t>Mekanismen bakom och betydelsen av dessa fynd i karcinogenicitetsstudien på råtta för människor är ännu inte klarlagda.</w:t>
      </w:r>
    </w:p>
    <w:p w14:paraId="178CEB5A" w14:textId="77777777" w:rsidR="00161D46" w:rsidRPr="000E7AE9" w:rsidRDefault="00161D46" w:rsidP="00463647">
      <w:pPr>
        <w:widowControl w:val="0"/>
        <w:spacing w:line="240" w:lineRule="auto"/>
        <w:rPr>
          <w:bCs/>
          <w:color w:val="000000"/>
          <w:szCs w:val="22"/>
          <w:lang w:val="sv-SE"/>
        </w:rPr>
      </w:pPr>
    </w:p>
    <w:p w14:paraId="142DA162" w14:textId="77777777" w:rsidR="00161D46" w:rsidRPr="000E7AE9" w:rsidRDefault="00161D46" w:rsidP="00463647">
      <w:pPr>
        <w:widowControl w:val="0"/>
        <w:spacing w:line="240" w:lineRule="auto"/>
        <w:rPr>
          <w:color w:val="000000"/>
          <w:szCs w:val="22"/>
          <w:lang w:val="sv-SE"/>
        </w:rPr>
      </w:pPr>
      <w:r w:rsidRPr="000E7AE9">
        <w:rPr>
          <w:bCs/>
          <w:color w:val="000000"/>
          <w:szCs w:val="22"/>
          <w:lang w:val="sv-SE"/>
        </w:rPr>
        <w:t>Icke-neoplastiska förändringar som inte identifierats i tidigare prekliniska studier var i det kardiovaskulära systemet, bukspottkörtel, endokrina organ och tänder. De viktigaste förändringarna innefattade hjärthypertrofi och dilatation, vilket hos vissa djur gav symptom på hjärtinsufficiens.</w:t>
      </w:r>
    </w:p>
    <w:p w14:paraId="3594DD3B" w14:textId="77777777" w:rsidR="00161D46" w:rsidRPr="000E7AE9" w:rsidRDefault="00161D46" w:rsidP="00463647">
      <w:pPr>
        <w:widowControl w:val="0"/>
        <w:spacing w:line="240" w:lineRule="auto"/>
        <w:rPr>
          <w:color w:val="000000"/>
          <w:szCs w:val="22"/>
          <w:lang w:val="sv-SE"/>
        </w:rPr>
      </w:pPr>
    </w:p>
    <w:p w14:paraId="2AF7F5DA" w14:textId="77777777" w:rsidR="003706F0" w:rsidRDefault="003706F0" w:rsidP="00463647">
      <w:pPr>
        <w:pStyle w:val="EndnoteText"/>
        <w:widowControl w:val="0"/>
        <w:tabs>
          <w:tab w:val="clear" w:pos="567"/>
        </w:tabs>
        <w:rPr>
          <w:color w:val="000000"/>
          <w:szCs w:val="22"/>
          <w:lang w:val="sv-SE"/>
        </w:rPr>
      </w:pPr>
      <w:r>
        <w:rPr>
          <w:color w:val="000000"/>
          <w:szCs w:val="22"/>
          <w:lang w:val="sv-SE"/>
        </w:rPr>
        <w:t>Den aktiva substansen imatinib uppvisar en miljörisk hos sedimentorganismer.</w:t>
      </w:r>
    </w:p>
    <w:p w14:paraId="059F88BC" w14:textId="77777777" w:rsidR="008A4F41" w:rsidRPr="000E7AE9" w:rsidRDefault="008A4F41" w:rsidP="00463647">
      <w:pPr>
        <w:pStyle w:val="EndnoteText"/>
        <w:widowControl w:val="0"/>
        <w:tabs>
          <w:tab w:val="clear" w:pos="567"/>
        </w:tabs>
        <w:rPr>
          <w:color w:val="000000"/>
          <w:szCs w:val="22"/>
          <w:lang w:val="sv-SE"/>
        </w:rPr>
      </w:pPr>
    </w:p>
    <w:p w14:paraId="544D5449" w14:textId="77777777" w:rsidR="00161D46" w:rsidRPr="000E7AE9" w:rsidRDefault="00161D46" w:rsidP="00463647">
      <w:pPr>
        <w:pStyle w:val="EndnoteText"/>
        <w:widowControl w:val="0"/>
        <w:tabs>
          <w:tab w:val="clear" w:pos="567"/>
        </w:tabs>
        <w:rPr>
          <w:color w:val="000000"/>
          <w:szCs w:val="22"/>
          <w:lang w:val="sv-SE"/>
        </w:rPr>
      </w:pPr>
    </w:p>
    <w:p w14:paraId="35A75301" w14:textId="77777777" w:rsidR="007D6097" w:rsidRPr="000E7AE9" w:rsidRDefault="007D6097" w:rsidP="00463647">
      <w:pPr>
        <w:pStyle w:val="Heading4"/>
        <w:widowControl w:val="0"/>
        <w:spacing w:line="240" w:lineRule="auto"/>
        <w:rPr>
          <w:noProof w:val="0"/>
          <w:color w:val="000000"/>
          <w:szCs w:val="22"/>
          <w:lang w:val="sv-SE"/>
        </w:rPr>
      </w:pPr>
      <w:r w:rsidRPr="000E7AE9">
        <w:rPr>
          <w:noProof w:val="0"/>
          <w:color w:val="000000"/>
          <w:szCs w:val="22"/>
          <w:lang w:val="sv-SE"/>
        </w:rPr>
        <w:t>6.</w:t>
      </w:r>
      <w:r w:rsidRPr="000E7AE9">
        <w:rPr>
          <w:noProof w:val="0"/>
          <w:color w:val="000000"/>
          <w:szCs w:val="22"/>
          <w:lang w:val="sv-SE"/>
        </w:rPr>
        <w:tab/>
        <w:t>FARMACEUTISKA UPPGIFTER</w:t>
      </w:r>
    </w:p>
    <w:p w14:paraId="6F282913" w14:textId="77777777" w:rsidR="007D6097" w:rsidRPr="000E7AE9" w:rsidRDefault="007D6097" w:rsidP="00463647">
      <w:pPr>
        <w:pStyle w:val="EndnoteText"/>
        <w:keepNext/>
        <w:widowControl w:val="0"/>
        <w:tabs>
          <w:tab w:val="clear" w:pos="567"/>
        </w:tabs>
        <w:rPr>
          <w:color w:val="000000"/>
          <w:szCs w:val="22"/>
          <w:lang w:val="sv-SE"/>
        </w:rPr>
      </w:pPr>
    </w:p>
    <w:p w14:paraId="72BCA454" w14:textId="77777777" w:rsidR="007D6097" w:rsidRPr="000E7AE9" w:rsidRDefault="007D6097" w:rsidP="00463647">
      <w:pPr>
        <w:pStyle w:val="Heading4"/>
        <w:widowControl w:val="0"/>
        <w:spacing w:line="240" w:lineRule="auto"/>
        <w:rPr>
          <w:noProof w:val="0"/>
          <w:color w:val="000000"/>
          <w:szCs w:val="22"/>
          <w:lang w:val="sv-SE"/>
        </w:rPr>
      </w:pPr>
      <w:r w:rsidRPr="000E7AE9">
        <w:rPr>
          <w:noProof w:val="0"/>
          <w:color w:val="000000"/>
          <w:szCs w:val="22"/>
          <w:lang w:val="sv-SE"/>
        </w:rPr>
        <w:t>6.1</w:t>
      </w:r>
      <w:r w:rsidRPr="000E7AE9">
        <w:rPr>
          <w:noProof w:val="0"/>
          <w:color w:val="000000"/>
          <w:szCs w:val="22"/>
          <w:lang w:val="sv-SE"/>
        </w:rPr>
        <w:tab/>
        <w:t>Förteckning över hjälpämnen</w:t>
      </w:r>
    </w:p>
    <w:p w14:paraId="49F9100B" w14:textId="77777777" w:rsidR="007D6097" w:rsidRPr="000E7AE9" w:rsidRDefault="007D6097" w:rsidP="00463647">
      <w:pPr>
        <w:keepNext/>
        <w:widowControl w:val="0"/>
        <w:spacing w:line="240" w:lineRule="auto"/>
        <w:rPr>
          <w:color w:val="000000"/>
          <w:szCs w:val="22"/>
          <w:lang w:val="sv-SE"/>
        </w:rPr>
      </w:pPr>
    </w:p>
    <w:p w14:paraId="72E954A1" w14:textId="77777777" w:rsidR="002C2500" w:rsidRPr="000E7AE9" w:rsidRDefault="007D6097" w:rsidP="00463647">
      <w:pPr>
        <w:pStyle w:val="EndnoteText"/>
        <w:keepNext/>
        <w:widowControl w:val="0"/>
        <w:tabs>
          <w:tab w:val="clear" w:pos="567"/>
          <w:tab w:val="left" w:pos="2127"/>
        </w:tabs>
        <w:outlineLvl w:val="0"/>
        <w:rPr>
          <w:color w:val="000000"/>
          <w:szCs w:val="22"/>
          <w:lang w:val="sv-SE"/>
        </w:rPr>
      </w:pPr>
      <w:r w:rsidRPr="000E7AE9">
        <w:rPr>
          <w:color w:val="000000"/>
          <w:szCs w:val="22"/>
          <w:lang w:val="sv-SE"/>
        </w:rPr>
        <w:t>Tablettkärna:</w:t>
      </w:r>
    </w:p>
    <w:p w14:paraId="7C608E22" w14:textId="77777777" w:rsidR="007D6097" w:rsidRPr="000E7AE9" w:rsidRDefault="007D6097" w:rsidP="00463647">
      <w:pPr>
        <w:pStyle w:val="EndnoteText"/>
        <w:keepNext/>
        <w:widowControl w:val="0"/>
        <w:tabs>
          <w:tab w:val="clear" w:pos="567"/>
          <w:tab w:val="left" w:pos="2127"/>
        </w:tabs>
        <w:outlineLvl w:val="0"/>
        <w:rPr>
          <w:color w:val="000000"/>
          <w:szCs w:val="22"/>
          <w:lang w:val="sv-SE"/>
        </w:rPr>
      </w:pPr>
      <w:r w:rsidRPr="000E7AE9">
        <w:rPr>
          <w:color w:val="000000"/>
          <w:szCs w:val="22"/>
          <w:lang w:val="sv-SE"/>
        </w:rPr>
        <w:t>Mikrokristallin cellulosa</w:t>
      </w:r>
    </w:p>
    <w:p w14:paraId="1F39B30D" w14:textId="77777777" w:rsidR="007D6097" w:rsidRPr="000E7AE9" w:rsidRDefault="007D6097" w:rsidP="00463647">
      <w:pPr>
        <w:keepNext/>
        <w:widowControl w:val="0"/>
        <w:tabs>
          <w:tab w:val="left" w:pos="2127"/>
        </w:tabs>
        <w:spacing w:line="240" w:lineRule="auto"/>
        <w:rPr>
          <w:color w:val="000000"/>
          <w:szCs w:val="22"/>
          <w:lang w:val="sv-SE"/>
        </w:rPr>
      </w:pPr>
      <w:r w:rsidRPr="000E7AE9">
        <w:rPr>
          <w:color w:val="000000"/>
          <w:szCs w:val="22"/>
          <w:lang w:val="sv-SE"/>
        </w:rPr>
        <w:t>Krospovidon</w:t>
      </w:r>
    </w:p>
    <w:p w14:paraId="0396C794" w14:textId="77777777" w:rsidR="007D6097" w:rsidRPr="000E7AE9" w:rsidRDefault="007D6097" w:rsidP="00463647">
      <w:pPr>
        <w:keepNext/>
        <w:widowControl w:val="0"/>
        <w:tabs>
          <w:tab w:val="left" w:pos="2127"/>
        </w:tabs>
        <w:spacing w:line="240" w:lineRule="auto"/>
        <w:rPr>
          <w:color w:val="000000"/>
          <w:szCs w:val="22"/>
          <w:lang w:val="sv-SE"/>
        </w:rPr>
      </w:pPr>
      <w:r w:rsidRPr="000E7AE9">
        <w:rPr>
          <w:color w:val="000000"/>
          <w:szCs w:val="22"/>
          <w:lang w:val="sv-SE"/>
        </w:rPr>
        <w:t>Hypromellos</w:t>
      </w:r>
    </w:p>
    <w:p w14:paraId="4A7321AD" w14:textId="77777777" w:rsidR="007D6097" w:rsidRPr="000E7AE9" w:rsidRDefault="007D6097" w:rsidP="00463647">
      <w:pPr>
        <w:keepNext/>
        <w:widowControl w:val="0"/>
        <w:tabs>
          <w:tab w:val="left" w:pos="2127"/>
        </w:tabs>
        <w:spacing w:line="240" w:lineRule="auto"/>
        <w:rPr>
          <w:color w:val="000000"/>
          <w:szCs w:val="22"/>
          <w:lang w:val="sv-SE"/>
        </w:rPr>
      </w:pPr>
      <w:r w:rsidRPr="000E7AE9">
        <w:rPr>
          <w:color w:val="000000"/>
          <w:szCs w:val="22"/>
          <w:lang w:val="sv-SE"/>
        </w:rPr>
        <w:t>Magnesiumstearat</w:t>
      </w:r>
    </w:p>
    <w:p w14:paraId="3DDFCA6E" w14:textId="77777777" w:rsidR="007D6097" w:rsidRPr="000E7AE9" w:rsidRDefault="007D6097" w:rsidP="00463647">
      <w:pPr>
        <w:widowControl w:val="0"/>
        <w:tabs>
          <w:tab w:val="left" w:pos="2127"/>
        </w:tabs>
        <w:spacing w:line="240" w:lineRule="auto"/>
        <w:rPr>
          <w:color w:val="000000"/>
          <w:szCs w:val="22"/>
          <w:lang w:val="sv-SE"/>
        </w:rPr>
      </w:pPr>
      <w:r w:rsidRPr="000E7AE9">
        <w:rPr>
          <w:color w:val="000000"/>
          <w:szCs w:val="22"/>
          <w:lang w:val="sv-SE"/>
        </w:rPr>
        <w:t>Vattenfri kolloidal kiseldioxid</w:t>
      </w:r>
    </w:p>
    <w:p w14:paraId="4D65BCF8" w14:textId="77777777" w:rsidR="007D6097" w:rsidRPr="000E7AE9" w:rsidRDefault="007D6097" w:rsidP="00463647">
      <w:pPr>
        <w:pStyle w:val="EndnoteText"/>
        <w:widowControl w:val="0"/>
        <w:tabs>
          <w:tab w:val="clear" w:pos="567"/>
        </w:tabs>
        <w:rPr>
          <w:color w:val="000000"/>
          <w:szCs w:val="22"/>
          <w:lang w:val="sv-SE"/>
        </w:rPr>
      </w:pPr>
    </w:p>
    <w:p w14:paraId="530F5C38" w14:textId="77777777" w:rsidR="007D6097" w:rsidRPr="000E7AE9" w:rsidRDefault="007D6097" w:rsidP="00463647">
      <w:pPr>
        <w:keepNext/>
        <w:widowControl w:val="0"/>
        <w:tabs>
          <w:tab w:val="left" w:pos="2127"/>
        </w:tabs>
        <w:spacing w:line="240" w:lineRule="auto"/>
        <w:outlineLvl w:val="0"/>
        <w:rPr>
          <w:color w:val="000000"/>
          <w:szCs w:val="22"/>
          <w:lang w:val="sv-SE"/>
        </w:rPr>
      </w:pPr>
      <w:r w:rsidRPr="000E7AE9">
        <w:rPr>
          <w:color w:val="000000"/>
          <w:szCs w:val="22"/>
          <w:lang w:val="sv-SE"/>
        </w:rPr>
        <w:t>Tabletthölje:</w:t>
      </w:r>
    </w:p>
    <w:p w14:paraId="0F51C04A" w14:textId="77777777" w:rsidR="007D6097" w:rsidRPr="000E7AE9" w:rsidRDefault="007D6097" w:rsidP="00463647">
      <w:pPr>
        <w:keepNext/>
        <w:widowControl w:val="0"/>
        <w:tabs>
          <w:tab w:val="left" w:pos="2127"/>
        </w:tabs>
        <w:spacing w:line="240" w:lineRule="auto"/>
        <w:rPr>
          <w:color w:val="000000"/>
          <w:szCs w:val="22"/>
          <w:lang w:val="sv-SE"/>
        </w:rPr>
      </w:pPr>
      <w:r w:rsidRPr="000E7AE9">
        <w:rPr>
          <w:color w:val="000000"/>
          <w:szCs w:val="22"/>
          <w:lang w:val="sv-SE"/>
        </w:rPr>
        <w:t>Järnoxid, röd (E172)</w:t>
      </w:r>
    </w:p>
    <w:p w14:paraId="4E4A9898" w14:textId="77777777" w:rsidR="007D6097" w:rsidRPr="000E7AE9" w:rsidRDefault="007D6097" w:rsidP="00463647">
      <w:pPr>
        <w:keepNext/>
        <w:widowControl w:val="0"/>
        <w:tabs>
          <w:tab w:val="left" w:pos="2127"/>
        </w:tabs>
        <w:spacing w:line="240" w:lineRule="auto"/>
        <w:rPr>
          <w:color w:val="000000"/>
          <w:szCs w:val="22"/>
          <w:lang w:val="sv-SE"/>
        </w:rPr>
      </w:pPr>
      <w:r w:rsidRPr="000E7AE9">
        <w:rPr>
          <w:color w:val="000000"/>
          <w:szCs w:val="22"/>
          <w:lang w:val="sv-SE"/>
        </w:rPr>
        <w:t>Järnoxid, gul (E172)</w:t>
      </w:r>
    </w:p>
    <w:p w14:paraId="1ECCE486" w14:textId="77777777" w:rsidR="00C031BA" w:rsidRPr="000E7AE9" w:rsidRDefault="00C031BA" w:rsidP="00463647">
      <w:pPr>
        <w:keepNext/>
        <w:widowControl w:val="0"/>
        <w:tabs>
          <w:tab w:val="left" w:pos="2127"/>
        </w:tabs>
        <w:spacing w:line="240" w:lineRule="auto"/>
        <w:rPr>
          <w:color w:val="000000"/>
          <w:szCs w:val="22"/>
          <w:lang w:val="sv-SE"/>
        </w:rPr>
      </w:pPr>
      <w:r w:rsidRPr="000E7AE9">
        <w:rPr>
          <w:color w:val="000000"/>
          <w:szCs w:val="22"/>
          <w:lang w:val="sv-SE"/>
        </w:rPr>
        <w:t>Makrogol</w:t>
      </w:r>
    </w:p>
    <w:p w14:paraId="3567B256" w14:textId="77777777" w:rsidR="00C031BA" w:rsidRPr="000E7AE9" w:rsidRDefault="00C031BA" w:rsidP="00463647">
      <w:pPr>
        <w:keepNext/>
        <w:widowControl w:val="0"/>
        <w:tabs>
          <w:tab w:val="left" w:pos="2127"/>
        </w:tabs>
        <w:spacing w:line="240" w:lineRule="auto"/>
        <w:rPr>
          <w:color w:val="000000"/>
          <w:szCs w:val="22"/>
          <w:lang w:val="sv-SE"/>
        </w:rPr>
      </w:pPr>
      <w:r w:rsidRPr="000E7AE9">
        <w:rPr>
          <w:color w:val="000000"/>
          <w:szCs w:val="22"/>
          <w:lang w:val="sv-SE"/>
        </w:rPr>
        <w:t>Talk</w:t>
      </w:r>
    </w:p>
    <w:p w14:paraId="663155EC" w14:textId="77777777" w:rsidR="00C031BA" w:rsidRPr="000E7AE9" w:rsidRDefault="00C031BA" w:rsidP="00463647">
      <w:pPr>
        <w:widowControl w:val="0"/>
        <w:tabs>
          <w:tab w:val="left" w:pos="2127"/>
        </w:tabs>
        <w:spacing w:line="240" w:lineRule="auto"/>
        <w:rPr>
          <w:color w:val="000000"/>
          <w:szCs w:val="22"/>
          <w:lang w:val="sv-SE"/>
        </w:rPr>
      </w:pPr>
      <w:r w:rsidRPr="000E7AE9">
        <w:rPr>
          <w:color w:val="000000"/>
          <w:szCs w:val="22"/>
          <w:lang w:val="sv-SE"/>
        </w:rPr>
        <w:t>Hypromellos</w:t>
      </w:r>
    </w:p>
    <w:p w14:paraId="0DBA1FEB" w14:textId="77777777" w:rsidR="007D6097" w:rsidRPr="000E7AE9" w:rsidRDefault="007D6097" w:rsidP="00463647">
      <w:pPr>
        <w:widowControl w:val="0"/>
        <w:spacing w:line="240" w:lineRule="auto"/>
        <w:rPr>
          <w:color w:val="000000"/>
          <w:szCs w:val="22"/>
          <w:lang w:val="sv-SE"/>
        </w:rPr>
      </w:pPr>
    </w:p>
    <w:p w14:paraId="38674467" w14:textId="77777777" w:rsidR="007D6097" w:rsidRPr="000E7AE9" w:rsidRDefault="007D6097" w:rsidP="00463647">
      <w:pPr>
        <w:keepNext/>
        <w:widowControl w:val="0"/>
        <w:spacing w:line="240" w:lineRule="auto"/>
        <w:ind w:left="567" w:hanging="567"/>
        <w:outlineLvl w:val="0"/>
        <w:rPr>
          <w:color w:val="000000"/>
          <w:szCs w:val="22"/>
          <w:lang w:val="sv-SE"/>
        </w:rPr>
      </w:pPr>
      <w:r w:rsidRPr="000E7AE9">
        <w:rPr>
          <w:b/>
          <w:color w:val="000000"/>
          <w:szCs w:val="22"/>
          <w:lang w:val="sv-SE"/>
        </w:rPr>
        <w:t>6.2</w:t>
      </w:r>
      <w:r w:rsidRPr="000E7AE9">
        <w:rPr>
          <w:b/>
          <w:color w:val="000000"/>
          <w:szCs w:val="22"/>
          <w:lang w:val="sv-SE"/>
        </w:rPr>
        <w:tab/>
      </w:r>
      <w:r w:rsidR="00CF6B08" w:rsidRPr="000E7AE9">
        <w:rPr>
          <w:b/>
          <w:color w:val="000000"/>
          <w:szCs w:val="22"/>
          <w:lang w:val="sv-SE"/>
        </w:rPr>
        <w:t>Inkompatibiliteter</w:t>
      </w:r>
    </w:p>
    <w:p w14:paraId="6CB7E893" w14:textId="77777777" w:rsidR="007D6097" w:rsidRPr="000E7AE9" w:rsidRDefault="007D6097" w:rsidP="00463647">
      <w:pPr>
        <w:keepNext/>
        <w:widowControl w:val="0"/>
        <w:spacing w:line="240" w:lineRule="auto"/>
        <w:rPr>
          <w:color w:val="000000"/>
          <w:szCs w:val="22"/>
          <w:lang w:val="sv-SE"/>
        </w:rPr>
      </w:pPr>
    </w:p>
    <w:p w14:paraId="66624257" w14:textId="77777777" w:rsidR="007D6097" w:rsidRPr="000E7AE9" w:rsidRDefault="007D6097" w:rsidP="00463647">
      <w:pPr>
        <w:widowControl w:val="0"/>
        <w:spacing w:line="240" w:lineRule="auto"/>
        <w:outlineLvl w:val="0"/>
        <w:rPr>
          <w:color w:val="000000"/>
          <w:szCs w:val="22"/>
          <w:lang w:val="sv-SE"/>
        </w:rPr>
      </w:pPr>
      <w:r w:rsidRPr="000E7AE9">
        <w:rPr>
          <w:color w:val="000000"/>
          <w:szCs w:val="22"/>
          <w:lang w:val="sv-SE"/>
        </w:rPr>
        <w:t>Ej relevant</w:t>
      </w:r>
      <w:r w:rsidR="00CF6B08" w:rsidRPr="000E7AE9">
        <w:rPr>
          <w:color w:val="000000"/>
          <w:szCs w:val="22"/>
          <w:lang w:val="sv-SE"/>
        </w:rPr>
        <w:t>.</w:t>
      </w:r>
    </w:p>
    <w:p w14:paraId="6297F605" w14:textId="77777777" w:rsidR="007D6097" w:rsidRPr="000E7AE9" w:rsidRDefault="007D6097" w:rsidP="00463647">
      <w:pPr>
        <w:pStyle w:val="EndnoteText"/>
        <w:widowControl w:val="0"/>
        <w:tabs>
          <w:tab w:val="clear" w:pos="567"/>
        </w:tabs>
        <w:rPr>
          <w:color w:val="000000"/>
          <w:szCs w:val="22"/>
          <w:lang w:val="sv-SE"/>
        </w:rPr>
      </w:pPr>
    </w:p>
    <w:p w14:paraId="7AC605AA" w14:textId="77777777" w:rsidR="007D6097" w:rsidRPr="000E7AE9" w:rsidRDefault="007D6097" w:rsidP="00463647">
      <w:pPr>
        <w:keepNext/>
        <w:widowControl w:val="0"/>
        <w:spacing w:line="240" w:lineRule="auto"/>
        <w:ind w:left="567" w:hanging="567"/>
        <w:outlineLvl w:val="0"/>
        <w:rPr>
          <w:color w:val="000000"/>
          <w:szCs w:val="22"/>
          <w:lang w:val="sv-SE"/>
        </w:rPr>
      </w:pPr>
      <w:r w:rsidRPr="000E7AE9">
        <w:rPr>
          <w:b/>
          <w:color w:val="000000"/>
          <w:szCs w:val="22"/>
          <w:lang w:val="sv-SE"/>
        </w:rPr>
        <w:t>6.3</w:t>
      </w:r>
      <w:r w:rsidRPr="000E7AE9">
        <w:rPr>
          <w:b/>
          <w:color w:val="000000"/>
          <w:szCs w:val="22"/>
          <w:lang w:val="sv-SE"/>
        </w:rPr>
        <w:tab/>
        <w:t>Hållbarhet</w:t>
      </w:r>
    </w:p>
    <w:p w14:paraId="19D44186" w14:textId="77777777" w:rsidR="007D6097" w:rsidRPr="000E7AE9" w:rsidRDefault="007D6097" w:rsidP="00463647">
      <w:pPr>
        <w:keepNext/>
        <w:widowControl w:val="0"/>
        <w:spacing w:line="240" w:lineRule="auto"/>
        <w:rPr>
          <w:color w:val="000000"/>
          <w:szCs w:val="22"/>
          <w:lang w:val="sv-SE"/>
        </w:rPr>
      </w:pPr>
    </w:p>
    <w:p w14:paraId="7EE26168" w14:textId="77777777" w:rsidR="002C2500" w:rsidRPr="000E7AE9" w:rsidRDefault="00CD4731" w:rsidP="00463647">
      <w:pPr>
        <w:pStyle w:val="EndnoteText"/>
        <w:widowControl w:val="0"/>
        <w:tabs>
          <w:tab w:val="clear" w:pos="567"/>
        </w:tabs>
        <w:rPr>
          <w:color w:val="000000"/>
          <w:szCs w:val="22"/>
          <w:lang w:val="sv-SE"/>
        </w:rPr>
      </w:pPr>
      <w:r w:rsidRPr="000E7AE9">
        <w:rPr>
          <w:color w:val="000000"/>
          <w:szCs w:val="22"/>
          <w:lang w:val="sv-SE"/>
        </w:rPr>
        <w:t>3</w:t>
      </w:r>
      <w:r w:rsidR="00496146" w:rsidRPr="000E7AE9">
        <w:rPr>
          <w:color w:val="000000"/>
          <w:szCs w:val="22"/>
          <w:lang w:val="sv-SE"/>
        </w:rPr>
        <w:t> </w:t>
      </w:r>
      <w:r w:rsidR="007D6097" w:rsidRPr="000E7AE9">
        <w:rPr>
          <w:color w:val="000000"/>
          <w:szCs w:val="22"/>
          <w:lang w:val="sv-SE"/>
        </w:rPr>
        <w:t>år</w:t>
      </w:r>
    </w:p>
    <w:p w14:paraId="4DBFC7AB" w14:textId="77777777" w:rsidR="007D6097" w:rsidRPr="000E7AE9" w:rsidRDefault="007D6097" w:rsidP="00463647">
      <w:pPr>
        <w:pStyle w:val="EndnoteText"/>
        <w:widowControl w:val="0"/>
        <w:tabs>
          <w:tab w:val="clear" w:pos="567"/>
        </w:tabs>
        <w:rPr>
          <w:color w:val="000000"/>
          <w:szCs w:val="22"/>
          <w:lang w:val="sv-SE"/>
        </w:rPr>
      </w:pPr>
    </w:p>
    <w:p w14:paraId="515BD2BF" w14:textId="77777777" w:rsidR="007D6097" w:rsidRPr="000E7AE9" w:rsidRDefault="007D6097" w:rsidP="00463647">
      <w:pPr>
        <w:keepNext/>
        <w:widowControl w:val="0"/>
        <w:spacing w:line="240" w:lineRule="auto"/>
        <w:ind w:left="567" w:hanging="567"/>
        <w:outlineLvl w:val="0"/>
        <w:rPr>
          <w:color w:val="000000"/>
          <w:szCs w:val="22"/>
          <w:lang w:val="sv-SE"/>
        </w:rPr>
      </w:pPr>
      <w:r w:rsidRPr="000E7AE9">
        <w:rPr>
          <w:b/>
          <w:color w:val="000000"/>
          <w:szCs w:val="22"/>
          <w:lang w:val="sv-SE"/>
        </w:rPr>
        <w:t>6.4</w:t>
      </w:r>
      <w:r w:rsidRPr="000E7AE9">
        <w:rPr>
          <w:b/>
          <w:color w:val="000000"/>
          <w:szCs w:val="22"/>
          <w:lang w:val="sv-SE"/>
        </w:rPr>
        <w:tab/>
        <w:t>Särskilda förvaringsanvisningar</w:t>
      </w:r>
    </w:p>
    <w:p w14:paraId="4AB0CB3E" w14:textId="77777777" w:rsidR="007D6097" w:rsidRPr="000E7AE9" w:rsidRDefault="007D6097" w:rsidP="00463647">
      <w:pPr>
        <w:keepNext/>
        <w:widowControl w:val="0"/>
        <w:spacing w:line="240" w:lineRule="auto"/>
        <w:rPr>
          <w:color w:val="000000"/>
          <w:szCs w:val="22"/>
          <w:lang w:val="sv-SE"/>
        </w:rPr>
      </w:pPr>
    </w:p>
    <w:p w14:paraId="7B71EBE7" w14:textId="77777777" w:rsidR="007D6097" w:rsidRPr="000E7AE9" w:rsidRDefault="007D6097" w:rsidP="00463647">
      <w:pPr>
        <w:widowControl w:val="0"/>
        <w:spacing w:line="240" w:lineRule="auto"/>
        <w:outlineLvl w:val="0"/>
        <w:rPr>
          <w:color w:val="000000"/>
          <w:szCs w:val="22"/>
          <w:lang w:val="sv-SE"/>
        </w:rPr>
      </w:pPr>
      <w:r w:rsidRPr="000E7AE9">
        <w:rPr>
          <w:color w:val="000000"/>
          <w:szCs w:val="22"/>
          <w:lang w:val="sv-SE"/>
        </w:rPr>
        <w:t>Förvaras vid högst 30</w:t>
      </w:r>
      <w:r w:rsidR="00E640F4" w:rsidRPr="000E7AE9">
        <w:rPr>
          <w:color w:val="000000"/>
          <w:szCs w:val="22"/>
          <w:lang w:val="sv-SE"/>
        </w:rPr>
        <w:t> </w:t>
      </w:r>
      <w:r w:rsidRPr="000E7AE9">
        <w:rPr>
          <w:color w:val="000000"/>
          <w:szCs w:val="22"/>
          <w:lang w:val="sv-SE"/>
        </w:rPr>
        <w:sym w:font="Symbol" w:char="F0B0"/>
      </w:r>
      <w:r w:rsidRPr="000E7AE9">
        <w:rPr>
          <w:color w:val="000000"/>
          <w:szCs w:val="22"/>
          <w:lang w:val="sv-SE"/>
        </w:rPr>
        <w:t>C.</w:t>
      </w:r>
    </w:p>
    <w:p w14:paraId="5C73E9B6" w14:textId="77777777" w:rsidR="007D6097" w:rsidRPr="000E7AE9" w:rsidRDefault="007D6097" w:rsidP="00463647">
      <w:pPr>
        <w:widowControl w:val="0"/>
        <w:spacing w:line="240" w:lineRule="auto"/>
        <w:rPr>
          <w:color w:val="000000"/>
          <w:szCs w:val="22"/>
          <w:lang w:val="sv-SE"/>
        </w:rPr>
      </w:pPr>
    </w:p>
    <w:p w14:paraId="65D9E16D" w14:textId="77777777" w:rsidR="007D6097" w:rsidRPr="000E7AE9" w:rsidRDefault="007D6097" w:rsidP="00463647">
      <w:pPr>
        <w:widowControl w:val="0"/>
        <w:spacing w:line="240" w:lineRule="auto"/>
        <w:outlineLvl w:val="0"/>
        <w:rPr>
          <w:color w:val="000000"/>
          <w:szCs w:val="22"/>
          <w:lang w:val="sv-SE"/>
        </w:rPr>
      </w:pPr>
      <w:r w:rsidRPr="000E7AE9">
        <w:rPr>
          <w:color w:val="000000"/>
          <w:szCs w:val="22"/>
          <w:lang w:val="sv-SE"/>
        </w:rPr>
        <w:t>Förvaras i originalförpackningen. Fuktkänsligt.</w:t>
      </w:r>
    </w:p>
    <w:p w14:paraId="72AA0B87" w14:textId="77777777" w:rsidR="007D6097" w:rsidRPr="000E7AE9" w:rsidRDefault="007D6097" w:rsidP="00463647">
      <w:pPr>
        <w:widowControl w:val="0"/>
        <w:spacing w:line="240" w:lineRule="auto"/>
        <w:rPr>
          <w:color w:val="000000"/>
          <w:szCs w:val="22"/>
          <w:lang w:val="sv-SE"/>
        </w:rPr>
      </w:pPr>
    </w:p>
    <w:p w14:paraId="008940B1" w14:textId="77777777" w:rsidR="002C2500" w:rsidRPr="000E7AE9" w:rsidRDefault="007D6097" w:rsidP="00463647">
      <w:pPr>
        <w:keepNext/>
        <w:widowControl w:val="0"/>
        <w:spacing w:line="240" w:lineRule="auto"/>
        <w:ind w:left="567" w:hanging="567"/>
        <w:outlineLvl w:val="0"/>
        <w:rPr>
          <w:b/>
          <w:color w:val="000000"/>
          <w:szCs w:val="22"/>
          <w:lang w:val="sv-SE"/>
        </w:rPr>
      </w:pPr>
      <w:r w:rsidRPr="000E7AE9">
        <w:rPr>
          <w:b/>
          <w:color w:val="000000"/>
          <w:szCs w:val="22"/>
          <w:lang w:val="sv-SE"/>
        </w:rPr>
        <w:t>6.5</w:t>
      </w:r>
      <w:r w:rsidRPr="000E7AE9">
        <w:rPr>
          <w:b/>
          <w:color w:val="000000"/>
          <w:szCs w:val="22"/>
          <w:lang w:val="sv-SE"/>
        </w:rPr>
        <w:tab/>
        <w:t>Förpackningstyp och innehåll</w:t>
      </w:r>
    </w:p>
    <w:p w14:paraId="2C838983" w14:textId="77777777" w:rsidR="007D6097" w:rsidRPr="000E7AE9" w:rsidRDefault="007D6097" w:rsidP="00463647">
      <w:pPr>
        <w:pStyle w:val="EndnoteText"/>
        <w:keepNext/>
        <w:widowControl w:val="0"/>
        <w:tabs>
          <w:tab w:val="clear" w:pos="567"/>
        </w:tabs>
        <w:rPr>
          <w:color w:val="000000"/>
          <w:szCs w:val="22"/>
          <w:lang w:val="sv-SE"/>
        </w:rPr>
      </w:pPr>
    </w:p>
    <w:p w14:paraId="4D3F3DCF" w14:textId="77777777" w:rsidR="002C337D" w:rsidRPr="003268EC" w:rsidRDefault="002C337D" w:rsidP="00463647">
      <w:pPr>
        <w:pStyle w:val="EndnoteText"/>
        <w:keepNext/>
        <w:widowControl w:val="0"/>
        <w:tabs>
          <w:tab w:val="clear" w:pos="567"/>
        </w:tabs>
        <w:outlineLvl w:val="0"/>
        <w:rPr>
          <w:color w:val="000000"/>
          <w:szCs w:val="22"/>
          <w:u w:val="single"/>
          <w:lang w:val="sv-SE"/>
        </w:rPr>
      </w:pPr>
      <w:r>
        <w:rPr>
          <w:color w:val="000000"/>
          <w:szCs w:val="22"/>
          <w:u w:val="single"/>
          <w:lang w:val="sv-SE"/>
        </w:rPr>
        <w:t>Glivec 100 mg filmdragerade tabletter</w:t>
      </w:r>
    </w:p>
    <w:p w14:paraId="0E32FDAA" w14:textId="77777777" w:rsidR="007D6097" w:rsidRPr="000E7AE9" w:rsidRDefault="0030464F" w:rsidP="00463647">
      <w:pPr>
        <w:pStyle w:val="EndnoteText"/>
        <w:keepNext/>
        <w:widowControl w:val="0"/>
        <w:tabs>
          <w:tab w:val="clear" w:pos="567"/>
        </w:tabs>
        <w:outlineLvl w:val="0"/>
        <w:rPr>
          <w:color w:val="000000"/>
          <w:szCs w:val="22"/>
          <w:lang w:val="sv-SE"/>
        </w:rPr>
      </w:pPr>
      <w:r w:rsidRPr="000E7AE9">
        <w:rPr>
          <w:color w:val="000000"/>
          <w:szCs w:val="22"/>
          <w:lang w:val="sv-SE"/>
        </w:rPr>
        <w:t>Blister</w:t>
      </w:r>
      <w:r w:rsidR="007D6097" w:rsidRPr="000E7AE9">
        <w:rPr>
          <w:color w:val="000000"/>
          <w:szCs w:val="22"/>
          <w:lang w:val="sv-SE"/>
        </w:rPr>
        <w:t xml:space="preserve"> av PVC/aluminium.</w:t>
      </w:r>
    </w:p>
    <w:p w14:paraId="553A1B41" w14:textId="77777777" w:rsidR="007D6097" w:rsidRPr="000E7AE9" w:rsidRDefault="007D6097" w:rsidP="00463647">
      <w:pPr>
        <w:pStyle w:val="EndnoteText"/>
        <w:widowControl w:val="0"/>
        <w:tabs>
          <w:tab w:val="clear" w:pos="567"/>
        </w:tabs>
        <w:outlineLvl w:val="0"/>
        <w:rPr>
          <w:color w:val="000000"/>
          <w:szCs w:val="22"/>
          <w:lang w:val="sv-SE"/>
        </w:rPr>
      </w:pPr>
      <w:r w:rsidRPr="000E7AE9">
        <w:rPr>
          <w:color w:val="000000"/>
          <w:szCs w:val="22"/>
          <w:lang w:val="sv-SE"/>
        </w:rPr>
        <w:t>Förpackningen innehåller 20, 60, 120 eller 180</w:t>
      </w:r>
      <w:r w:rsidR="00496146" w:rsidRPr="000E7AE9">
        <w:rPr>
          <w:color w:val="000000"/>
          <w:szCs w:val="22"/>
          <w:lang w:val="sv-SE"/>
        </w:rPr>
        <w:t> </w:t>
      </w:r>
      <w:r w:rsidRPr="000E7AE9">
        <w:rPr>
          <w:color w:val="000000"/>
          <w:szCs w:val="22"/>
          <w:lang w:val="sv-SE"/>
        </w:rPr>
        <w:t>filmdragerade tabletter.</w:t>
      </w:r>
    </w:p>
    <w:p w14:paraId="313464CE" w14:textId="77777777" w:rsidR="00B61390" w:rsidRDefault="00B61390" w:rsidP="00463647">
      <w:pPr>
        <w:pStyle w:val="EndnoteText"/>
        <w:widowControl w:val="0"/>
        <w:tabs>
          <w:tab w:val="clear" w:pos="567"/>
        </w:tabs>
        <w:outlineLvl w:val="0"/>
        <w:rPr>
          <w:color w:val="000000"/>
          <w:szCs w:val="22"/>
          <w:lang w:val="sv-SE"/>
        </w:rPr>
      </w:pPr>
    </w:p>
    <w:p w14:paraId="420C04A8" w14:textId="77777777" w:rsidR="00B61390" w:rsidRDefault="00B61390" w:rsidP="00463647">
      <w:pPr>
        <w:pStyle w:val="EndnoteText"/>
        <w:keepNext/>
        <w:widowControl w:val="0"/>
        <w:tabs>
          <w:tab w:val="clear" w:pos="567"/>
        </w:tabs>
        <w:outlineLvl w:val="0"/>
        <w:rPr>
          <w:color w:val="000000"/>
          <w:szCs w:val="22"/>
          <w:lang w:val="sv-SE"/>
        </w:rPr>
      </w:pPr>
      <w:r>
        <w:rPr>
          <w:color w:val="000000"/>
          <w:szCs w:val="22"/>
          <w:lang w:val="sv-SE"/>
        </w:rPr>
        <w:t>Blister av PVDC/aluminium.</w:t>
      </w:r>
    </w:p>
    <w:p w14:paraId="621B885B" w14:textId="77777777" w:rsidR="00B61390" w:rsidRDefault="00B61390" w:rsidP="00463647">
      <w:pPr>
        <w:pStyle w:val="EndnoteText"/>
        <w:widowControl w:val="0"/>
        <w:tabs>
          <w:tab w:val="clear" w:pos="567"/>
        </w:tabs>
        <w:outlineLvl w:val="0"/>
        <w:rPr>
          <w:color w:val="000000"/>
          <w:szCs w:val="22"/>
          <w:lang w:val="sv-SE"/>
        </w:rPr>
      </w:pPr>
      <w:r>
        <w:rPr>
          <w:color w:val="000000"/>
          <w:szCs w:val="22"/>
          <w:lang w:val="sv-SE"/>
        </w:rPr>
        <w:t xml:space="preserve">Förpackningen innehåller </w:t>
      </w:r>
      <w:r w:rsidR="00744C82">
        <w:rPr>
          <w:color w:val="000000"/>
          <w:szCs w:val="22"/>
          <w:lang w:val="sv-SE"/>
        </w:rPr>
        <w:t>6</w:t>
      </w:r>
      <w:r>
        <w:rPr>
          <w:color w:val="000000"/>
          <w:szCs w:val="22"/>
          <w:lang w:val="sv-SE"/>
        </w:rPr>
        <w:t>0, 120 eller 180 filmdragerade tabletter.</w:t>
      </w:r>
    </w:p>
    <w:p w14:paraId="554AF767" w14:textId="77777777" w:rsidR="007D6097" w:rsidRDefault="007D6097" w:rsidP="00463647">
      <w:pPr>
        <w:pStyle w:val="EndnoteText"/>
        <w:widowControl w:val="0"/>
        <w:tabs>
          <w:tab w:val="clear" w:pos="567"/>
        </w:tabs>
        <w:outlineLvl w:val="0"/>
        <w:rPr>
          <w:color w:val="000000"/>
          <w:szCs w:val="22"/>
          <w:lang w:val="sv-SE"/>
        </w:rPr>
      </w:pPr>
    </w:p>
    <w:p w14:paraId="38021D49" w14:textId="77777777" w:rsidR="002C337D" w:rsidRDefault="002C337D" w:rsidP="00463647">
      <w:pPr>
        <w:pStyle w:val="EndnoteText"/>
        <w:keepNext/>
        <w:widowControl w:val="0"/>
        <w:tabs>
          <w:tab w:val="clear" w:pos="567"/>
        </w:tabs>
        <w:outlineLvl w:val="0"/>
        <w:rPr>
          <w:color w:val="000000"/>
          <w:szCs w:val="22"/>
          <w:u w:val="single"/>
          <w:lang w:val="sv-SE"/>
        </w:rPr>
      </w:pPr>
      <w:r>
        <w:rPr>
          <w:color w:val="000000"/>
          <w:szCs w:val="22"/>
          <w:u w:val="single"/>
          <w:lang w:val="sv-SE"/>
        </w:rPr>
        <w:t>Glivec 400 mg filmdragerade tabletter</w:t>
      </w:r>
    </w:p>
    <w:p w14:paraId="442A3E74" w14:textId="77777777" w:rsidR="002C337D" w:rsidRDefault="002C337D" w:rsidP="00463647">
      <w:pPr>
        <w:pStyle w:val="EndnoteText"/>
        <w:keepNext/>
        <w:widowControl w:val="0"/>
        <w:tabs>
          <w:tab w:val="clear" w:pos="567"/>
        </w:tabs>
        <w:outlineLvl w:val="0"/>
        <w:rPr>
          <w:color w:val="000000"/>
          <w:szCs w:val="22"/>
          <w:lang w:val="sv-SE"/>
        </w:rPr>
      </w:pPr>
      <w:r>
        <w:rPr>
          <w:color w:val="000000"/>
          <w:szCs w:val="22"/>
          <w:lang w:val="sv-SE"/>
        </w:rPr>
        <w:t>Blister av PV</w:t>
      </w:r>
      <w:r w:rsidR="003268EC">
        <w:rPr>
          <w:color w:val="000000"/>
          <w:szCs w:val="22"/>
          <w:lang w:val="sv-SE"/>
        </w:rPr>
        <w:t>D</w:t>
      </w:r>
      <w:r>
        <w:rPr>
          <w:color w:val="000000"/>
          <w:szCs w:val="22"/>
          <w:lang w:val="sv-SE"/>
        </w:rPr>
        <w:t>C/aluminium.</w:t>
      </w:r>
    </w:p>
    <w:p w14:paraId="23AAC62D" w14:textId="77777777" w:rsidR="002C337D" w:rsidRDefault="002C337D" w:rsidP="00463647">
      <w:pPr>
        <w:pStyle w:val="EndnoteText"/>
        <w:widowControl w:val="0"/>
        <w:tabs>
          <w:tab w:val="clear" w:pos="567"/>
        </w:tabs>
        <w:outlineLvl w:val="0"/>
        <w:rPr>
          <w:color w:val="000000"/>
          <w:szCs w:val="22"/>
          <w:lang w:val="sv-SE"/>
        </w:rPr>
      </w:pPr>
      <w:r>
        <w:rPr>
          <w:color w:val="000000"/>
          <w:szCs w:val="22"/>
          <w:lang w:val="sv-SE"/>
        </w:rPr>
        <w:t>Förpackningen innehåller 10, 30 eller 90 filmdragerade tabletter.</w:t>
      </w:r>
    </w:p>
    <w:p w14:paraId="6981849C" w14:textId="77777777" w:rsidR="002C337D" w:rsidRPr="002C337D" w:rsidRDefault="002C337D" w:rsidP="00463647">
      <w:pPr>
        <w:pStyle w:val="EndnoteText"/>
        <w:widowControl w:val="0"/>
        <w:tabs>
          <w:tab w:val="clear" w:pos="567"/>
        </w:tabs>
        <w:outlineLvl w:val="0"/>
        <w:rPr>
          <w:color w:val="000000"/>
          <w:szCs w:val="22"/>
          <w:lang w:val="sv-SE"/>
        </w:rPr>
      </w:pPr>
    </w:p>
    <w:p w14:paraId="28C953D4" w14:textId="77777777" w:rsidR="007D6097" w:rsidRPr="000E7AE9" w:rsidRDefault="00BF08DE" w:rsidP="00463647">
      <w:pPr>
        <w:pStyle w:val="EndnoteText"/>
        <w:widowControl w:val="0"/>
        <w:tabs>
          <w:tab w:val="clear" w:pos="567"/>
        </w:tabs>
        <w:outlineLvl w:val="0"/>
        <w:rPr>
          <w:color w:val="000000"/>
          <w:szCs w:val="22"/>
          <w:lang w:val="sv-SE"/>
        </w:rPr>
      </w:pPr>
      <w:r>
        <w:rPr>
          <w:color w:val="000000"/>
          <w:szCs w:val="22"/>
          <w:lang w:val="sv-SE"/>
        </w:rPr>
        <w:t xml:space="preserve">Eventuellt kommer inte alla </w:t>
      </w:r>
      <w:r w:rsidR="007D6097" w:rsidRPr="000E7AE9">
        <w:rPr>
          <w:color w:val="000000"/>
          <w:szCs w:val="22"/>
          <w:lang w:val="sv-SE"/>
        </w:rPr>
        <w:t>förpackningsstorlekar att marknadsföras.</w:t>
      </w:r>
    </w:p>
    <w:p w14:paraId="4EA1A8DB" w14:textId="77777777" w:rsidR="007D6097" w:rsidRPr="000E7AE9" w:rsidRDefault="007D6097" w:rsidP="00463647">
      <w:pPr>
        <w:widowControl w:val="0"/>
        <w:spacing w:line="240" w:lineRule="auto"/>
        <w:rPr>
          <w:color w:val="000000"/>
          <w:szCs w:val="22"/>
          <w:lang w:val="sv-SE"/>
        </w:rPr>
      </w:pPr>
    </w:p>
    <w:p w14:paraId="2AD7C648" w14:textId="77777777" w:rsidR="002C2500" w:rsidRPr="000E7AE9" w:rsidRDefault="007D6097" w:rsidP="00463647">
      <w:pPr>
        <w:keepNext/>
        <w:widowControl w:val="0"/>
        <w:spacing w:line="240" w:lineRule="auto"/>
        <w:ind w:left="567" w:hanging="567"/>
        <w:outlineLvl w:val="0"/>
        <w:rPr>
          <w:b/>
          <w:color w:val="000000"/>
          <w:szCs w:val="22"/>
          <w:lang w:val="sv-SE"/>
        </w:rPr>
      </w:pPr>
      <w:r w:rsidRPr="000E7AE9">
        <w:rPr>
          <w:b/>
          <w:color w:val="000000"/>
          <w:szCs w:val="22"/>
          <w:lang w:val="sv-SE"/>
        </w:rPr>
        <w:t>6.6</w:t>
      </w:r>
      <w:r w:rsidRPr="000E7AE9">
        <w:rPr>
          <w:b/>
          <w:color w:val="000000"/>
          <w:szCs w:val="22"/>
          <w:lang w:val="sv-SE"/>
        </w:rPr>
        <w:tab/>
      </w:r>
      <w:r w:rsidR="00C93129" w:rsidRPr="000E7AE9">
        <w:rPr>
          <w:b/>
          <w:color w:val="000000"/>
          <w:szCs w:val="22"/>
          <w:lang w:val="sv-SE"/>
        </w:rPr>
        <w:t>Särskilda anvisningar för destruktion</w:t>
      </w:r>
    </w:p>
    <w:p w14:paraId="32DE8123" w14:textId="77777777" w:rsidR="007D6097" w:rsidRPr="000E7AE9" w:rsidRDefault="007D6097" w:rsidP="00463647">
      <w:pPr>
        <w:pStyle w:val="EndnoteText"/>
        <w:keepNext/>
        <w:widowControl w:val="0"/>
        <w:tabs>
          <w:tab w:val="clear" w:pos="567"/>
        </w:tabs>
        <w:rPr>
          <w:color w:val="000000"/>
          <w:szCs w:val="22"/>
          <w:lang w:val="sv-SE"/>
        </w:rPr>
      </w:pPr>
    </w:p>
    <w:p w14:paraId="1D0CF269" w14:textId="77777777" w:rsidR="007D6097" w:rsidRPr="000E7AE9" w:rsidRDefault="003706F0" w:rsidP="00463647">
      <w:pPr>
        <w:pStyle w:val="EndnoteText"/>
        <w:widowControl w:val="0"/>
        <w:tabs>
          <w:tab w:val="clear" w:pos="567"/>
        </w:tabs>
        <w:rPr>
          <w:color w:val="000000"/>
          <w:szCs w:val="22"/>
          <w:lang w:val="sv-SE"/>
        </w:rPr>
      </w:pPr>
      <w:r>
        <w:rPr>
          <w:color w:val="000000"/>
          <w:szCs w:val="22"/>
          <w:lang w:val="sv-SE"/>
        </w:rPr>
        <w:t>Ej använt läkemedel och avfall ska kasseras enligt gällande anvisningar.</w:t>
      </w:r>
    </w:p>
    <w:p w14:paraId="14BC5FB1" w14:textId="77777777" w:rsidR="007D6097" w:rsidRPr="000E7AE9" w:rsidRDefault="007D6097" w:rsidP="00463647">
      <w:pPr>
        <w:pStyle w:val="EndnoteText"/>
        <w:widowControl w:val="0"/>
        <w:tabs>
          <w:tab w:val="clear" w:pos="567"/>
        </w:tabs>
        <w:rPr>
          <w:color w:val="000000"/>
          <w:szCs w:val="22"/>
          <w:lang w:val="sv-SE"/>
        </w:rPr>
      </w:pPr>
    </w:p>
    <w:p w14:paraId="19AFCFF6" w14:textId="77777777" w:rsidR="007D6097" w:rsidRPr="000E7AE9" w:rsidRDefault="007D6097" w:rsidP="00463647">
      <w:pPr>
        <w:pStyle w:val="EndnoteText"/>
        <w:widowControl w:val="0"/>
        <w:tabs>
          <w:tab w:val="clear" w:pos="567"/>
        </w:tabs>
        <w:rPr>
          <w:color w:val="000000"/>
          <w:szCs w:val="22"/>
          <w:lang w:val="sv-SE"/>
        </w:rPr>
      </w:pPr>
    </w:p>
    <w:p w14:paraId="08C9CEDC" w14:textId="77777777" w:rsidR="007D6097" w:rsidRPr="000E7AE9" w:rsidRDefault="007D6097" w:rsidP="00463647">
      <w:pPr>
        <w:keepNext/>
        <w:widowControl w:val="0"/>
        <w:spacing w:line="240" w:lineRule="auto"/>
        <w:ind w:left="567" w:hanging="567"/>
        <w:outlineLvl w:val="0"/>
        <w:rPr>
          <w:color w:val="000000"/>
          <w:szCs w:val="22"/>
          <w:lang w:val="sv-SE"/>
        </w:rPr>
      </w:pPr>
      <w:r w:rsidRPr="000E7AE9">
        <w:rPr>
          <w:b/>
          <w:color w:val="000000"/>
          <w:szCs w:val="22"/>
          <w:lang w:val="sv-SE"/>
        </w:rPr>
        <w:t>7.</w:t>
      </w:r>
      <w:r w:rsidRPr="000E7AE9">
        <w:rPr>
          <w:b/>
          <w:color w:val="000000"/>
          <w:szCs w:val="22"/>
          <w:lang w:val="sv-SE"/>
        </w:rPr>
        <w:tab/>
        <w:t>INNEHAVARARE AV GODKÄNNANDE FÖR FÖRSÄLJNING</w:t>
      </w:r>
    </w:p>
    <w:p w14:paraId="41119421" w14:textId="77777777" w:rsidR="007D6097" w:rsidRPr="000E7AE9" w:rsidRDefault="007D6097" w:rsidP="00463647">
      <w:pPr>
        <w:pStyle w:val="EndnoteText"/>
        <w:keepNext/>
        <w:widowControl w:val="0"/>
        <w:tabs>
          <w:tab w:val="clear" w:pos="567"/>
        </w:tabs>
        <w:rPr>
          <w:color w:val="000000"/>
          <w:szCs w:val="22"/>
          <w:lang w:val="sv-SE"/>
        </w:rPr>
      </w:pPr>
    </w:p>
    <w:p w14:paraId="5A6C9765" w14:textId="77777777" w:rsidR="007D6097" w:rsidRPr="000E7AE9" w:rsidRDefault="007D6097" w:rsidP="00463647">
      <w:pPr>
        <w:keepNext/>
        <w:widowControl w:val="0"/>
        <w:spacing w:line="240" w:lineRule="auto"/>
        <w:outlineLvl w:val="0"/>
        <w:rPr>
          <w:color w:val="000000"/>
          <w:szCs w:val="22"/>
          <w:lang w:val="sv-SE"/>
        </w:rPr>
      </w:pPr>
      <w:r w:rsidRPr="000E7AE9">
        <w:rPr>
          <w:color w:val="000000"/>
          <w:szCs w:val="22"/>
          <w:lang w:val="sv-SE"/>
        </w:rPr>
        <w:t>Novartis Europharm Limited</w:t>
      </w:r>
    </w:p>
    <w:p w14:paraId="12F8DCA1" w14:textId="77777777" w:rsidR="00A57EF9" w:rsidRPr="006861E6" w:rsidRDefault="00A57EF9" w:rsidP="00463647">
      <w:pPr>
        <w:keepNext/>
        <w:widowControl w:val="0"/>
        <w:spacing w:line="240" w:lineRule="auto"/>
        <w:rPr>
          <w:color w:val="000000"/>
          <w:lang w:val="en-US"/>
        </w:rPr>
      </w:pPr>
      <w:r w:rsidRPr="006861E6">
        <w:rPr>
          <w:color w:val="000000"/>
          <w:lang w:val="en-US"/>
        </w:rPr>
        <w:t>Vista Building</w:t>
      </w:r>
    </w:p>
    <w:p w14:paraId="7034C548" w14:textId="77777777" w:rsidR="00A57EF9" w:rsidRPr="00EB33FE" w:rsidRDefault="00A57EF9" w:rsidP="00463647">
      <w:pPr>
        <w:keepNext/>
        <w:widowControl w:val="0"/>
        <w:spacing w:line="240" w:lineRule="auto"/>
        <w:rPr>
          <w:color w:val="000000"/>
        </w:rPr>
      </w:pPr>
      <w:r w:rsidRPr="00EB33FE">
        <w:rPr>
          <w:color w:val="000000"/>
        </w:rPr>
        <w:t>Elm Park, Merrion Road</w:t>
      </w:r>
    </w:p>
    <w:p w14:paraId="33814F39" w14:textId="77777777" w:rsidR="00A57EF9" w:rsidRPr="00B10EAC" w:rsidRDefault="00A57EF9" w:rsidP="00463647">
      <w:pPr>
        <w:keepNext/>
        <w:widowControl w:val="0"/>
        <w:spacing w:line="240" w:lineRule="auto"/>
        <w:rPr>
          <w:color w:val="000000"/>
          <w:lang w:val="sv-SE"/>
        </w:rPr>
      </w:pPr>
      <w:r w:rsidRPr="00B10EAC">
        <w:rPr>
          <w:color w:val="000000"/>
          <w:lang w:val="sv-SE"/>
        </w:rPr>
        <w:t>Dublin 4</w:t>
      </w:r>
    </w:p>
    <w:p w14:paraId="02C8FF20" w14:textId="77777777" w:rsidR="00A57EF9" w:rsidRPr="00B10EAC" w:rsidRDefault="00A57EF9" w:rsidP="00463647">
      <w:pPr>
        <w:widowControl w:val="0"/>
        <w:spacing w:line="240" w:lineRule="auto"/>
        <w:rPr>
          <w:color w:val="000000"/>
          <w:lang w:val="sv-SE"/>
        </w:rPr>
      </w:pPr>
      <w:r w:rsidRPr="00B10EAC">
        <w:rPr>
          <w:color w:val="000000"/>
          <w:lang w:val="sv-SE"/>
        </w:rPr>
        <w:t>Irland</w:t>
      </w:r>
    </w:p>
    <w:p w14:paraId="73F011B0" w14:textId="77777777" w:rsidR="007D6097" w:rsidRPr="000E7AE9" w:rsidRDefault="007D6097" w:rsidP="00463647">
      <w:pPr>
        <w:widowControl w:val="0"/>
        <w:spacing w:line="240" w:lineRule="auto"/>
        <w:rPr>
          <w:color w:val="000000"/>
          <w:szCs w:val="22"/>
          <w:lang w:val="sv-SE"/>
        </w:rPr>
      </w:pPr>
    </w:p>
    <w:p w14:paraId="5BE38D71" w14:textId="77777777" w:rsidR="007D6097" w:rsidRPr="000E7AE9" w:rsidRDefault="007D6097" w:rsidP="00463647">
      <w:pPr>
        <w:pStyle w:val="EndnoteText"/>
        <w:widowControl w:val="0"/>
        <w:tabs>
          <w:tab w:val="clear" w:pos="567"/>
        </w:tabs>
        <w:rPr>
          <w:color w:val="000000"/>
          <w:szCs w:val="22"/>
          <w:lang w:val="sv-SE"/>
        </w:rPr>
      </w:pPr>
    </w:p>
    <w:p w14:paraId="43B6063C" w14:textId="77777777" w:rsidR="002C2500" w:rsidRPr="000E7AE9" w:rsidRDefault="007D6097" w:rsidP="00463647">
      <w:pPr>
        <w:pStyle w:val="BodyTextIndent"/>
        <w:keepNext/>
        <w:widowControl w:val="0"/>
        <w:outlineLvl w:val="0"/>
        <w:rPr>
          <w:color w:val="000000"/>
          <w:szCs w:val="22"/>
          <w:lang w:val="sv-SE"/>
        </w:rPr>
      </w:pPr>
      <w:r w:rsidRPr="000E7AE9">
        <w:rPr>
          <w:color w:val="000000"/>
          <w:szCs w:val="22"/>
          <w:lang w:val="sv-SE"/>
        </w:rPr>
        <w:t>8.</w:t>
      </w:r>
      <w:r w:rsidRPr="000E7AE9">
        <w:rPr>
          <w:color w:val="000000"/>
          <w:szCs w:val="22"/>
          <w:lang w:val="sv-SE"/>
        </w:rPr>
        <w:tab/>
        <w:t>NUMMER PÅ GODKÄNNANDE FÖR FÖRSÄLJNING</w:t>
      </w:r>
    </w:p>
    <w:p w14:paraId="391A1200" w14:textId="77777777" w:rsidR="007D6097" w:rsidRPr="000E7AE9" w:rsidRDefault="007D6097" w:rsidP="00463647">
      <w:pPr>
        <w:pStyle w:val="EndnoteText"/>
        <w:keepNext/>
        <w:widowControl w:val="0"/>
        <w:tabs>
          <w:tab w:val="clear" w:pos="567"/>
        </w:tabs>
        <w:rPr>
          <w:color w:val="000000"/>
          <w:szCs w:val="22"/>
          <w:lang w:val="sv-SE"/>
        </w:rPr>
      </w:pPr>
    </w:p>
    <w:p w14:paraId="38315A8C" w14:textId="77777777" w:rsidR="002C337D" w:rsidRPr="003268EC" w:rsidRDefault="002C337D" w:rsidP="00463647">
      <w:pPr>
        <w:pStyle w:val="EndnoteText"/>
        <w:keepNext/>
        <w:widowControl w:val="0"/>
        <w:tabs>
          <w:tab w:val="clear" w:pos="567"/>
        </w:tabs>
        <w:rPr>
          <w:color w:val="000000"/>
          <w:szCs w:val="22"/>
          <w:u w:val="single"/>
          <w:lang w:val="sv-SE"/>
        </w:rPr>
      </w:pPr>
      <w:r>
        <w:rPr>
          <w:color w:val="000000"/>
          <w:szCs w:val="22"/>
          <w:u w:val="single"/>
          <w:lang w:val="sv-SE"/>
        </w:rPr>
        <w:t>Glivec 100 mg filmdragerade tabletter</w:t>
      </w:r>
    </w:p>
    <w:p w14:paraId="586B90D0" w14:textId="77777777" w:rsidR="007D6097" w:rsidRPr="000E7AE9" w:rsidRDefault="007D6097" w:rsidP="00463647">
      <w:pPr>
        <w:pStyle w:val="EndnoteText"/>
        <w:keepNext/>
        <w:widowControl w:val="0"/>
        <w:tabs>
          <w:tab w:val="clear" w:pos="567"/>
        </w:tabs>
        <w:rPr>
          <w:color w:val="000000"/>
          <w:szCs w:val="22"/>
          <w:lang w:val="sv-SE"/>
        </w:rPr>
      </w:pPr>
      <w:r w:rsidRPr="000E7AE9">
        <w:rPr>
          <w:color w:val="000000"/>
          <w:szCs w:val="22"/>
          <w:lang w:val="sv-SE"/>
        </w:rPr>
        <w:t>EU/1/01/198/007</w:t>
      </w:r>
    </w:p>
    <w:p w14:paraId="319F613E" w14:textId="77777777" w:rsidR="007D6097" w:rsidRPr="000E7AE9" w:rsidRDefault="007D6097" w:rsidP="00463647">
      <w:pPr>
        <w:pStyle w:val="EndnoteText"/>
        <w:keepNext/>
        <w:widowControl w:val="0"/>
        <w:tabs>
          <w:tab w:val="clear" w:pos="567"/>
        </w:tabs>
        <w:rPr>
          <w:color w:val="000000"/>
          <w:szCs w:val="22"/>
          <w:lang w:val="sv-SE"/>
        </w:rPr>
      </w:pPr>
      <w:r w:rsidRPr="000E7AE9">
        <w:rPr>
          <w:color w:val="000000"/>
          <w:szCs w:val="22"/>
          <w:lang w:val="sv-SE"/>
        </w:rPr>
        <w:t>EU/1/01/198/008</w:t>
      </w:r>
    </w:p>
    <w:p w14:paraId="4A624DA8" w14:textId="77777777" w:rsidR="007D6097" w:rsidRPr="000E7AE9" w:rsidRDefault="007D6097" w:rsidP="00463647">
      <w:pPr>
        <w:pStyle w:val="EndnoteText"/>
        <w:keepNext/>
        <w:widowControl w:val="0"/>
        <w:tabs>
          <w:tab w:val="clear" w:pos="567"/>
        </w:tabs>
        <w:rPr>
          <w:color w:val="000000"/>
          <w:szCs w:val="22"/>
          <w:lang w:val="sv-SE"/>
        </w:rPr>
      </w:pPr>
      <w:r w:rsidRPr="000E7AE9">
        <w:rPr>
          <w:color w:val="000000"/>
          <w:szCs w:val="22"/>
          <w:lang w:val="sv-SE"/>
        </w:rPr>
        <w:t>EU/1/01/198/</w:t>
      </w:r>
      <w:r w:rsidR="00FD0569" w:rsidRPr="000E7AE9">
        <w:rPr>
          <w:color w:val="000000"/>
          <w:szCs w:val="22"/>
          <w:lang w:val="sv-SE"/>
        </w:rPr>
        <w:t>011</w:t>
      </w:r>
    </w:p>
    <w:p w14:paraId="384A0078" w14:textId="77777777" w:rsidR="007D6097" w:rsidRPr="000E7AE9" w:rsidRDefault="007D6097" w:rsidP="00463647">
      <w:pPr>
        <w:pStyle w:val="EndnoteText"/>
        <w:keepNext/>
        <w:widowControl w:val="0"/>
        <w:tabs>
          <w:tab w:val="clear" w:pos="567"/>
        </w:tabs>
        <w:rPr>
          <w:color w:val="000000"/>
          <w:szCs w:val="22"/>
          <w:lang w:val="sv-SE"/>
        </w:rPr>
      </w:pPr>
      <w:r w:rsidRPr="000E7AE9">
        <w:rPr>
          <w:color w:val="000000"/>
          <w:szCs w:val="22"/>
          <w:lang w:val="sv-SE"/>
        </w:rPr>
        <w:t>EU/1/01/198/</w:t>
      </w:r>
      <w:r w:rsidR="00FD0569" w:rsidRPr="000E7AE9">
        <w:rPr>
          <w:color w:val="000000"/>
          <w:szCs w:val="22"/>
          <w:lang w:val="sv-SE"/>
        </w:rPr>
        <w:t>012</w:t>
      </w:r>
    </w:p>
    <w:p w14:paraId="0A00DEA7" w14:textId="77777777" w:rsidR="00B61390" w:rsidRPr="00B10EAC" w:rsidRDefault="00B61390" w:rsidP="00463647">
      <w:pPr>
        <w:pStyle w:val="EndnoteText"/>
        <w:keepNext/>
        <w:widowControl w:val="0"/>
        <w:tabs>
          <w:tab w:val="clear" w:pos="567"/>
        </w:tabs>
        <w:rPr>
          <w:color w:val="000000"/>
          <w:szCs w:val="22"/>
          <w:lang w:val="sv-SE"/>
        </w:rPr>
      </w:pPr>
      <w:r w:rsidRPr="00B10EAC">
        <w:rPr>
          <w:color w:val="000000"/>
          <w:szCs w:val="22"/>
          <w:lang w:val="sv-SE"/>
        </w:rPr>
        <w:t>EU/1/01/198/01</w:t>
      </w:r>
      <w:r w:rsidR="00816D68" w:rsidRPr="00B10EAC">
        <w:rPr>
          <w:color w:val="000000"/>
          <w:szCs w:val="22"/>
          <w:lang w:val="sv-SE"/>
        </w:rPr>
        <w:t>4</w:t>
      </w:r>
    </w:p>
    <w:p w14:paraId="5E6A6516" w14:textId="77777777" w:rsidR="00B61390" w:rsidRPr="00B10EAC" w:rsidRDefault="00B61390" w:rsidP="00463647">
      <w:pPr>
        <w:pStyle w:val="EndnoteText"/>
        <w:keepNext/>
        <w:widowControl w:val="0"/>
        <w:tabs>
          <w:tab w:val="clear" w:pos="567"/>
        </w:tabs>
        <w:rPr>
          <w:color w:val="000000"/>
          <w:szCs w:val="22"/>
          <w:lang w:val="sv-SE"/>
        </w:rPr>
      </w:pPr>
      <w:r w:rsidRPr="00B10EAC">
        <w:rPr>
          <w:color w:val="000000"/>
          <w:szCs w:val="22"/>
          <w:lang w:val="sv-SE"/>
        </w:rPr>
        <w:t>EU/1/01/198/01</w:t>
      </w:r>
      <w:r w:rsidR="00816D68" w:rsidRPr="00B10EAC">
        <w:rPr>
          <w:color w:val="000000"/>
          <w:szCs w:val="22"/>
          <w:lang w:val="sv-SE"/>
        </w:rPr>
        <w:t>5</w:t>
      </w:r>
    </w:p>
    <w:p w14:paraId="32B4F494" w14:textId="77777777" w:rsidR="00744C82" w:rsidRPr="00B10EAC" w:rsidRDefault="00744C82" w:rsidP="00463647">
      <w:pPr>
        <w:pStyle w:val="EndnoteText"/>
        <w:widowControl w:val="0"/>
        <w:tabs>
          <w:tab w:val="clear" w:pos="567"/>
        </w:tabs>
        <w:rPr>
          <w:color w:val="000000"/>
          <w:szCs w:val="22"/>
          <w:lang w:val="sv-SE"/>
        </w:rPr>
      </w:pPr>
      <w:r w:rsidRPr="00B10EAC">
        <w:rPr>
          <w:color w:val="000000"/>
          <w:szCs w:val="22"/>
          <w:lang w:val="sv-SE"/>
        </w:rPr>
        <w:t>EU/1/01/198/01</w:t>
      </w:r>
      <w:r w:rsidR="00816D68" w:rsidRPr="00B10EAC">
        <w:rPr>
          <w:color w:val="000000"/>
          <w:szCs w:val="22"/>
          <w:lang w:val="sv-SE"/>
        </w:rPr>
        <w:t>6</w:t>
      </w:r>
    </w:p>
    <w:p w14:paraId="6317A7B5" w14:textId="77777777" w:rsidR="007D6097" w:rsidRDefault="007D6097" w:rsidP="00463647">
      <w:pPr>
        <w:pStyle w:val="EndnoteText"/>
        <w:widowControl w:val="0"/>
        <w:tabs>
          <w:tab w:val="clear" w:pos="567"/>
        </w:tabs>
        <w:rPr>
          <w:color w:val="000000"/>
          <w:szCs w:val="22"/>
          <w:lang w:val="sv-SE"/>
        </w:rPr>
      </w:pPr>
    </w:p>
    <w:p w14:paraId="1D89B1B5" w14:textId="77777777" w:rsidR="002C337D" w:rsidRDefault="002C337D" w:rsidP="00463647">
      <w:pPr>
        <w:pStyle w:val="EndnoteText"/>
        <w:keepNext/>
        <w:widowControl w:val="0"/>
        <w:tabs>
          <w:tab w:val="clear" w:pos="567"/>
        </w:tabs>
        <w:rPr>
          <w:color w:val="000000"/>
          <w:szCs w:val="22"/>
          <w:u w:val="single"/>
          <w:lang w:val="sv-SE"/>
        </w:rPr>
      </w:pPr>
      <w:r w:rsidRPr="003268EC">
        <w:rPr>
          <w:color w:val="000000"/>
          <w:szCs w:val="22"/>
          <w:u w:val="single"/>
          <w:lang w:val="sv-SE"/>
        </w:rPr>
        <w:t>Glivec 400 mg filmdragerade tabletter</w:t>
      </w:r>
    </w:p>
    <w:p w14:paraId="46733642" w14:textId="77777777" w:rsidR="003E0CAA" w:rsidRPr="006861E6" w:rsidRDefault="003E0CAA" w:rsidP="00463647">
      <w:pPr>
        <w:pStyle w:val="EndnoteText"/>
        <w:keepNext/>
        <w:widowControl w:val="0"/>
        <w:tabs>
          <w:tab w:val="clear" w:pos="567"/>
        </w:tabs>
        <w:rPr>
          <w:color w:val="000000"/>
          <w:szCs w:val="22"/>
          <w:lang w:val="sv-SE"/>
        </w:rPr>
      </w:pPr>
      <w:r w:rsidRPr="006861E6">
        <w:rPr>
          <w:color w:val="000000"/>
          <w:szCs w:val="22"/>
          <w:lang w:val="sv-SE"/>
        </w:rPr>
        <w:t>EU/1/01/198/009</w:t>
      </w:r>
    </w:p>
    <w:p w14:paraId="4CF56315" w14:textId="77777777" w:rsidR="003E0CAA" w:rsidRPr="006861E6" w:rsidRDefault="003E0CAA" w:rsidP="00463647">
      <w:pPr>
        <w:pStyle w:val="EndnoteText"/>
        <w:keepNext/>
        <w:widowControl w:val="0"/>
        <w:tabs>
          <w:tab w:val="clear" w:pos="567"/>
        </w:tabs>
        <w:rPr>
          <w:color w:val="000000"/>
          <w:szCs w:val="22"/>
          <w:lang w:val="sv-SE"/>
        </w:rPr>
      </w:pPr>
      <w:r w:rsidRPr="006861E6">
        <w:rPr>
          <w:color w:val="000000"/>
          <w:szCs w:val="22"/>
          <w:lang w:val="sv-SE"/>
        </w:rPr>
        <w:t>EU/1/01/198/010</w:t>
      </w:r>
    </w:p>
    <w:p w14:paraId="7CE7060D" w14:textId="77777777" w:rsidR="003E0CAA" w:rsidRPr="006861E6" w:rsidRDefault="003E0CAA" w:rsidP="00463647">
      <w:pPr>
        <w:pStyle w:val="EndnoteText"/>
        <w:widowControl w:val="0"/>
        <w:tabs>
          <w:tab w:val="clear" w:pos="567"/>
        </w:tabs>
        <w:rPr>
          <w:color w:val="000000"/>
          <w:szCs w:val="22"/>
          <w:lang w:val="sv-SE"/>
        </w:rPr>
      </w:pPr>
      <w:r w:rsidRPr="006861E6">
        <w:rPr>
          <w:color w:val="000000"/>
          <w:szCs w:val="22"/>
          <w:lang w:val="sv-SE"/>
        </w:rPr>
        <w:t>EU/1/01/198/013</w:t>
      </w:r>
    </w:p>
    <w:p w14:paraId="45E0105E" w14:textId="77777777" w:rsidR="003E0CAA" w:rsidRPr="003E0CAA" w:rsidRDefault="003E0CAA" w:rsidP="00463647">
      <w:pPr>
        <w:pStyle w:val="EndnoteText"/>
        <w:widowControl w:val="0"/>
        <w:tabs>
          <w:tab w:val="clear" w:pos="567"/>
        </w:tabs>
        <w:rPr>
          <w:color w:val="000000"/>
          <w:szCs w:val="22"/>
          <w:lang w:val="sv-SE"/>
        </w:rPr>
      </w:pPr>
    </w:p>
    <w:p w14:paraId="3FE0B280" w14:textId="77777777" w:rsidR="007D6097" w:rsidRPr="000E7AE9" w:rsidRDefault="007D6097" w:rsidP="00463647">
      <w:pPr>
        <w:widowControl w:val="0"/>
        <w:spacing w:line="240" w:lineRule="auto"/>
        <w:rPr>
          <w:color w:val="000000"/>
          <w:szCs w:val="22"/>
          <w:lang w:val="sv-SE"/>
        </w:rPr>
      </w:pPr>
    </w:p>
    <w:p w14:paraId="2A2CB5DD" w14:textId="77777777" w:rsidR="002C2500" w:rsidRPr="000E7AE9" w:rsidRDefault="007D6097" w:rsidP="00463647">
      <w:pPr>
        <w:keepNext/>
        <w:widowControl w:val="0"/>
        <w:spacing w:line="240" w:lineRule="auto"/>
        <w:ind w:left="567" w:hanging="567"/>
        <w:outlineLvl w:val="0"/>
        <w:rPr>
          <w:b/>
          <w:color w:val="000000"/>
          <w:szCs w:val="22"/>
          <w:lang w:val="sv-SE"/>
        </w:rPr>
      </w:pPr>
      <w:r w:rsidRPr="000E7AE9">
        <w:rPr>
          <w:b/>
          <w:color w:val="000000"/>
          <w:szCs w:val="22"/>
          <w:lang w:val="sv-SE"/>
        </w:rPr>
        <w:t>9.</w:t>
      </w:r>
      <w:r w:rsidRPr="000E7AE9">
        <w:rPr>
          <w:b/>
          <w:color w:val="000000"/>
          <w:szCs w:val="22"/>
          <w:lang w:val="sv-SE"/>
        </w:rPr>
        <w:tab/>
        <w:t>DATUM FÖR FÖRSTA GODKÄNNANDE/FÖRNYAT GODKÄNNANDE</w:t>
      </w:r>
    </w:p>
    <w:p w14:paraId="10499F34" w14:textId="77777777" w:rsidR="007D6097" w:rsidRPr="000E7AE9" w:rsidRDefault="007D6097" w:rsidP="00463647">
      <w:pPr>
        <w:keepNext/>
        <w:widowControl w:val="0"/>
        <w:suppressAutoHyphens/>
        <w:spacing w:line="240" w:lineRule="auto"/>
        <w:rPr>
          <w:color w:val="000000"/>
          <w:szCs w:val="22"/>
          <w:lang w:val="sv-SE"/>
        </w:rPr>
      </w:pPr>
    </w:p>
    <w:p w14:paraId="736D3F0A" w14:textId="77777777" w:rsidR="007D6097" w:rsidRPr="000E7AE9" w:rsidRDefault="00E71312" w:rsidP="00463647">
      <w:pPr>
        <w:keepNext/>
        <w:widowControl w:val="0"/>
        <w:spacing w:line="240" w:lineRule="auto"/>
        <w:rPr>
          <w:color w:val="000000"/>
          <w:szCs w:val="22"/>
          <w:lang w:val="sv-SE"/>
        </w:rPr>
      </w:pPr>
      <w:r w:rsidRPr="000E7AE9">
        <w:rPr>
          <w:color w:val="000000"/>
          <w:szCs w:val="22"/>
          <w:lang w:val="sv-SE"/>
        </w:rPr>
        <w:t xml:space="preserve">Datum för </w:t>
      </w:r>
      <w:r w:rsidR="00746FA7">
        <w:rPr>
          <w:color w:val="000000"/>
          <w:szCs w:val="22"/>
          <w:lang w:val="sv-SE"/>
        </w:rPr>
        <w:t xml:space="preserve">det </w:t>
      </w:r>
      <w:r w:rsidRPr="000E7AE9">
        <w:rPr>
          <w:color w:val="000000"/>
          <w:szCs w:val="22"/>
          <w:lang w:val="sv-SE"/>
        </w:rPr>
        <w:t>första godkännande</w:t>
      </w:r>
      <w:r w:rsidR="00746FA7">
        <w:rPr>
          <w:color w:val="000000"/>
          <w:szCs w:val="22"/>
          <w:lang w:val="sv-SE"/>
        </w:rPr>
        <w:t>t</w:t>
      </w:r>
      <w:r w:rsidRPr="000E7AE9">
        <w:rPr>
          <w:color w:val="000000"/>
          <w:szCs w:val="22"/>
          <w:lang w:val="sv-SE"/>
        </w:rPr>
        <w:t xml:space="preserve">: </w:t>
      </w:r>
      <w:r w:rsidR="00186A5E">
        <w:rPr>
          <w:color w:val="000000"/>
          <w:szCs w:val="22"/>
          <w:lang w:val="sv-SE"/>
        </w:rPr>
        <w:t xml:space="preserve">07 </w:t>
      </w:r>
      <w:r w:rsidR="00746FA7">
        <w:rPr>
          <w:color w:val="000000"/>
          <w:szCs w:val="22"/>
          <w:lang w:val="sv-SE"/>
        </w:rPr>
        <w:t>november</w:t>
      </w:r>
      <w:r w:rsidR="00186A5E">
        <w:rPr>
          <w:color w:val="000000"/>
          <w:szCs w:val="22"/>
          <w:lang w:val="sv-SE"/>
        </w:rPr>
        <w:t xml:space="preserve"> </w:t>
      </w:r>
      <w:r w:rsidR="007D6097" w:rsidRPr="000E7AE9">
        <w:rPr>
          <w:color w:val="000000"/>
          <w:szCs w:val="22"/>
          <w:lang w:val="sv-SE"/>
        </w:rPr>
        <w:t>200</w:t>
      </w:r>
      <w:r w:rsidR="00186A5E">
        <w:rPr>
          <w:color w:val="000000"/>
          <w:szCs w:val="22"/>
          <w:lang w:val="sv-SE"/>
        </w:rPr>
        <w:t>1</w:t>
      </w:r>
    </w:p>
    <w:p w14:paraId="411868D4" w14:textId="77777777" w:rsidR="002358F9" w:rsidRPr="000E7AE9" w:rsidRDefault="002358F9" w:rsidP="00463647">
      <w:pPr>
        <w:widowControl w:val="0"/>
        <w:suppressAutoHyphens/>
        <w:spacing w:line="240" w:lineRule="auto"/>
        <w:rPr>
          <w:color w:val="000000"/>
          <w:szCs w:val="22"/>
          <w:lang w:val="sv-SE"/>
        </w:rPr>
      </w:pPr>
      <w:r w:rsidRPr="000E7AE9">
        <w:rPr>
          <w:color w:val="000000"/>
          <w:szCs w:val="22"/>
          <w:lang w:val="sv-SE"/>
        </w:rPr>
        <w:t xml:space="preserve">Datum för </w:t>
      </w:r>
      <w:r w:rsidR="00746FA7">
        <w:rPr>
          <w:color w:val="000000"/>
          <w:szCs w:val="22"/>
          <w:lang w:val="sv-SE"/>
        </w:rPr>
        <w:t>den senaste förnyelsen</w:t>
      </w:r>
      <w:r w:rsidRPr="000E7AE9">
        <w:rPr>
          <w:color w:val="000000"/>
          <w:szCs w:val="22"/>
          <w:lang w:val="sv-SE"/>
        </w:rPr>
        <w:t>: 07</w:t>
      </w:r>
      <w:r w:rsidR="00186A5E">
        <w:rPr>
          <w:color w:val="000000"/>
          <w:szCs w:val="22"/>
          <w:lang w:val="sv-SE"/>
        </w:rPr>
        <w:t xml:space="preserve"> </w:t>
      </w:r>
      <w:r w:rsidR="00746FA7">
        <w:rPr>
          <w:color w:val="000000"/>
          <w:szCs w:val="22"/>
          <w:lang w:val="sv-SE"/>
        </w:rPr>
        <w:t>november</w:t>
      </w:r>
      <w:r w:rsidR="00186A5E">
        <w:rPr>
          <w:color w:val="000000"/>
          <w:szCs w:val="22"/>
          <w:lang w:val="sv-SE"/>
        </w:rPr>
        <w:t xml:space="preserve"> </w:t>
      </w:r>
      <w:r w:rsidRPr="000E7AE9">
        <w:rPr>
          <w:color w:val="000000"/>
          <w:szCs w:val="22"/>
          <w:lang w:val="sv-SE"/>
        </w:rPr>
        <w:t>2006</w:t>
      </w:r>
    </w:p>
    <w:p w14:paraId="607A7324" w14:textId="77777777" w:rsidR="007D6097" w:rsidRPr="000E7AE9" w:rsidRDefault="007D6097" w:rsidP="00463647">
      <w:pPr>
        <w:widowControl w:val="0"/>
        <w:spacing w:line="240" w:lineRule="auto"/>
        <w:rPr>
          <w:color w:val="000000"/>
          <w:szCs w:val="22"/>
          <w:lang w:val="sv-SE"/>
        </w:rPr>
      </w:pPr>
    </w:p>
    <w:p w14:paraId="54A01C05" w14:textId="77777777" w:rsidR="007D6097" w:rsidRPr="000E7AE9" w:rsidRDefault="007D6097" w:rsidP="00463647">
      <w:pPr>
        <w:widowControl w:val="0"/>
        <w:spacing w:line="240" w:lineRule="auto"/>
        <w:rPr>
          <w:color w:val="000000"/>
          <w:szCs w:val="22"/>
          <w:lang w:val="sv-SE"/>
        </w:rPr>
      </w:pPr>
    </w:p>
    <w:p w14:paraId="1D5FD3E5" w14:textId="77777777" w:rsidR="007D6097" w:rsidRPr="000E7AE9" w:rsidRDefault="007D6097" w:rsidP="00463647">
      <w:pPr>
        <w:widowControl w:val="0"/>
        <w:spacing w:line="240" w:lineRule="auto"/>
        <w:ind w:left="567" w:hanging="567"/>
        <w:rPr>
          <w:color w:val="000000"/>
          <w:szCs w:val="22"/>
          <w:lang w:val="sv-SE"/>
        </w:rPr>
      </w:pPr>
      <w:r w:rsidRPr="000E7AE9">
        <w:rPr>
          <w:b/>
          <w:color w:val="000000"/>
          <w:szCs w:val="22"/>
          <w:lang w:val="sv-SE"/>
        </w:rPr>
        <w:t>10.</w:t>
      </w:r>
      <w:r w:rsidRPr="000E7AE9">
        <w:rPr>
          <w:b/>
          <w:color w:val="000000"/>
          <w:szCs w:val="22"/>
          <w:lang w:val="sv-SE"/>
        </w:rPr>
        <w:tab/>
        <w:t>DATUM FÖR ÖVERSYN AV PRODUKTRESUMÉN</w:t>
      </w:r>
    </w:p>
    <w:p w14:paraId="0050B723" w14:textId="77777777" w:rsidR="003166E4" w:rsidRPr="00463647" w:rsidRDefault="003166E4" w:rsidP="00463647">
      <w:pPr>
        <w:widowControl w:val="0"/>
        <w:spacing w:line="240" w:lineRule="auto"/>
        <w:rPr>
          <w:color w:val="000000"/>
          <w:szCs w:val="22"/>
          <w:lang w:val="sv-SE"/>
        </w:rPr>
      </w:pPr>
    </w:p>
    <w:p w14:paraId="338E5D02" w14:textId="77777777" w:rsidR="003166E4" w:rsidRPr="003166E4" w:rsidRDefault="003166E4" w:rsidP="00463647">
      <w:pPr>
        <w:widowControl w:val="0"/>
        <w:spacing w:line="240" w:lineRule="auto"/>
        <w:rPr>
          <w:lang w:val="sv-SE"/>
        </w:rPr>
      </w:pPr>
    </w:p>
    <w:p w14:paraId="7792DE68" w14:textId="77777777" w:rsidR="003166E4" w:rsidRPr="001F4642" w:rsidRDefault="00741F9E" w:rsidP="00463647">
      <w:pPr>
        <w:widowControl w:val="0"/>
        <w:tabs>
          <w:tab w:val="clear" w:pos="567"/>
        </w:tabs>
        <w:spacing w:line="240" w:lineRule="auto"/>
        <w:rPr>
          <w:color w:val="000000"/>
          <w:szCs w:val="22"/>
          <w:lang w:val="sv-SE"/>
        </w:rPr>
      </w:pPr>
      <w:r>
        <w:rPr>
          <w:color w:val="000000"/>
          <w:szCs w:val="22"/>
          <w:lang w:val="sv-SE"/>
        </w:rPr>
        <w:t>Ytterligare i</w:t>
      </w:r>
      <w:r w:rsidR="003166E4">
        <w:rPr>
          <w:color w:val="000000"/>
          <w:szCs w:val="22"/>
          <w:lang w:val="sv-SE"/>
        </w:rPr>
        <w:t xml:space="preserve">nformation om detta läkemedel finns på Europeiska läkemedelsmyndighetens </w:t>
      </w:r>
      <w:r w:rsidR="00746FA7">
        <w:rPr>
          <w:color w:val="000000"/>
          <w:szCs w:val="22"/>
          <w:lang w:val="sv-SE"/>
        </w:rPr>
        <w:t>webbplats</w:t>
      </w:r>
      <w:r w:rsidR="003166E4">
        <w:rPr>
          <w:color w:val="000000"/>
          <w:szCs w:val="22"/>
          <w:lang w:val="sv-SE"/>
        </w:rPr>
        <w:t xml:space="preserve"> http://www.ema.europa.eu</w:t>
      </w:r>
    </w:p>
    <w:p w14:paraId="586B2B59" w14:textId="77777777" w:rsidR="00CE607D" w:rsidRPr="000E7AE9" w:rsidRDefault="007D6097" w:rsidP="00463647">
      <w:pPr>
        <w:pStyle w:val="Heading4"/>
        <w:widowControl w:val="0"/>
        <w:spacing w:line="240" w:lineRule="auto"/>
        <w:jc w:val="left"/>
        <w:rPr>
          <w:color w:val="000000"/>
          <w:szCs w:val="22"/>
          <w:lang w:val="sv-SE"/>
        </w:rPr>
      </w:pPr>
      <w:r w:rsidRPr="000E7AE9">
        <w:rPr>
          <w:noProof w:val="0"/>
          <w:color w:val="000000"/>
          <w:szCs w:val="22"/>
          <w:lang w:val="sv-SE"/>
        </w:rPr>
        <w:br w:type="page"/>
      </w:r>
    </w:p>
    <w:p w14:paraId="226AE102" w14:textId="77777777" w:rsidR="00CE607D" w:rsidRPr="000E7AE9" w:rsidRDefault="00CE607D" w:rsidP="00463647">
      <w:pPr>
        <w:widowControl w:val="0"/>
        <w:spacing w:line="240" w:lineRule="auto"/>
        <w:ind w:right="1416"/>
        <w:outlineLvl w:val="0"/>
        <w:rPr>
          <w:color w:val="000000"/>
          <w:szCs w:val="22"/>
          <w:lang w:val="sv-SE"/>
        </w:rPr>
      </w:pPr>
    </w:p>
    <w:p w14:paraId="7946BDE0" w14:textId="77777777" w:rsidR="00CE607D" w:rsidRPr="000E7AE9" w:rsidRDefault="00CE607D" w:rsidP="00463647">
      <w:pPr>
        <w:widowControl w:val="0"/>
        <w:spacing w:line="240" w:lineRule="auto"/>
        <w:ind w:right="1416"/>
        <w:outlineLvl w:val="0"/>
        <w:rPr>
          <w:color w:val="000000"/>
          <w:szCs w:val="22"/>
          <w:lang w:val="sv-SE"/>
        </w:rPr>
      </w:pPr>
    </w:p>
    <w:p w14:paraId="29EF2466" w14:textId="77777777" w:rsidR="00CE607D" w:rsidRPr="000E7AE9" w:rsidRDefault="00CE607D" w:rsidP="00463647">
      <w:pPr>
        <w:widowControl w:val="0"/>
        <w:spacing w:line="240" w:lineRule="auto"/>
        <w:ind w:right="1416"/>
        <w:outlineLvl w:val="0"/>
        <w:rPr>
          <w:color w:val="000000"/>
          <w:szCs w:val="22"/>
          <w:lang w:val="sv-SE"/>
        </w:rPr>
      </w:pPr>
    </w:p>
    <w:p w14:paraId="565437CB" w14:textId="77777777" w:rsidR="00CE607D" w:rsidRPr="000E7AE9" w:rsidRDefault="00CE607D" w:rsidP="00463647">
      <w:pPr>
        <w:widowControl w:val="0"/>
        <w:spacing w:line="240" w:lineRule="auto"/>
        <w:ind w:right="1416"/>
        <w:outlineLvl w:val="0"/>
        <w:rPr>
          <w:color w:val="000000"/>
          <w:szCs w:val="22"/>
          <w:lang w:val="sv-SE"/>
        </w:rPr>
      </w:pPr>
    </w:p>
    <w:p w14:paraId="77ED3F4F" w14:textId="77777777" w:rsidR="00CE607D" w:rsidRPr="000E7AE9" w:rsidRDefault="00CE607D" w:rsidP="00463647">
      <w:pPr>
        <w:widowControl w:val="0"/>
        <w:spacing w:line="240" w:lineRule="auto"/>
        <w:ind w:right="1416"/>
        <w:outlineLvl w:val="0"/>
        <w:rPr>
          <w:color w:val="000000"/>
          <w:szCs w:val="22"/>
          <w:lang w:val="sv-SE"/>
        </w:rPr>
      </w:pPr>
    </w:p>
    <w:p w14:paraId="63A2AE5C" w14:textId="77777777" w:rsidR="00CE607D" w:rsidRPr="000E7AE9" w:rsidRDefault="00CE607D" w:rsidP="00463647">
      <w:pPr>
        <w:widowControl w:val="0"/>
        <w:spacing w:line="240" w:lineRule="auto"/>
        <w:ind w:right="1416"/>
        <w:outlineLvl w:val="0"/>
        <w:rPr>
          <w:color w:val="000000"/>
          <w:szCs w:val="22"/>
          <w:lang w:val="sv-SE"/>
        </w:rPr>
      </w:pPr>
    </w:p>
    <w:p w14:paraId="7307F894" w14:textId="77777777" w:rsidR="00CE607D" w:rsidRPr="000E7AE9" w:rsidRDefault="00CE607D" w:rsidP="00463647">
      <w:pPr>
        <w:widowControl w:val="0"/>
        <w:spacing w:line="240" w:lineRule="auto"/>
        <w:ind w:right="1416"/>
        <w:outlineLvl w:val="0"/>
        <w:rPr>
          <w:color w:val="000000"/>
          <w:szCs w:val="22"/>
          <w:lang w:val="sv-SE"/>
        </w:rPr>
      </w:pPr>
    </w:p>
    <w:p w14:paraId="13D83AF5" w14:textId="77777777" w:rsidR="00CE607D" w:rsidRPr="000E7AE9" w:rsidRDefault="00CE607D" w:rsidP="00463647">
      <w:pPr>
        <w:widowControl w:val="0"/>
        <w:spacing w:line="240" w:lineRule="auto"/>
        <w:ind w:right="1416"/>
        <w:outlineLvl w:val="0"/>
        <w:rPr>
          <w:color w:val="000000"/>
          <w:szCs w:val="22"/>
          <w:lang w:val="sv-SE"/>
        </w:rPr>
      </w:pPr>
    </w:p>
    <w:p w14:paraId="695A7FC6" w14:textId="77777777" w:rsidR="00CE607D" w:rsidRPr="000E7AE9" w:rsidRDefault="00CE607D" w:rsidP="00463647">
      <w:pPr>
        <w:widowControl w:val="0"/>
        <w:spacing w:line="240" w:lineRule="auto"/>
        <w:ind w:right="1416"/>
        <w:outlineLvl w:val="0"/>
        <w:rPr>
          <w:color w:val="000000"/>
          <w:szCs w:val="22"/>
          <w:lang w:val="sv-SE"/>
        </w:rPr>
      </w:pPr>
    </w:p>
    <w:p w14:paraId="4FE4C6AA" w14:textId="77777777" w:rsidR="00CE607D" w:rsidRPr="000E7AE9" w:rsidRDefault="00CE607D" w:rsidP="00463647">
      <w:pPr>
        <w:widowControl w:val="0"/>
        <w:spacing w:line="240" w:lineRule="auto"/>
        <w:ind w:right="1416"/>
        <w:outlineLvl w:val="0"/>
        <w:rPr>
          <w:color w:val="000000"/>
          <w:szCs w:val="22"/>
          <w:lang w:val="sv-SE"/>
        </w:rPr>
      </w:pPr>
    </w:p>
    <w:p w14:paraId="16A64BA4" w14:textId="77777777" w:rsidR="00CE607D" w:rsidRPr="000E7AE9" w:rsidRDefault="00CE607D" w:rsidP="00463647">
      <w:pPr>
        <w:widowControl w:val="0"/>
        <w:spacing w:line="240" w:lineRule="auto"/>
        <w:ind w:right="1416"/>
        <w:outlineLvl w:val="0"/>
        <w:rPr>
          <w:color w:val="000000"/>
          <w:szCs w:val="22"/>
          <w:lang w:val="sv-SE"/>
        </w:rPr>
      </w:pPr>
    </w:p>
    <w:p w14:paraId="04B08AEE" w14:textId="77777777" w:rsidR="00CE607D" w:rsidRPr="000E7AE9" w:rsidRDefault="00CE607D" w:rsidP="00463647">
      <w:pPr>
        <w:widowControl w:val="0"/>
        <w:spacing w:line="240" w:lineRule="auto"/>
        <w:ind w:right="1416"/>
        <w:outlineLvl w:val="0"/>
        <w:rPr>
          <w:color w:val="000000"/>
          <w:szCs w:val="22"/>
          <w:lang w:val="sv-SE"/>
        </w:rPr>
      </w:pPr>
    </w:p>
    <w:p w14:paraId="03CE705B" w14:textId="77777777" w:rsidR="00CE607D" w:rsidRPr="000E7AE9" w:rsidRDefault="00CE607D" w:rsidP="00463647">
      <w:pPr>
        <w:widowControl w:val="0"/>
        <w:spacing w:line="240" w:lineRule="auto"/>
        <w:ind w:right="1416"/>
        <w:outlineLvl w:val="0"/>
        <w:rPr>
          <w:color w:val="000000"/>
          <w:szCs w:val="22"/>
          <w:lang w:val="sv-SE"/>
        </w:rPr>
      </w:pPr>
    </w:p>
    <w:p w14:paraId="21B906C3" w14:textId="77777777" w:rsidR="00CE607D" w:rsidRPr="000E7AE9" w:rsidRDefault="00CE607D" w:rsidP="00463647">
      <w:pPr>
        <w:widowControl w:val="0"/>
        <w:spacing w:line="240" w:lineRule="auto"/>
        <w:ind w:right="1416"/>
        <w:outlineLvl w:val="0"/>
        <w:rPr>
          <w:color w:val="000000"/>
          <w:szCs w:val="22"/>
          <w:lang w:val="sv-SE"/>
        </w:rPr>
      </w:pPr>
    </w:p>
    <w:p w14:paraId="5245270D" w14:textId="77777777" w:rsidR="00CE607D" w:rsidRPr="000E7AE9" w:rsidRDefault="00CE607D" w:rsidP="00463647">
      <w:pPr>
        <w:widowControl w:val="0"/>
        <w:spacing w:line="240" w:lineRule="auto"/>
        <w:ind w:right="1416"/>
        <w:outlineLvl w:val="0"/>
        <w:rPr>
          <w:color w:val="000000"/>
          <w:szCs w:val="22"/>
          <w:lang w:val="sv-SE"/>
        </w:rPr>
      </w:pPr>
    </w:p>
    <w:p w14:paraId="41F8111D" w14:textId="77777777" w:rsidR="00CE607D" w:rsidRPr="000E7AE9" w:rsidRDefault="00CE607D" w:rsidP="00463647">
      <w:pPr>
        <w:widowControl w:val="0"/>
        <w:spacing w:line="240" w:lineRule="auto"/>
        <w:ind w:right="1416"/>
        <w:outlineLvl w:val="0"/>
        <w:rPr>
          <w:color w:val="000000"/>
          <w:szCs w:val="22"/>
          <w:lang w:val="sv-SE"/>
        </w:rPr>
      </w:pPr>
    </w:p>
    <w:p w14:paraId="64B554E2" w14:textId="77777777" w:rsidR="00CE607D" w:rsidRPr="000E7AE9" w:rsidRDefault="00CE607D" w:rsidP="00463647">
      <w:pPr>
        <w:widowControl w:val="0"/>
        <w:spacing w:line="240" w:lineRule="auto"/>
        <w:ind w:right="1416"/>
        <w:outlineLvl w:val="0"/>
        <w:rPr>
          <w:color w:val="000000"/>
          <w:szCs w:val="22"/>
          <w:lang w:val="sv-SE"/>
        </w:rPr>
      </w:pPr>
    </w:p>
    <w:p w14:paraId="1B8649A8" w14:textId="77777777" w:rsidR="00CE607D" w:rsidRPr="000E7AE9" w:rsidRDefault="00CE607D" w:rsidP="00463647">
      <w:pPr>
        <w:widowControl w:val="0"/>
        <w:spacing w:line="240" w:lineRule="auto"/>
        <w:ind w:right="1416"/>
        <w:outlineLvl w:val="0"/>
        <w:rPr>
          <w:color w:val="000000"/>
          <w:szCs w:val="22"/>
          <w:lang w:val="sv-SE"/>
        </w:rPr>
      </w:pPr>
    </w:p>
    <w:p w14:paraId="09C4668F" w14:textId="77777777" w:rsidR="00CE607D" w:rsidRPr="000E7AE9" w:rsidRDefault="00CE607D" w:rsidP="00463647">
      <w:pPr>
        <w:widowControl w:val="0"/>
        <w:spacing w:line="240" w:lineRule="auto"/>
        <w:ind w:right="1416"/>
        <w:outlineLvl w:val="0"/>
        <w:rPr>
          <w:color w:val="000000"/>
          <w:szCs w:val="22"/>
          <w:lang w:val="sv-SE"/>
        </w:rPr>
      </w:pPr>
    </w:p>
    <w:p w14:paraId="4E9F3C16" w14:textId="77777777" w:rsidR="00CE607D" w:rsidRPr="000E7AE9" w:rsidRDefault="00CE607D" w:rsidP="00463647">
      <w:pPr>
        <w:widowControl w:val="0"/>
        <w:spacing w:line="240" w:lineRule="auto"/>
        <w:ind w:right="1416"/>
        <w:outlineLvl w:val="0"/>
        <w:rPr>
          <w:color w:val="000000"/>
          <w:szCs w:val="22"/>
          <w:lang w:val="sv-SE"/>
        </w:rPr>
      </w:pPr>
    </w:p>
    <w:p w14:paraId="4DD1046A" w14:textId="77777777" w:rsidR="00CE607D" w:rsidRDefault="00CE607D" w:rsidP="00463647">
      <w:pPr>
        <w:widowControl w:val="0"/>
        <w:spacing w:line="240" w:lineRule="auto"/>
        <w:ind w:right="1416"/>
        <w:outlineLvl w:val="0"/>
        <w:rPr>
          <w:color w:val="000000"/>
          <w:szCs w:val="22"/>
          <w:lang w:val="sv-SE"/>
        </w:rPr>
      </w:pPr>
    </w:p>
    <w:p w14:paraId="66A329FA" w14:textId="77777777" w:rsidR="00463647" w:rsidRPr="000E7AE9" w:rsidRDefault="00463647" w:rsidP="00463647">
      <w:pPr>
        <w:widowControl w:val="0"/>
        <w:spacing w:line="240" w:lineRule="auto"/>
        <w:ind w:right="1416"/>
        <w:outlineLvl w:val="0"/>
        <w:rPr>
          <w:color w:val="000000"/>
          <w:szCs w:val="22"/>
          <w:lang w:val="sv-SE"/>
        </w:rPr>
      </w:pPr>
    </w:p>
    <w:p w14:paraId="1C8E4300" w14:textId="77777777" w:rsidR="00CE607D" w:rsidRPr="000E7AE9" w:rsidRDefault="00CE607D" w:rsidP="00463647">
      <w:pPr>
        <w:widowControl w:val="0"/>
        <w:spacing w:line="240" w:lineRule="auto"/>
        <w:ind w:right="1416"/>
        <w:outlineLvl w:val="0"/>
        <w:rPr>
          <w:color w:val="000000"/>
          <w:szCs w:val="22"/>
          <w:lang w:val="sv-SE"/>
        </w:rPr>
      </w:pPr>
    </w:p>
    <w:p w14:paraId="18AD0F0D" w14:textId="77777777" w:rsidR="00CE607D" w:rsidRPr="000E7AE9" w:rsidRDefault="00CE607D" w:rsidP="00463647">
      <w:pPr>
        <w:widowControl w:val="0"/>
        <w:spacing w:line="240" w:lineRule="auto"/>
        <w:ind w:right="1416"/>
        <w:jc w:val="center"/>
        <w:outlineLvl w:val="0"/>
        <w:rPr>
          <w:b/>
          <w:color w:val="000000"/>
          <w:szCs w:val="22"/>
          <w:lang w:val="sv-SE"/>
        </w:rPr>
      </w:pPr>
      <w:r w:rsidRPr="000E7AE9">
        <w:rPr>
          <w:b/>
          <w:color w:val="000000"/>
          <w:szCs w:val="22"/>
          <w:lang w:val="sv-SE"/>
        </w:rPr>
        <w:t>BILAGA II</w:t>
      </w:r>
    </w:p>
    <w:p w14:paraId="4227141A" w14:textId="77777777" w:rsidR="00CE607D" w:rsidRPr="000E7AE9" w:rsidRDefault="00CE607D" w:rsidP="00463647">
      <w:pPr>
        <w:widowControl w:val="0"/>
        <w:spacing w:line="240" w:lineRule="auto"/>
        <w:ind w:right="1416"/>
        <w:rPr>
          <w:color w:val="000000"/>
          <w:szCs w:val="22"/>
          <w:lang w:val="sv-SE"/>
        </w:rPr>
      </w:pPr>
    </w:p>
    <w:p w14:paraId="703B13FE" w14:textId="77777777" w:rsidR="00CE607D" w:rsidRPr="000E7AE9" w:rsidRDefault="00CE607D" w:rsidP="00463647">
      <w:pPr>
        <w:widowControl w:val="0"/>
        <w:tabs>
          <w:tab w:val="clear" w:pos="567"/>
        </w:tabs>
        <w:spacing w:line="240" w:lineRule="auto"/>
        <w:ind w:left="1701" w:right="-1" w:hanging="567"/>
        <w:rPr>
          <w:color w:val="000000"/>
          <w:szCs w:val="22"/>
          <w:lang w:val="sv-SE"/>
        </w:rPr>
      </w:pPr>
      <w:r>
        <w:rPr>
          <w:b/>
          <w:color w:val="000000"/>
          <w:szCs w:val="22"/>
          <w:lang w:val="sv-SE"/>
        </w:rPr>
        <w:t>A.</w:t>
      </w:r>
      <w:r>
        <w:rPr>
          <w:b/>
          <w:color w:val="000000"/>
          <w:szCs w:val="22"/>
          <w:lang w:val="sv-SE"/>
        </w:rPr>
        <w:tab/>
        <w:t>TILLVERKARE SOM ANSVARAR FÖR FRISLÄPPANDE AV TILLVERKNINGSSATS</w:t>
      </w:r>
    </w:p>
    <w:p w14:paraId="257ADC5B" w14:textId="77777777" w:rsidR="00CE607D" w:rsidRPr="000E7AE9" w:rsidRDefault="00CE607D" w:rsidP="00463647">
      <w:pPr>
        <w:widowControl w:val="0"/>
        <w:spacing w:line="240" w:lineRule="auto"/>
        <w:ind w:right="-1"/>
        <w:rPr>
          <w:color w:val="000000"/>
          <w:szCs w:val="22"/>
          <w:lang w:val="sv-SE"/>
        </w:rPr>
      </w:pPr>
    </w:p>
    <w:p w14:paraId="756443E1" w14:textId="77777777" w:rsidR="00CE607D" w:rsidRDefault="00CE607D" w:rsidP="00463647">
      <w:pPr>
        <w:widowControl w:val="0"/>
        <w:tabs>
          <w:tab w:val="clear" w:pos="567"/>
        </w:tabs>
        <w:spacing w:line="240" w:lineRule="auto"/>
        <w:ind w:left="1701" w:right="-1" w:hanging="567"/>
        <w:rPr>
          <w:b/>
          <w:color w:val="000000"/>
          <w:szCs w:val="22"/>
          <w:lang w:val="sv-SE"/>
        </w:rPr>
      </w:pPr>
      <w:r>
        <w:rPr>
          <w:b/>
          <w:color w:val="000000"/>
          <w:szCs w:val="22"/>
          <w:lang w:val="sv-SE"/>
        </w:rPr>
        <w:t>B.</w:t>
      </w:r>
      <w:r>
        <w:rPr>
          <w:b/>
          <w:color w:val="000000"/>
          <w:szCs w:val="22"/>
          <w:lang w:val="sv-SE"/>
        </w:rPr>
        <w:tab/>
      </w:r>
      <w:r w:rsidRPr="000E7AE9">
        <w:rPr>
          <w:b/>
          <w:color w:val="000000"/>
          <w:szCs w:val="22"/>
          <w:lang w:val="sv-SE"/>
        </w:rPr>
        <w:t xml:space="preserve">VILLKOR </w:t>
      </w:r>
      <w:r>
        <w:rPr>
          <w:b/>
          <w:color w:val="000000"/>
          <w:szCs w:val="22"/>
          <w:lang w:val="sv-SE"/>
        </w:rPr>
        <w:t xml:space="preserve">ELLER BEGRÄNSNINGAR </w:t>
      </w:r>
      <w:r w:rsidRPr="000E7AE9">
        <w:rPr>
          <w:b/>
          <w:color w:val="000000"/>
          <w:szCs w:val="22"/>
          <w:lang w:val="sv-SE"/>
        </w:rPr>
        <w:t>FÖR</w:t>
      </w:r>
      <w:r>
        <w:rPr>
          <w:b/>
          <w:color w:val="000000"/>
          <w:szCs w:val="22"/>
          <w:lang w:val="sv-SE"/>
        </w:rPr>
        <w:t xml:space="preserve"> </w:t>
      </w:r>
      <w:r w:rsidR="009652FC">
        <w:rPr>
          <w:b/>
          <w:color w:val="000000"/>
          <w:szCs w:val="22"/>
          <w:lang w:val="sv-SE"/>
        </w:rPr>
        <w:t>TILLHANDAHÅLLANDE</w:t>
      </w:r>
      <w:r>
        <w:rPr>
          <w:b/>
          <w:color w:val="000000"/>
          <w:szCs w:val="22"/>
          <w:lang w:val="sv-SE"/>
        </w:rPr>
        <w:t xml:space="preserve"> OCH ANVÄNDNING</w:t>
      </w:r>
    </w:p>
    <w:p w14:paraId="228D111E" w14:textId="77777777" w:rsidR="00CE607D" w:rsidRPr="000E7AE9" w:rsidRDefault="00CE607D" w:rsidP="00463647">
      <w:pPr>
        <w:widowControl w:val="0"/>
        <w:spacing w:line="240" w:lineRule="auto"/>
        <w:ind w:right="-1"/>
        <w:rPr>
          <w:color w:val="000000"/>
          <w:szCs w:val="22"/>
          <w:lang w:val="sv-SE"/>
        </w:rPr>
      </w:pPr>
    </w:p>
    <w:p w14:paraId="18D6617A" w14:textId="77777777" w:rsidR="00611763" w:rsidRDefault="00CE607D" w:rsidP="00463647">
      <w:pPr>
        <w:widowControl w:val="0"/>
        <w:tabs>
          <w:tab w:val="clear" w:pos="567"/>
        </w:tabs>
        <w:spacing w:line="240" w:lineRule="auto"/>
        <w:ind w:left="1701" w:right="-1" w:hanging="567"/>
        <w:rPr>
          <w:b/>
          <w:color w:val="000000"/>
          <w:szCs w:val="22"/>
          <w:lang w:val="sv-SE"/>
        </w:rPr>
      </w:pPr>
      <w:r>
        <w:rPr>
          <w:b/>
          <w:color w:val="000000"/>
          <w:szCs w:val="22"/>
          <w:lang w:val="sv-SE"/>
        </w:rPr>
        <w:t>C.</w:t>
      </w:r>
      <w:r>
        <w:rPr>
          <w:b/>
          <w:color w:val="000000"/>
          <w:szCs w:val="22"/>
          <w:lang w:val="sv-SE"/>
        </w:rPr>
        <w:tab/>
        <w:t>ÖVRIGA VILLKOR OCH KRAV FÖR GODKÄNNANDET FÖR FÖRSÄLJNING</w:t>
      </w:r>
    </w:p>
    <w:p w14:paraId="736633EC" w14:textId="77777777" w:rsidR="005E4B92" w:rsidRPr="004E6EB6" w:rsidRDefault="005E4B92" w:rsidP="00463647">
      <w:pPr>
        <w:widowControl w:val="0"/>
        <w:tabs>
          <w:tab w:val="clear" w:pos="567"/>
        </w:tabs>
        <w:spacing w:line="240" w:lineRule="auto"/>
        <w:ind w:right="-1"/>
        <w:rPr>
          <w:color w:val="000000"/>
          <w:szCs w:val="22"/>
          <w:lang w:val="sv-SE"/>
        </w:rPr>
      </w:pPr>
    </w:p>
    <w:p w14:paraId="32E2E430" w14:textId="77777777" w:rsidR="005E4B92" w:rsidRPr="005E4B92" w:rsidRDefault="005E4B92" w:rsidP="00463647">
      <w:pPr>
        <w:widowControl w:val="0"/>
        <w:tabs>
          <w:tab w:val="clear" w:pos="567"/>
        </w:tabs>
        <w:spacing w:line="240" w:lineRule="auto"/>
        <w:ind w:left="1701" w:right="-1" w:hanging="567"/>
        <w:rPr>
          <w:b/>
          <w:color w:val="000000"/>
          <w:szCs w:val="22"/>
          <w:lang w:val="sv-SE"/>
        </w:rPr>
      </w:pPr>
      <w:r>
        <w:rPr>
          <w:b/>
          <w:color w:val="000000"/>
          <w:szCs w:val="22"/>
          <w:lang w:val="sv-SE"/>
        </w:rPr>
        <w:t>D.</w:t>
      </w:r>
      <w:r>
        <w:rPr>
          <w:b/>
          <w:color w:val="000000"/>
          <w:szCs w:val="22"/>
          <w:lang w:val="sv-SE"/>
        </w:rPr>
        <w:tab/>
        <w:t xml:space="preserve">VILLKOR </w:t>
      </w:r>
      <w:r w:rsidRPr="005E4B92">
        <w:rPr>
          <w:b/>
          <w:lang w:val="sv-SE"/>
        </w:rPr>
        <w:t>ELLER BEGRÄNSNINGAR AVSEENDE EN SÄKER OCH EFFEKTIV ANVÄNDNING AV LÄKEMEDLET</w:t>
      </w:r>
    </w:p>
    <w:p w14:paraId="4558DE3A" w14:textId="77777777" w:rsidR="005E4B92" w:rsidRPr="004E6EB6" w:rsidRDefault="005E4B92" w:rsidP="00463647">
      <w:pPr>
        <w:widowControl w:val="0"/>
        <w:tabs>
          <w:tab w:val="clear" w:pos="567"/>
        </w:tabs>
        <w:spacing w:line="240" w:lineRule="auto"/>
        <w:ind w:right="-1"/>
        <w:rPr>
          <w:color w:val="000000"/>
          <w:szCs w:val="22"/>
          <w:lang w:val="sv-SE"/>
        </w:rPr>
      </w:pPr>
    </w:p>
    <w:p w14:paraId="7D523A46" w14:textId="77777777" w:rsidR="00CE607D" w:rsidRPr="000E7AE9" w:rsidRDefault="00CE607D" w:rsidP="00463647">
      <w:pPr>
        <w:widowControl w:val="0"/>
        <w:spacing w:line="240" w:lineRule="auto"/>
        <w:ind w:left="567" w:hanging="567"/>
        <w:rPr>
          <w:color w:val="000000"/>
          <w:szCs w:val="22"/>
          <w:lang w:val="sv-SE"/>
        </w:rPr>
      </w:pPr>
      <w:r w:rsidRPr="00611763">
        <w:rPr>
          <w:color w:val="000000"/>
          <w:szCs w:val="22"/>
          <w:lang w:val="sv-SE"/>
        </w:rPr>
        <w:br w:type="page"/>
      </w:r>
      <w:r w:rsidRPr="000E7AE9">
        <w:rPr>
          <w:b/>
          <w:color w:val="000000"/>
          <w:szCs w:val="22"/>
          <w:lang w:val="sv-SE"/>
        </w:rPr>
        <w:lastRenderedPageBreak/>
        <w:t>A.</w:t>
      </w:r>
      <w:r w:rsidRPr="000E7AE9">
        <w:rPr>
          <w:b/>
          <w:color w:val="000000"/>
          <w:szCs w:val="22"/>
          <w:lang w:val="sv-SE"/>
        </w:rPr>
        <w:tab/>
      </w:r>
      <w:r>
        <w:rPr>
          <w:b/>
          <w:color w:val="000000"/>
          <w:szCs w:val="22"/>
          <w:lang w:val="sv-SE"/>
        </w:rPr>
        <w:t>TILLVERKARE SOM ANSVARAR FÖR FRISLÄPPANDE AV TILLVERKNINGSSATS</w:t>
      </w:r>
    </w:p>
    <w:p w14:paraId="56927C26" w14:textId="77777777" w:rsidR="00CE607D" w:rsidRPr="003E3769" w:rsidRDefault="00CE607D" w:rsidP="00463647">
      <w:pPr>
        <w:widowControl w:val="0"/>
        <w:numPr>
          <w:ilvl w:val="12"/>
          <w:numId w:val="0"/>
        </w:numPr>
        <w:spacing w:line="240" w:lineRule="auto"/>
        <w:ind w:right="1416"/>
        <w:rPr>
          <w:szCs w:val="22"/>
          <w:lang w:val="sv-SE"/>
        </w:rPr>
      </w:pPr>
    </w:p>
    <w:p w14:paraId="4CB1AD39" w14:textId="77777777" w:rsidR="00CE607D" w:rsidRPr="003E3769" w:rsidRDefault="00CE607D" w:rsidP="00463647">
      <w:pPr>
        <w:widowControl w:val="0"/>
        <w:numPr>
          <w:ilvl w:val="12"/>
          <w:numId w:val="0"/>
        </w:numPr>
        <w:tabs>
          <w:tab w:val="clear" w:pos="567"/>
        </w:tabs>
        <w:spacing w:line="240" w:lineRule="auto"/>
        <w:outlineLvl w:val="0"/>
        <w:rPr>
          <w:szCs w:val="22"/>
          <w:u w:val="single"/>
          <w:lang w:val="sv-SE"/>
        </w:rPr>
      </w:pPr>
      <w:r w:rsidRPr="003E3769">
        <w:rPr>
          <w:szCs w:val="22"/>
          <w:u w:val="single"/>
          <w:lang w:val="sv-SE"/>
        </w:rPr>
        <w:t>Namn och adress till tillverkare som ansvarar för frisläppande av tillverkningssats</w:t>
      </w:r>
    </w:p>
    <w:p w14:paraId="574F415E" w14:textId="77777777" w:rsidR="00CE607D" w:rsidRPr="003E3769" w:rsidRDefault="00CE607D" w:rsidP="00463647">
      <w:pPr>
        <w:widowControl w:val="0"/>
        <w:numPr>
          <w:ilvl w:val="12"/>
          <w:numId w:val="0"/>
        </w:numPr>
        <w:tabs>
          <w:tab w:val="clear" w:pos="567"/>
        </w:tabs>
        <w:spacing w:line="240" w:lineRule="auto"/>
        <w:rPr>
          <w:szCs w:val="22"/>
          <w:lang w:val="sv-SE"/>
        </w:rPr>
      </w:pPr>
    </w:p>
    <w:p w14:paraId="168B8EF0" w14:textId="77777777" w:rsidR="003E3769" w:rsidRPr="00087A41" w:rsidRDefault="003E3769" w:rsidP="00463647">
      <w:pPr>
        <w:widowControl w:val="0"/>
        <w:tabs>
          <w:tab w:val="left" w:pos="7513"/>
        </w:tabs>
        <w:spacing w:line="240" w:lineRule="auto"/>
        <w:rPr>
          <w:szCs w:val="22"/>
          <w:lang w:val="fr-CH"/>
        </w:rPr>
      </w:pPr>
      <w:r w:rsidRPr="00087A41">
        <w:rPr>
          <w:szCs w:val="22"/>
          <w:lang w:val="fr-CH"/>
        </w:rPr>
        <w:t>Lek d.d, PE PROIZVODNJA LENDAVA</w:t>
      </w:r>
    </w:p>
    <w:p w14:paraId="02F75439" w14:textId="77777777" w:rsidR="003E3769" w:rsidRPr="003E3769" w:rsidRDefault="003E3769" w:rsidP="00463647">
      <w:pPr>
        <w:widowControl w:val="0"/>
        <w:tabs>
          <w:tab w:val="left" w:pos="7513"/>
        </w:tabs>
        <w:spacing w:line="240" w:lineRule="auto"/>
        <w:rPr>
          <w:szCs w:val="22"/>
          <w:lang w:val="fr-CH"/>
        </w:rPr>
      </w:pPr>
      <w:r w:rsidRPr="003E3769">
        <w:rPr>
          <w:szCs w:val="22"/>
          <w:lang w:val="fr-CH"/>
        </w:rPr>
        <w:t>Trimlini 2D</w:t>
      </w:r>
    </w:p>
    <w:p w14:paraId="6566C9AC" w14:textId="77777777" w:rsidR="003E3769" w:rsidRPr="003E3769" w:rsidRDefault="003E3769" w:rsidP="00463647">
      <w:pPr>
        <w:widowControl w:val="0"/>
        <w:tabs>
          <w:tab w:val="left" w:pos="7513"/>
        </w:tabs>
        <w:spacing w:line="240" w:lineRule="auto"/>
        <w:rPr>
          <w:szCs w:val="22"/>
          <w:lang w:val="fr-CH"/>
        </w:rPr>
      </w:pPr>
      <w:r w:rsidRPr="003E3769">
        <w:rPr>
          <w:szCs w:val="22"/>
          <w:lang w:val="fr-CH"/>
        </w:rPr>
        <w:t>Lendava, 9220</w:t>
      </w:r>
    </w:p>
    <w:p w14:paraId="3353C9D1" w14:textId="77777777" w:rsidR="003E3769" w:rsidRPr="00590F02" w:rsidRDefault="003E3769" w:rsidP="00463647">
      <w:pPr>
        <w:widowControl w:val="0"/>
        <w:tabs>
          <w:tab w:val="left" w:pos="7513"/>
        </w:tabs>
        <w:spacing w:line="240" w:lineRule="auto"/>
        <w:rPr>
          <w:szCs w:val="22"/>
          <w:lang w:val="fr-CH"/>
        </w:rPr>
      </w:pPr>
      <w:r w:rsidRPr="00590F02">
        <w:rPr>
          <w:szCs w:val="22"/>
          <w:lang w:val="fr-CH"/>
        </w:rPr>
        <w:t>Slovenien</w:t>
      </w:r>
    </w:p>
    <w:p w14:paraId="30722AD9" w14:textId="77777777" w:rsidR="003E3769" w:rsidRPr="00AD0FE6" w:rsidRDefault="003E3769" w:rsidP="00463647">
      <w:pPr>
        <w:widowControl w:val="0"/>
        <w:tabs>
          <w:tab w:val="left" w:pos="7513"/>
        </w:tabs>
        <w:spacing w:line="240" w:lineRule="auto"/>
        <w:rPr>
          <w:szCs w:val="22"/>
          <w:lang w:val="pt-BR"/>
        </w:rPr>
      </w:pPr>
    </w:p>
    <w:p w14:paraId="26E28B18" w14:textId="77777777" w:rsidR="00CE607D" w:rsidRPr="003E3769" w:rsidRDefault="00CE607D" w:rsidP="00463647">
      <w:pPr>
        <w:widowControl w:val="0"/>
        <w:numPr>
          <w:ilvl w:val="12"/>
          <w:numId w:val="0"/>
        </w:numPr>
        <w:tabs>
          <w:tab w:val="clear" w:pos="567"/>
        </w:tabs>
        <w:spacing w:line="240" w:lineRule="auto"/>
        <w:rPr>
          <w:szCs w:val="22"/>
          <w:lang w:val="pt-PT"/>
        </w:rPr>
      </w:pPr>
      <w:r w:rsidRPr="003E3769">
        <w:rPr>
          <w:szCs w:val="22"/>
          <w:lang w:val="pt-PT"/>
        </w:rPr>
        <w:t>Novartis Pharma GmbH</w:t>
      </w:r>
    </w:p>
    <w:p w14:paraId="5BFEDD67" w14:textId="77777777" w:rsidR="00CE607D" w:rsidRPr="006861E6" w:rsidRDefault="00CE607D" w:rsidP="00463647">
      <w:pPr>
        <w:widowControl w:val="0"/>
        <w:numPr>
          <w:ilvl w:val="12"/>
          <w:numId w:val="0"/>
        </w:numPr>
        <w:tabs>
          <w:tab w:val="clear" w:pos="567"/>
        </w:tabs>
        <w:spacing w:line="240" w:lineRule="auto"/>
        <w:rPr>
          <w:noProof/>
          <w:szCs w:val="22"/>
          <w:lang w:val="fr-CH"/>
        </w:rPr>
      </w:pPr>
      <w:r w:rsidRPr="006861E6">
        <w:rPr>
          <w:noProof/>
          <w:szCs w:val="22"/>
          <w:lang w:val="fr-CH"/>
        </w:rPr>
        <w:t>Roonstra</w:t>
      </w:r>
      <w:r w:rsidRPr="006861E6">
        <w:rPr>
          <w:szCs w:val="22"/>
          <w:lang w:val="fr-CH"/>
        </w:rPr>
        <w:t>ss</w:t>
      </w:r>
      <w:r w:rsidRPr="006861E6">
        <w:rPr>
          <w:noProof/>
          <w:szCs w:val="22"/>
          <w:lang w:val="fr-CH"/>
        </w:rPr>
        <w:t>e 25</w:t>
      </w:r>
    </w:p>
    <w:p w14:paraId="5B808F69" w14:textId="77777777" w:rsidR="00CE607D" w:rsidRPr="006861E6" w:rsidRDefault="00CE607D" w:rsidP="00463647">
      <w:pPr>
        <w:widowControl w:val="0"/>
        <w:numPr>
          <w:ilvl w:val="12"/>
          <w:numId w:val="0"/>
        </w:numPr>
        <w:tabs>
          <w:tab w:val="clear" w:pos="567"/>
        </w:tabs>
        <w:spacing w:line="240" w:lineRule="auto"/>
        <w:rPr>
          <w:szCs w:val="22"/>
          <w:lang w:val="fr-CH"/>
        </w:rPr>
      </w:pPr>
      <w:r w:rsidRPr="006861E6">
        <w:rPr>
          <w:szCs w:val="22"/>
          <w:lang w:val="fr-CH"/>
        </w:rPr>
        <w:t>D-90429 Nürnberg</w:t>
      </w:r>
    </w:p>
    <w:p w14:paraId="6E0A848F" w14:textId="77777777" w:rsidR="00CE607D" w:rsidRPr="003E3769" w:rsidRDefault="00CE607D" w:rsidP="00463647">
      <w:pPr>
        <w:widowControl w:val="0"/>
        <w:numPr>
          <w:ilvl w:val="12"/>
          <w:numId w:val="0"/>
        </w:numPr>
        <w:tabs>
          <w:tab w:val="clear" w:pos="567"/>
        </w:tabs>
        <w:spacing w:line="240" w:lineRule="auto"/>
        <w:rPr>
          <w:szCs w:val="22"/>
          <w:lang w:val="sv-SE"/>
        </w:rPr>
      </w:pPr>
      <w:r w:rsidRPr="003E3769">
        <w:rPr>
          <w:szCs w:val="22"/>
          <w:lang w:val="sv-SE"/>
        </w:rPr>
        <w:t>Tyskland</w:t>
      </w:r>
    </w:p>
    <w:p w14:paraId="248C64DA" w14:textId="621C39AC" w:rsidR="00CE607D" w:rsidRDefault="00CE607D" w:rsidP="00463647">
      <w:pPr>
        <w:widowControl w:val="0"/>
        <w:numPr>
          <w:ilvl w:val="12"/>
          <w:numId w:val="0"/>
        </w:numPr>
        <w:spacing w:line="240" w:lineRule="auto"/>
        <w:rPr>
          <w:szCs w:val="22"/>
          <w:lang w:val="sv-SE"/>
        </w:rPr>
      </w:pPr>
    </w:p>
    <w:p w14:paraId="57C943BD" w14:textId="77777777" w:rsidR="00893419" w:rsidRPr="00893419" w:rsidRDefault="00893419" w:rsidP="00893419">
      <w:pPr>
        <w:widowControl w:val="0"/>
        <w:numPr>
          <w:ilvl w:val="12"/>
          <w:numId w:val="0"/>
        </w:numPr>
        <w:spacing w:line="240" w:lineRule="auto"/>
        <w:rPr>
          <w:szCs w:val="22"/>
          <w:lang w:val="sv-SE"/>
        </w:rPr>
      </w:pPr>
      <w:r w:rsidRPr="00893419">
        <w:rPr>
          <w:szCs w:val="22"/>
          <w:lang w:val="sv-SE"/>
        </w:rPr>
        <w:t>Sandoz S.R.L.</w:t>
      </w:r>
    </w:p>
    <w:p w14:paraId="5F387EC7" w14:textId="77777777" w:rsidR="00893419" w:rsidRPr="00644A2E" w:rsidRDefault="00893419" w:rsidP="00893419">
      <w:pPr>
        <w:widowControl w:val="0"/>
        <w:numPr>
          <w:ilvl w:val="12"/>
          <w:numId w:val="0"/>
        </w:numPr>
        <w:spacing w:line="240" w:lineRule="auto"/>
        <w:rPr>
          <w:szCs w:val="22"/>
          <w:lang w:val="en-US"/>
        </w:rPr>
      </w:pPr>
      <w:r w:rsidRPr="00644A2E">
        <w:rPr>
          <w:szCs w:val="22"/>
          <w:lang w:val="en-US"/>
        </w:rPr>
        <w:t>Str. Livezeni nr. 7A</w:t>
      </w:r>
    </w:p>
    <w:p w14:paraId="15647F53" w14:textId="77777777" w:rsidR="00893419" w:rsidRPr="00644A2E" w:rsidRDefault="00893419" w:rsidP="00893419">
      <w:pPr>
        <w:widowControl w:val="0"/>
        <w:numPr>
          <w:ilvl w:val="12"/>
          <w:numId w:val="0"/>
        </w:numPr>
        <w:spacing w:line="240" w:lineRule="auto"/>
        <w:rPr>
          <w:szCs w:val="22"/>
          <w:lang w:val="en-US"/>
        </w:rPr>
      </w:pPr>
      <w:r w:rsidRPr="00644A2E">
        <w:rPr>
          <w:szCs w:val="22"/>
          <w:lang w:val="en-US"/>
        </w:rPr>
        <w:t>540472, Targu Mures</w:t>
      </w:r>
    </w:p>
    <w:p w14:paraId="6FDD668E" w14:textId="02B08F6F" w:rsidR="00893419" w:rsidRDefault="00893419" w:rsidP="00893419">
      <w:pPr>
        <w:widowControl w:val="0"/>
        <w:numPr>
          <w:ilvl w:val="12"/>
          <w:numId w:val="0"/>
        </w:numPr>
        <w:spacing w:line="240" w:lineRule="auto"/>
        <w:rPr>
          <w:szCs w:val="22"/>
          <w:lang w:val="sv-SE"/>
        </w:rPr>
      </w:pPr>
      <w:r w:rsidRPr="00893419">
        <w:rPr>
          <w:szCs w:val="22"/>
          <w:lang w:val="sv-SE"/>
        </w:rPr>
        <w:t>Rumänien</w:t>
      </w:r>
    </w:p>
    <w:p w14:paraId="4A7B346B" w14:textId="77777777" w:rsidR="00893419" w:rsidRPr="003E3769" w:rsidRDefault="00893419" w:rsidP="00893419">
      <w:pPr>
        <w:widowControl w:val="0"/>
        <w:numPr>
          <w:ilvl w:val="12"/>
          <w:numId w:val="0"/>
        </w:numPr>
        <w:spacing w:line="240" w:lineRule="auto"/>
        <w:rPr>
          <w:szCs w:val="22"/>
          <w:lang w:val="sv-SE"/>
        </w:rPr>
      </w:pPr>
    </w:p>
    <w:p w14:paraId="3905BF42" w14:textId="77777777" w:rsidR="00CE607D" w:rsidRPr="00087A41" w:rsidRDefault="003E3769" w:rsidP="00463647">
      <w:pPr>
        <w:widowControl w:val="0"/>
        <w:numPr>
          <w:ilvl w:val="12"/>
          <w:numId w:val="0"/>
        </w:numPr>
        <w:spacing w:line="240" w:lineRule="auto"/>
        <w:rPr>
          <w:lang w:val="sv-SE"/>
        </w:rPr>
      </w:pPr>
      <w:r w:rsidRPr="00087A41">
        <w:rPr>
          <w:lang w:val="sv-SE"/>
        </w:rPr>
        <w:t>I läkemedlets tryckta bipacksedel ska namn och adress till tillverkaren som ansvarar för frisläppandet av den relevanta tillverkningssatsen anges.</w:t>
      </w:r>
    </w:p>
    <w:p w14:paraId="2C872C6E" w14:textId="77777777" w:rsidR="003E3769" w:rsidRPr="00087A41" w:rsidRDefault="003E3769" w:rsidP="00463647">
      <w:pPr>
        <w:widowControl w:val="0"/>
        <w:numPr>
          <w:ilvl w:val="12"/>
          <w:numId w:val="0"/>
        </w:numPr>
        <w:spacing w:line="240" w:lineRule="auto"/>
        <w:rPr>
          <w:lang w:val="sv-SE"/>
        </w:rPr>
      </w:pPr>
    </w:p>
    <w:p w14:paraId="58C04F8D" w14:textId="77777777" w:rsidR="003E3769" w:rsidRPr="003E3769" w:rsidRDefault="003E3769" w:rsidP="00463647">
      <w:pPr>
        <w:widowControl w:val="0"/>
        <w:numPr>
          <w:ilvl w:val="12"/>
          <w:numId w:val="0"/>
        </w:numPr>
        <w:spacing w:line="240" w:lineRule="auto"/>
        <w:rPr>
          <w:szCs w:val="22"/>
          <w:lang w:val="sv-SE"/>
        </w:rPr>
      </w:pPr>
    </w:p>
    <w:p w14:paraId="64B8BB06" w14:textId="77777777" w:rsidR="00CE607D" w:rsidRPr="000E7AE9" w:rsidRDefault="00CE607D" w:rsidP="00463647">
      <w:pPr>
        <w:keepNext/>
        <w:widowControl w:val="0"/>
        <w:spacing w:line="240" w:lineRule="auto"/>
        <w:ind w:left="567" w:hanging="567"/>
        <w:rPr>
          <w:color w:val="000000"/>
          <w:szCs w:val="22"/>
          <w:lang w:val="sv-SE"/>
        </w:rPr>
      </w:pPr>
      <w:r w:rsidRPr="000E7AE9">
        <w:rPr>
          <w:b/>
          <w:color w:val="000000"/>
          <w:szCs w:val="22"/>
          <w:lang w:val="sv-SE"/>
        </w:rPr>
        <w:t>B.</w:t>
      </w:r>
      <w:r w:rsidRPr="000E7AE9">
        <w:rPr>
          <w:b/>
          <w:color w:val="000000"/>
          <w:szCs w:val="22"/>
          <w:lang w:val="sv-SE"/>
        </w:rPr>
        <w:tab/>
        <w:t xml:space="preserve">VILLKOR </w:t>
      </w:r>
      <w:r>
        <w:rPr>
          <w:b/>
          <w:color w:val="000000"/>
          <w:szCs w:val="22"/>
          <w:lang w:val="sv-SE"/>
        </w:rPr>
        <w:t xml:space="preserve">ELLER BEGRÄNSNINGAR FÖR </w:t>
      </w:r>
      <w:r w:rsidR="005E4B92">
        <w:rPr>
          <w:b/>
          <w:color w:val="000000"/>
          <w:szCs w:val="22"/>
          <w:lang w:val="sv-SE"/>
        </w:rPr>
        <w:t>TILLHANDAHÅLLANDE</w:t>
      </w:r>
      <w:r>
        <w:rPr>
          <w:b/>
          <w:color w:val="000000"/>
          <w:szCs w:val="22"/>
          <w:lang w:val="sv-SE"/>
        </w:rPr>
        <w:t xml:space="preserve"> OCH ANVÄNDNING</w:t>
      </w:r>
    </w:p>
    <w:p w14:paraId="1DEBB71D" w14:textId="77777777" w:rsidR="00CE607D" w:rsidRPr="006D10C9" w:rsidRDefault="00CE607D" w:rsidP="00463647">
      <w:pPr>
        <w:keepNext/>
        <w:widowControl w:val="0"/>
        <w:tabs>
          <w:tab w:val="clear" w:pos="567"/>
        </w:tabs>
        <w:spacing w:line="240" w:lineRule="auto"/>
        <w:rPr>
          <w:color w:val="000000"/>
          <w:szCs w:val="22"/>
          <w:lang w:val="sv-SE"/>
        </w:rPr>
      </w:pPr>
    </w:p>
    <w:p w14:paraId="76DC9685" w14:textId="77777777" w:rsidR="00CE607D" w:rsidRDefault="00CE607D" w:rsidP="00463647">
      <w:pPr>
        <w:widowControl w:val="0"/>
        <w:tabs>
          <w:tab w:val="clear" w:pos="567"/>
        </w:tabs>
        <w:spacing w:line="240" w:lineRule="auto"/>
        <w:rPr>
          <w:color w:val="000000"/>
          <w:szCs w:val="22"/>
          <w:lang w:val="sv-SE"/>
        </w:rPr>
      </w:pPr>
      <w:r>
        <w:rPr>
          <w:color w:val="000000"/>
          <w:szCs w:val="22"/>
          <w:lang w:val="sv-SE"/>
        </w:rPr>
        <w:t>Läkemedel som med begränsningar lämnas ut mot recept (se bilaga I: Produktresumén, avsnitt 4.2).</w:t>
      </w:r>
    </w:p>
    <w:p w14:paraId="078754FF" w14:textId="77777777" w:rsidR="00CE607D" w:rsidRPr="00BE1E78" w:rsidRDefault="00CE607D" w:rsidP="00463647">
      <w:pPr>
        <w:widowControl w:val="0"/>
        <w:tabs>
          <w:tab w:val="clear" w:pos="567"/>
        </w:tabs>
        <w:spacing w:line="240" w:lineRule="auto"/>
        <w:rPr>
          <w:color w:val="000000"/>
          <w:szCs w:val="22"/>
          <w:lang w:val="sv-SE"/>
        </w:rPr>
      </w:pPr>
    </w:p>
    <w:p w14:paraId="6DD464AB" w14:textId="77777777" w:rsidR="00CE607D" w:rsidRPr="00BE1E78" w:rsidRDefault="00CE607D" w:rsidP="00463647">
      <w:pPr>
        <w:widowControl w:val="0"/>
        <w:tabs>
          <w:tab w:val="clear" w:pos="567"/>
        </w:tabs>
        <w:spacing w:line="240" w:lineRule="auto"/>
        <w:rPr>
          <w:color w:val="000000"/>
          <w:szCs w:val="22"/>
          <w:lang w:val="sv-SE"/>
        </w:rPr>
      </w:pPr>
    </w:p>
    <w:p w14:paraId="0826F081" w14:textId="77777777" w:rsidR="00CE607D" w:rsidRPr="000E7AE9" w:rsidRDefault="00CE607D" w:rsidP="00463647">
      <w:pPr>
        <w:keepNext/>
        <w:widowControl w:val="0"/>
        <w:tabs>
          <w:tab w:val="clear" w:pos="567"/>
        </w:tabs>
        <w:spacing w:line="240" w:lineRule="auto"/>
        <w:rPr>
          <w:b/>
          <w:color w:val="000000"/>
          <w:szCs w:val="22"/>
          <w:lang w:val="sv-SE"/>
        </w:rPr>
      </w:pPr>
      <w:r>
        <w:rPr>
          <w:b/>
          <w:color w:val="000000"/>
          <w:szCs w:val="22"/>
          <w:lang w:val="sv-SE"/>
        </w:rPr>
        <w:t>C.</w:t>
      </w:r>
      <w:r>
        <w:rPr>
          <w:b/>
          <w:color w:val="000000"/>
          <w:szCs w:val="22"/>
          <w:lang w:val="sv-SE"/>
        </w:rPr>
        <w:tab/>
        <w:t>ÖVRIGA VILLKOR OCH KRAV FÖR GODKÄNNANDET FÖR FÖRSÄLJNING</w:t>
      </w:r>
    </w:p>
    <w:p w14:paraId="58E54C6B" w14:textId="77777777" w:rsidR="00CE607D" w:rsidRPr="000E7AE9" w:rsidRDefault="00CE607D" w:rsidP="00463647">
      <w:pPr>
        <w:keepNext/>
        <w:widowControl w:val="0"/>
        <w:tabs>
          <w:tab w:val="clear" w:pos="567"/>
        </w:tabs>
        <w:spacing w:line="240" w:lineRule="auto"/>
        <w:ind w:right="-1"/>
        <w:rPr>
          <w:color w:val="000000"/>
          <w:szCs w:val="22"/>
          <w:lang w:val="sv-SE"/>
        </w:rPr>
      </w:pPr>
    </w:p>
    <w:p w14:paraId="6FB1909E" w14:textId="77777777" w:rsidR="005E4B92" w:rsidRPr="005E4B92" w:rsidRDefault="005E4B92" w:rsidP="00463647">
      <w:pPr>
        <w:keepNext/>
        <w:widowControl w:val="0"/>
        <w:numPr>
          <w:ilvl w:val="0"/>
          <w:numId w:val="32"/>
        </w:numPr>
        <w:spacing w:line="240" w:lineRule="auto"/>
        <w:ind w:right="-1" w:hanging="720"/>
        <w:rPr>
          <w:b/>
          <w:szCs w:val="24"/>
          <w:lang w:val="sv-SE"/>
        </w:rPr>
      </w:pPr>
      <w:r>
        <w:rPr>
          <w:b/>
          <w:szCs w:val="24"/>
          <w:lang w:val="sv-SE"/>
        </w:rPr>
        <w:t>Periodiska säkerhetsrapporter</w:t>
      </w:r>
    </w:p>
    <w:p w14:paraId="0A05DEE2" w14:textId="77777777" w:rsidR="00463647" w:rsidRPr="00463647" w:rsidRDefault="00463647" w:rsidP="00463647">
      <w:pPr>
        <w:keepNext/>
        <w:widowControl w:val="0"/>
        <w:tabs>
          <w:tab w:val="clear" w:pos="567"/>
        </w:tabs>
        <w:spacing w:line="240" w:lineRule="auto"/>
        <w:ind w:right="-1"/>
        <w:rPr>
          <w:color w:val="000000"/>
          <w:szCs w:val="22"/>
          <w:lang w:val="sv-SE"/>
        </w:rPr>
      </w:pPr>
    </w:p>
    <w:p w14:paraId="1E4443B8" w14:textId="1A2600E9" w:rsidR="005E4B92" w:rsidRPr="005E4B92" w:rsidRDefault="003E0CAA" w:rsidP="00463647">
      <w:pPr>
        <w:widowControl w:val="0"/>
        <w:tabs>
          <w:tab w:val="left" w:pos="0"/>
        </w:tabs>
        <w:spacing w:line="240" w:lineRule="auto"/>
        <w:rPr>
          <w:i/>
          <w:szCs w:val="24"/>
          <w:lang w:val="sv-SE"/>
        </w:rPr>
      </w:pPr>
      <w:r>
        <w:rPr>
          <w:szCs w:val="24"/>
          <w:lang w:val="sv-SE"/>
        </w:rPr>
        <w:t>Kraven för att</w:t>
      </w:r>
      <w:r w:rsidR="005E4B92">
        <w:rPr>
          <w:szCs w:val="24"/>
          <w:lang w:val="sv-SE"/>
        </w:rPr>
        <w:t xml:space="preserve"> lämna in periodiska säkerhetsrapporter för detta läkemedel anges i den förteckning över referensdatum för unionen (EURD-listan) som föreskrivs i artikel 107c.7 i direktiv 2001/83/EG och </w:t>
      </w:r>
      <w:r>
        <w:rPr>
          <w:szCs w:val="24"/>
          <w:lang w:val="sv-SE"/>
        </w:rPr>
        <w:t xml:space="preserve">eventuella uppdateringar och </w:t>
      </w:r>
      <w:r w:rsidR="005E4B92">
        <w:rPr>
          <w:szCs w:val="24"/>
          <w:lang w:val="sv-SE"/>
        </w:rPr>
        <w:t>som offentliggjorts på webbportalen för europeiska läkemedel</w:t>
      </w:r>
      <w:r w:rsidR="005E4B92">
        <w:rPr>
          <w:i/>
          <w:szCs w:val="24"/>
          <w:lang w:val="sv-SE"/>
        </w:rPr>
        <w:t>.</w:t>
      </w:r>
    </w:p>
    <w:p w14:paraId="3BE6A57D" w14:textId="77777777" w:rsidR="00CE607D" w:rsidRPr="004A2737" w:rsidRDefault="00CE607D" w:rsidP="00463647">
      <w:pPr>
        <w:widowControl w:val="0"/>
        <w:spacing w:line="240" w:lineRule="auto"/>
        <w:ind w:right="-1"/>
        <w:rPr>
          <w:iCs/>
          <w:noProof/>
          <w:lang w:val="sv-SE"/>
        </w:rPr>
      </w:pPr>
    </w:p>
    <w:p w14:paraId="1A67765E" w14:textId="77777777" w:rsidR="00CE607D" w:rsidRPr="000E7AE9" w:rsidRDefault="00CE607D" w:rsidP="00463647">
      <w:pPr>
        <w:widowControl w:val="0"/>
        <w:tabs>
          <w:tab w:val="clear" w:pos="567"/>
        </w:tabs>
        <w:spacing w:line="240" w:lineRule="auto"/>
        <w:ind w:right="566"/>
        <w:rPr>
          <w:color w:val="000000"/>
          <w:szCs w:val="22"/>
          <w:lang w:val="sv-SE"/>
        </w:rPr>
      </w:pPr>
    </w:p>
    <w:p w14:paraId="0E34B258" w14:textId="77777777" w:rsidR="00CE607D" w:rsidRPr="00AF39CE" w:rsidRDefault="00DE796E" w:rsidP="00463647">
      <w:pPr>
        <w:keepNext/>
        <w:widowControl w:val="0"/>
        <w:tabs>
          <w:tab w:val="clear" w:pos="567"/>
        </w:tabs>
        <w:spacing w:line="240" w:lineRule="auto"/>
        <w:ind w:left="567" w:right="-1" w:hanging="567"/>
        <w:rPr>
          <w:b/>
          <w:noProof/>
          <w:szCs w:val="22"/>
          <w:lang w:val="sv-SE"/>
        </w:rPr>
      </w:pPr>
      <w:r>
        <w:rPr>
          <w:b/>
          <w:noProof/>
          <w:szCs w:val="24"/>
          <w:lang w:val="sv-SE"/>
        </w:rPr>
        <w:t>D.</w:t>
      </w:r>
      <w:r>
        <w:rPr>
          <w:b/>
          <w:szCs w:val="24"/>
          <w:lang w:val="sv-SE"/>
        </w:rPr>
        <w:tab/>
      </w:r>
      <w:r w:rsidR="00CE607D" w:rsidRPr="00AF39CE">
        <w:rPr>
          <w:b/>
          <w:noProof/>
          <w:szCs w:val="22"/>
          <w:lang w:val="sv-SE"/>
        </w:rPr>
        <w:t>VILLKOR ELLER BEGRÄNSNINGAR AVSEENDE EN SÄKER OCH EFFEKTIV ANVÄNDNING AV LÄKEMEDLET</w:t>
      </w:r>
    </w:p>
    <w:p w14:paraId="16AA844E" w14:textId="77777777" w:rsidR="00CE607D" w:rsidRPr="00AF39CE" w:rsidRDefault="00CE607D" w:rsidP="00463647">
      <w:pPr>
        <w:keepNext/>
        <w:widowControl w:val="0"/>
        <w:suppressAutoHyphens/>
        <w:spacing w:line="240" w:lineRule="auto"/>
        <w:rPr>
          <w:noProof/>
          <w:szCs w:val="22"/>
          <w:lang w:val="sv-SE"/>
        </w:rPr>
      </w:pPr>
    </w:p>
    <w:p w14:paraId="26A26FDE" w14:textId="77777777" w:rsidR="003960FF" w:rsidRPr="00AB65DD" w:rsidRDefault="003960FF" w:rsidP="00463647">
      <w:pPr>
        <w:keepNext/>
        <w:widowControl w:val="0"/>
        <w:numPr>
          <w:ilvl w:val="0"/>
          <w:numId w:val="33"/>
        </w:numPr>
        <w:tabs>
          <w:tab w:val="clear" w:pos="720"/>
        </w:tabs>
        <w:spacing w:line="240" w:lineRule="auto"/>
        <w:ind w:left="0" w:right="-1" w:firstLine="0"/>
        <w:rPr>
          <w:b/>
          <w:szCs w:val="24"/>
          <w:lang w:val="sv-SE"/>
        </w:rPr>
      </w:pPr>
      <w:r w:rsidRPr="008504F2">
        <w:rPr>
          <w:b/>
          <w:noProof/>
          <w:szCs w:val="24"/>
        </w:rPr>
        <w:t>Riskhanteringsplan</w:t>
      </w:r>
    </w:p>
    <w:p w14:paraId="40AA4EB9" w14:textId="77777777" w:rsidR="00463647" w:rsidRPr="00463647" w:rsidRDefault="00463647" w:rsidP="00463647">
      <w:pPr>
        <w:keepNext/>
        <w:widowControl w:val="0"/>
        <w:tabs>
          <w:tab w:val="clear" w:pos="567"/>
        </w:tabs>
        <w:spacing w:line="240" w:lineRule="auto"/>
        <w:ind w:right="-1"/>
        <w:rPr>
          <w:color w:val="000000"/>
          <w:szCs w:val="22"/>
          <w:lang w:val="sv-SE"/>
        </w:rPr>
      </w:pPr>
    </w:p>
    <w:p w14:paraId="609AD616" w14:textId="77777777" w:rsidR="003960FF" w:rsidRPr="00FD0462" w:rsidRDefault="003960FF" w:rsidP="00463647">
      <w:pPr>
        <w:widowControl w:val="0"/>
        <w:spacing w:line="240" w:lineRule="auto"/>
        <w:rPr>
          <w:i/>
          <w:noProof/>
          <w:color w:val="008000"/>
          <w:szCs w:val="24"/>
          <w:lang w:val="sv-SE"/>
        </w:rPr>
      </w:pPr>
      <w:r w:rsidRPr="00FD0462">
        <w:rPr>
          <w:noProof/>
          <w:szCs w:val="24"/>
          <w:lang w:val="sv-SE"/>
        </w:rPr>
        <w:t xml:space="preserve">Innehavaren av godkännandet för försäljning ska genomföra de erforderliga farmakovigilansaktiviteter och -åtgärder som finns beskrivna </w:t>
      </w:r>
      <w:r>
        <w:rPr>
          <w:noProof/>
          <w:szCs w:val="24"/>
          <w:lang w:val="sv-SE"/>
        </w:rPr>
        <w:t xml:space="preserve">i den överenskomna </w:t>
      </w:r>
      <w:r w:rsidRPr="00FD0462">
        <w:rPr>
          <w:noProof/>
          <w:szCs w:val="24"/>
          <w:lang w:val="sv-SE"/>
        </w:rPr>
        <w:t xml:space="preserve">riskhanteringsplanen (Risk Management Plan, RMP) som finns i modul 1.8.2. i godkännandet för försäljning samt eventuella efterföljande </w:t>
      </w:r>
      <w:r>
        <w:rPr>
          <w:noProof/>
          <w:szCs w:val="24"/>
          <w:lang w:val="sv-SE"/>
        </w:rPr>
        <w:t xml:space="preserve">överenskomna </w:t>
      </w:r>
      <w:r w:rsidRPr="00FD0462">
        <w:rPr>
          <w:noProof/>
          <w:szCs w:val="24"/>
          <w:lang w:val="sv-SE"/>
        </w:rPr>
        <w:t>uppdateringar av riskhanteringsplanen.</w:t>
      </w:r>
    </w:p>
    <w:p w14:paraId="2F1403C1" w14:textId="77777777" w:rsidR="003960FF" w:rsidRDefault="003960FF" w:rsidP="00463647">
      <w:pPr>
        <w:widowControl w:val="0"/>
        <w:spacing w:line="240" w:lineRule="auto"/>
        <w:ind w:right="-1"/>
        <w:rPr>
          <w:szCs w:val="24"/>
          <w:lang w:val="sv-SE"/>
        </w:rPr>
      </w:pPr>
    </w:p>
    <w:p w14:paraId="2DE0BCF6" w14:textId="77777777" w:rsidR="003960FF" w:rsidRDefault="003960FF" w:rsidP="00463647">
      <w:pPr>
        <w:keepNext/>
        <w:widowControl w:val="0"/>
        <w:spacing w:line="240" w:lineRule="auto"/>
        <w:rPr>
          <w:szCs w:val="24"/>
          <w:lang w:val="sv-SE"/>
        </w:rPr>
      </w:pPr>
      <w:r>
        <w:rPr>
          <w:noProof/>
          <w:szCs w:val="24"/>
          <w:lang w:val="sv-SE"/>
        </w:rPr>
        <w:t>En uppdaterad riskhanteringsplan ska lämnas in</w:t>
      </w:r>
    </w:p>
    <w:p w14:paraId="21BDE589" w14:textId="77777777" w:rsidR="003960FF" w:rsidRDefault="003960FF" w:rsidP="00463647">
      <w:pPr>
        <w:keepNext/>
        <w:widowControl w:val="0"/>
        <w:numPr>
          <w:ilvl w:val="0"/>
          <w:numId w:val="24"/>
        </w:numPr>
        <w:tabs>
          <w:tab w:val="clear" w:pos="567"/>
          <w:tab w:val="clear" w:pos="720"/>
          <w:tab w:val="num" w:pos="-6804"/>
        </w:tabs>
        <w:spacing w:line="240" w:lineRule="auto"/>
        <w:ind w:left="567" w:right="-1" w:hanging="567"/>
        <w:rPr>
          <w:szCs w:val="24"/>
          <w:lang w:val="sv-SE"/>
        </w:rPr>
      </w:pPr>
      <w:r>
        <w:rPr>
          <w:noProof/>
          <w:szCs w:val="24"/>
          <w:lang w:val="sv-SE"/>
        </w:rPr>
        <w:t>på begäran av Europeiska läkemedelsmyndigheten,</w:t>
      </w:r>
    </w:p>
    <w:p w14:paraId="0D1B8D24" w14:textId="77777777" w:rsidR="003960FF" w:rsidRPr="00267982" w:rsidRDefault="003960FF" w:rsidP="00893419">
      <w:pPr>
        <w:keepLines/>
        <w:widowControl w:val="0"/>
        <w:numPr>
          <w:ilvl w:val="0"/>
          <w:numId w:val="24"/>
        </w:numPr>
        <w:tabs>
          <w:tab w:val="clear" w:pos="567"/>
          <w:tab w:val="clear" w:pos="720"/>
        </w:tabs>
        <w:spacing w:line="240" w:lineRule="auto"/>
        <w:ind w:left="567" w:hanging="567"/>
        <w:rPr>
          <w:szCs w:val="24"/>
          <w:lang w:val="sv-SE"/>
        </w:rPr>
      </w:pPr>
      <w:r w:rsidRPr="00FD0462">
        <w:rPr>
          <w:noProof/>
          <w:szCs w:val="24"/>
          <w:lang w:val="sv-SE"/>
        </w:rPr>
        <w:t>när riskhanteringssystemet ändras, särskilt efter att ny information framkommit som kan leda till betydande ändringar i läkemedlets nytta-riskprofil eller efter att en viktig milstolpe</w:t>
      </w:r>
      <w:r>
        <w:rPr>
          <w:noProof/>
          <w:szCs w:val="24"/>
          <w:lang w:val="sv-SE"/>
        </w:rPr>
        <w:t xml:space="preserve"> </w:t>
      </w:r>
      <w:r w:rsidRPr="00FD0462">
        <w:rPr>
          <w:noProof/>
          <w:szCs w:val="24"/>
          <w:lang w:val="sv-SE"/>
        </w:rPr>
        <w:t>(för farmakovigilans eller riskminimering) har nåtts.</w:t>
      </w:r>
    </w:p>
    <w:p w14:paraId="750265C8" w14:textId="77777777" w:rsidR="00CE607D" w:rsidRPr="00CE607D" w:rsidRDefault="00CE607D" w:rsidP="00463647">
      <w:pPr>
        <w:widowControl w:val="0"/>
        <w:suppressAutoHyphens/>
        <w:spacing w:line="240" w:lineRule="auto"/>
        <w:rPr>
          <w:noProof/>
          <w:szCs w:val="22"/>
          <w:lang w:val="sv-SE"/>
        </w:rPr>
      </w:pPr>
    </w:p>
    <w:p w14:paraId="7807A356" w14:textId="77777777" w:rsidR="00FD4105" w:rsidRDefault="00FD4105" w:rsidP="00463647">
      <w:pPr>
        <w:keepNext/>
        <w:keepLines/>
        <w:widowControl w:val="0"/>
        <w:numPr>
          <w:ilvl w:val="0"/>
          <w:numId w:val="33"/>
        </w:numPr>
        <w:tabs>
          <w:tab w:val="clear" w:pos="720"/>
        </w:tabs>
        <w:spacing w:line="240" w:lineRule="auto"/>
        <w:ind w:hanging="720"/>
        <w:rPr>
          <w:b/>
          <w:szCs w:val="24"/>
          <w:lang w:val="sv-SE"/>
        </w:rPr>
      </w:pPr>
      <w:r>
        <w:rPr>
          <w:b/>
          <w:noProof/>
          <w:szCs w:val="24"/>
          <w:lang w:val="sv-SE"/>
        </w:rPr>
        <w:lastRenderedPageBreak/>
        <w:t>Skyldighet att vidta åtgärder efter godkännande för försäljning</w:t>
      </w:r>
    </w:p>
    <w:p w14:paraId="581219D8" w14:textId="77777777" w:rsidR="00FD4105" w:rsidRPr="00A70795" w:rsidRDefault="00FD4105" w:rsidP="00463647">
      <w:pPr>
        <w:keepNext/>
        <w:keepLines/>
        <w:widowControl w:val="0"/>
        <w:spacing w:line="240" w:lineRule="auto"/>
        <w:rPr>
          <w:szCs w:val="24"/>
          <w:lang w:val="sv-SE"/>
        </w:rPr>
      </w:pPr>
    </w:p>
    <w:p w14:paraId="49765A32" w14:textId="77777777" w:rsidR="00FD4105" w:rsidRPr="001E5457" w:rsidRDefault="00FD4105" w:rsidP="00463647">
      <w:pPr>
        <w:keepNext/>
        <w:keepLines/>
        <w:widowControl w:val="0"/>
        <w:spacing w:line="240" w:lineRule="auto"/>
        <w:rPr>
          <w:szCs w:val="24"/>
          <w:lang w:val="sv-SE"/>
        </w:rPr>
      </w:pPr>
      <w:r w:rsidRPr="001E5457">
        <w:rPr>
          <w:noProof/>
          <w:szCs w:val="24"/>
          <w:lang w:val="sv-SE"/>
        </w:rPr>
        <w:t>Innehavaren av godkännandet för försäljning ska inom den angivna tidsramen vidta nedanstående åtgärder:</w:t>
      </w:r>
    </w:p>
    <w:p w14:paraId="5C6F0B20" w14:textId="77777777" w:rsidR="00FD4105" w:rsidRDefault="00FD4105" w:rsidP="00463647">
      <w:pPr>
        <w:keepNext/>
        <w:keepLines/>
        <w:widowControl w:val="0"/>
        <w:spacing w:line="240" w:lineRule="auto"/>
        <w:rPr>
          <w:i/>
          <w:szCs w:val="24"/>
          <w:lang w:val="sv-SE"/>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7"/>
        <w:gridCol w:w="1613"/>
      </w:tblGrid>
      <w:tr w:rsidR="00FD4105" w:rsidRPr="00267982" w14:paraId="6074E8A9" w14:textId="77777777" w:rsidTr="00463647">
        <w:trPr>
          <w:cantSplit/>
        </w:trPr>
        <w:tc>
          <w:tcPr>
            <w:tcW w:w="4092" w:type="pct"/>
          </w:tcPr>
          <w:p w14:paraId="2B0AB819" w14:textId="77777777" w:rsidR="00FD4105" w:rsidRPr="00267982" w:rsidRDefault="00FD4105" w:rsidP="00463647">
            <w:pPr>
              <w:keepNext/>
              <w:keepLines/>
              <w:widowControl w:val="0"/>
              <w:spacing w:line="240" w:lineRule="auto"/>
              <w:rPr>
                <w:b/>
                <w:szCs w:val="24"/>
              </w:rPr>
            </w:pPr>
            <w:r w:rsidRPr="00267982">
              <w:rPr>
                <w:b/>
                <w:noProof/>
                <w:szCs w:val="24"/>
              </w:rPr>
              <w:t>Beskrivning</w:t>
            </w:r>
          </w:p>
        </w:tc>
        <w:tc>
          <w:tcPr>
            <w:tcW w:w="908" w:type="pct"/>
          </w:tcPr>
          <w:p w14:paraId="55455905" w14:textId="77777777" w:rsidR="00FD4105" w:rsidRPr="00267982" w:rsidRDefault="00FD4105" w:rsidP="00463647">
            <w:pPr>
              <w:keepNext/>
              <w:keepLines/>
              <w:widowControl w:val="0"/>
              <w:spacing w:line="240" w:lineRule="auto"/>
              <w:rPr>
                <w:b/>
                <w:szCs w:val="24"/>
              </w:rPr>
            </w:pPr>
            <w:r w:rsidRPr="00267982">
              <w:rPr>
                <w:b/>
                <w:noProof/>
                <w:szCs w:val="24"/>
              </w:rPr>
              <w:t>Förfallodatum</w:t>
            </w:r>
          </w:p>
        </w:tc>
      </w:tr>
      <w:tr w:rsidR="00FD4105" w:rsidRPr="00DE3DF4" w14:paraId="1F8814AA" w14:textId="77777777" w:rsidTr="00463647">
        <w:trPr>
          <w:cantSplit/>
        </w:trPr>
        <w:tc>
          <w:tcPr>
            <w:tcW w:w="4092" w:type="pct"/>
          </w:tcPr>
          <w:p w14:paraId="000E7F0E" w14:textId="77777777" w:rsidR="00FD4105" w:rsidRPr="00DE3DF4" w:rsidRDefault="00FD4105" w:rsidP="00463647">
            <w:pPr>
              <w:keepNext/>
              <w:keepLines/>
              <w:widowControl w:val="0"/>
              <w:spacing w:line="240" w:lineRule="auto"/>
              <w:rPr>
                <w:szCs w:val="24"/>
                <w:lang w:val="sv-SE"/>
              </w:rPr>
            </w:pPr>
            <w:r w:rsidRPr="00DE3DF4">
              <w:rPr>
                <w:szCs w:val="24"/>
                <w:lang w:val="sv-SE"/>
              </w:rPr>
              <w:t>Att genomföra ett observationsregister med</w:t>
            </w:r>
            <w:r>
              <w:rPr>
                <w:szCs w:val="24"/>
                <w:lang w:val="sv-SE"/>
              </w:rPr>
              <w:t xml:space="preserve"> insamling av effekt- och säkerhetsdata hos barn med nydiagnostiserad Ph+ a</w:t>
            </w:r>
            <w:r w:rsidR="00A975AA">
              <w:rPr>
                <w:szCs w:val="24"/>
                <w:lang w:val="sv-SE"/>
              </w:rPr>
              <w:t>kut lymfoblastisk leukemi (ALL)</w:t>
            </w:r>
            <w:r>
              <w:rPr>
                <w:szCs w:val="24"/>
                <w:lang w:val="sv-SE"/>
              </w:rPr>
              <w:t xml:space="preserve"> som behandlas med kemoterapi + imatinib </w:t>
            </w:r>
            <w:r w:rsidRPr="00DE3DF4">
              <w:rPr>
                <w:lang w:val="sv-SE"/>
              </w:rPr>
              <w:t>±</w:t>
            </w:r>
            <w:r>
              <w:rPr>
                <w:lang w:val="sv-SE"/>
              </w:rPr>
              <w:t xml:space="preserve"> HSCT. Inlämning av final studierapport.</w:t>
            </w:r>
          </w:p>
        </w:tc>
        <w:tc>
          <w:tcPr>
            <w:tcW w:w="908" w:type="pct"/>
          </w:tcPr>
          <w:p w14:paraId="472CDF87" w14:textId="7D2979C3" w:rsidR="00FD4105" w:rsidRPr="00DE3DF4" w:rsidRDefault="0023571A" w:rsidP="0023571A">
            <w:pPr>
              <w:keepNext/>
              <w:keepLines/>
              <w:widowControl w:val="0"/>
              <w:spacing w:line="240" w:lineRule="auto"/>
              <w:rPr>
                <w:szCs w:val="24"/>
                <w:lang w:val="sv-SE"/>
              </w:rPr>
            </w:pPr>
            <w:r>
              <w:t>2</w:t>
            </w:r>
            <w:r w:rsidR="00C15C68">
              <w:t>3/06/202</w:t>
            </w:r>
            <w:r w:rsidR="004A47F3">
              <w:t>3</w:t>
            </w:r>
          </w:p>
        </w:tc>
      </w:tr>
    </w:tbl>
    <w:p w14:paraId="428D7DF9" w14:textId="77777777" w:rsidR="00CE607D" w:rsidRPr="000E7AE9" w:rsidRDefault="00CE607D" w:rsidP="00463647">
      <w:pPr>
        <w:widowControl w:val="0"/>
        <w:tabs>
          <w:tab w:val="clear" w:pos="567"/>
        </w:tabs>
        <w:spacing w:line="240" w:lineRule="auto"/>
        <w:ind w:right="566"/>
        <w:rPr>
          <w:color w:val="000000"/>
          <w:szCs w:val="22"/>
          <w:lang w:val="sv-SE"/>
        </w:rPr>
      </w:pPr>
      <w:r w:rsidRPr="000E7AE9">
        <w:rPr>
          <w:color w:val="000000"/>
          <w:szCs w:val="22"/>
          <w:lang w:val="sv-SE"/>
        </w:rPr>
        <w:br w:type="page"/>
      </w:r>
    </w:p>
    <w:p w14:paraId="4926867C" w14:textId="77777777" w:rsidR="00CE607D" w:rsidRPr="000E7AE9" w:rsidRDefault="00CE607D" w:rsidP="00463647">
      <w:pPr>
        <w:widowControl w:val="0"/>
        <w:tabs>
          <w:tab w:val="clear" w:pos="567"/>
        </w:tabs>
        <w:spacing w:line="240" w:lineRule="auto"/>
        <w:ind w:right="566"/>
        <w:rPr>
          <w:color w:val="000000"/>
          <w:szCs w:val="22"/>
          <w:lang w:val="sv-SE"/>
        </w:rPr>
      </w:pPr>
    </w:p>
    <w:p w14:paraId="66021265" w14:textId="77777777" w:rsidR="00CE607D" w:rsidRPr="000E7AE9" w:rsidRDefault="00CE607D" w:rsidP="00463647">
      <w:pPr>
        <w:widowControl w:val="0"/>
        <w:tabs>
          <w:tab w:val="clear" w:pos="567"/>
        </w:tabs>
        <w:spacing w:line="240" w:lineRule="auto"/>
        <w:ind w:right="566"/>
        <w:rPr>
          <w:color w:val="000000"/>
          <w:szCs w:val="22"/>
          <w:lang w:val="sv-SE"/>
        </w:rPr>
      </w:pPr>
    </w:p>
    <w:p w14:paraId="7888943D" w14:textId="77777777" w:rsidR="00CE607D" w:rsidRPr="000E7AE9" w:rsidRDefault="00CE607D" w:rsidP="00463647">
      <w:pPr>
        <w:widowControl w:val="0"/>
        <w:tabs>
          <w:tab w:val="clear" w:pos="567"/>
        </w:tabs>
        <w:spacing w:line="240" w:lineRule="auto"/>
        <w:rPr>
          <w:color w:val="000000"/>
          <w:szCs w:val="22"/>
          <w:lang w:val="sv-SE"/>
        </w:rPr>
      </w:pPr>
    </w:p>
    <w:p w14:paraId="2AABE96A" w14:textId="77777777" w:rsidR="00CE607D" w:rsidRPr="000E7AE9" w:rsidRDefault="00CE607D" w:rsidP="00463647">
      <w:pPr>
        <w:widowControl w:val="0"/>
        <w:tabs>
          <w:tab w:val="clear" w:pos="567"/>
        </w:tabs>
        <w:spacing w:line="240" w:lineRule="auto"/>
        <w:rPr>
          <w:color w:val="000000"/>
          <w:szCs w:val="22"/>
          <w:lang w:val="sv-SE"/>
        </w:rPr>
      </w:pPr>
    </w:p>
    <w:p w14:paraId="202647B9" w14:textId="77777777" w:rsidR="00CE607D" w:rsidRPr="000E7AE9" w:rsidRDefault="00CE607D" w:rsidP="00463647">
      <w:pPr>
        <w:widowControl w:val="0"/>
        <w:tabs>
          <w:tab w:val="clear" w:pos="567"/>
        </w:tabs>
        <w:spacing w:line="240" w:lineRule="auto"/>
        <w:rPr>
          <w:color w:val="000000"/>
          <w:szCs w:val="22"/>
          <w:lang w:val="sv-SE"/>
        </w:rPr>
      </w:pPr>
    </w:p>
    <w:p w14:paraId="779A513B" w14:textId="77777777" w:rsidR="00CE607D" w:rsidRPr="000E7AE9" w:rsidRDefault="00CE607D" w:rsidP="00463647">
      <w:pPr>
        <w:widowControl w:val="0"/>
        <w:tabs>
          <w:tab w:val="clear" w:pos="567"/>
        </w:tabs>
        <w:spacing w:line="240" w:lineRule="auto"/>
        <w:rPr>
          <w:color w:val="000000"/>
          <w:szCs w:val="22"/>
          <w:lang w:val="sv-SE"/>
        </w:rPr>
      </w:pPr>
    </w:p>
    <w:p w14:paraId="762B3A25" w14:textId="77777777" w:rsidR="00CE607D" w:rsidRPr="000E7AE9" w:rsidRDefault="00CE607D" w:rsidP="00463647">
      <w:pPr>
        <w:widowControl w:val="0"/>
        <w:tabs>
          <w:tab w:val="clear" w:pos="567"/>
        </w:tabs>
        <w:spacing w:line="240" w:lineRule="auto"/>
        <w:rPr>
          <w:color w:val="000000"/>
          <w:szCs w:val="22"/>
          <w:lang w:val="sv-SE"/>
        </w:rPr>
      </w:pPr>
    </w:p>
    <w:p w14:paraId="73628510" w14:textId="77777777" w:rsidR="00CE607D" w:rsidRPr="000E7AE9" w:rsidRDefault="00CE607D" w:rsidP="00463647">
      <w:pPr>
        <w:widowControl w:val="0"/>
        <w:tabs>
          <w:tab w:val="clear" w:pos="567"/>
        </w:tabs>
        <w:spacing w:line="240" w:lineRule="auto"/>
        <w:rPr>
          <w:color w:val="000000"/>
          <w:szCs w:val="22"/>
          <w:lang w:val="sv-SE"/>
        </w:rPr>
      </w:pPr>
    </w:p>
    <w:p w14:paraId="2597BF1C" w14:textId="77777777" w:rsidR="00CE607D" w:rsidRPr="000E7AE9" w:rsidRDefault="00CE607D" w:rsidP="00463647">
      <w:pPr>
        <w:widowControl w:val="0"/>
        <w:tabs>
          <w:tab w:val="clear" w:pos="567"/>
        </w:tabs>
        <w:spacing w:line="240" w:lineRule="auto"/>
        <w:rPr>
          <w:color w:val="000000"/>
          <w:szCs w:val="22"/>
          <w:lang w:val="sv-SE"/>
        </w:rPr>
      </w:pPr>
    </w:p>
    <w:p w14:paraId="498B583C" w14:textId="77777777" w:rsidR="00CE607D" w:rsidRPr="000E7AE9" w:rsidRDefault="00CE607D" w:rsidP="00463647">
      <w:pPr>
        <w:widowControl w:val="0"/>
        <w:tabs>
          <w:tab w:val="clear" w:pos="567"/>
        </w:tabs>
        <w:spacing w:line="240" w:lineRule="auto"/>
        <w:rPr>
          <w:color w:val="000000"/>
          <w:szCs w:val="22"/>
          <w:lang w:val="sv-SE"/>
        </w:rPr>
      </w:pPr>
    </w:p>
    <w:p w14:paraId="01C4BF15" w14:textId="77777777" w:rsidR="00CE607D" w:rsidRPr="000E7AE9" w:rsidRDefault="00CE607D" w:rsidP="00463647">
      <w:pPr>
        <w:widowControl w:val="0"/>
        <w:tabs>
          <w:tab w:val="clear" w:pos="567"/>
        </w:tabs>
        <w:spacing w:line="240" w:lineRule="auto"/>
        <w:rPr>
          <w:color w:val="000000"/>
          <w:szCs w:val="22"/>
          <w:lang w:val="sv-SE"/>
        </w:rPr>
      </w:pPr>
    </w:p>
    <w:p w14:paraId="73E32E77" w14:textId="77777777" w:rsidR="00CE607D" w:rsidRPr="000E7AE9" w:rsidRDefault="00CE607D" w:rsidP="00463647">
      <w:pPr>
        <w:widowControl w:val="0"/>
        <w:tabs>
          <w:tab w:val="clear" w:pos="567"/>
        </w:tabs>
        <w:spacing w:line="240" w:lineRule="auto"/>
        <w:rPr>
          <w:color w:val="000000"/>
          <w:szCs w:val="22"/>
          <w:lang w:val="sv-SE"/>
        </w:rPr>
      </w:pPr>
    </w:p>
    <w:p w14:paraId="6D7A8105" w14:textId="77777777" w:rsidR="00CE607D" w:rsidRPr="000E7AE9" w:rsidRDefault="00CE607D" w:rsidP="00463647">
      <w:pPr>
        <w:widowControl w:val="0"/>
        <w:tabs>
          <w:tab w:val="clear" w:pos="567"/>
        </w:tabs>
        <w:spacing w:line="240" w:lineRule="auto"/>
        <w:rPr>
          <w:color w:val="000000"/>
          <w:szCs w:val="22"/>
          <w:lang w:val="sv-SE"/>
        </w:rPr>
      </w:pPr>
    </w:p>
    <w:p w14:paraId="0FB47C0E" w14:textId="77777777" w:rsidR="00CE607D" w:rsidRPr="000E7AE9" w:rsidRDefault="00CE607D" w:rsidP="00463647">
      <w:pPr>
        <w:widowControl w:val="0"/>
        <w:tabs>
          <w:tab w:val="clear" w:pos="567"/>
        </w:tabs>
        <w:spacing w:line="240" w:lineRule="auto"/>
        <w:rPr>
          <w:color w:val="000000"/>
          <w:szCs w:val="22"/>
          <w:lang w:val="sv-SE"/>
        </w:rPr>
      </w:pPr>
    </w:p>
    <w:p w14:paraId="1A07D378" w14:textId="77777777" w:rsidR="00CE607D" w:rsidRPr="000E7AE9" w:rsidRDefault="00CE607D" w:rsidP="00463647">
      <w:pPr>
        <w:widowControl w:val="0"/>
        <w:tabs>
          <w:tab w:val="clear" w:pos="567"/>
        </w:tabs>
        <w:spacing w:line="240" w:lineRule="auto"/>
        <w:rPr>
          <w:color w:val="000000"/>
          <w:szCs w:val="22"/>
          <w:lang w:val="sv-SE"/>
        </w:rPr>
      </w:pPr>
    </w:p>
    <w:p w14:paraId="394866C7" w14:textId="77777777" w:rsidR="00CE607D" w:rsidRPr="000E7AE9" w:rsidRDefault="00CE607D" w:rsidP="00463647">
      <w:pPr>
        <w:widowControl w:val="0"/>
        <w:tabs>
          <w:tab w:val="clear" w:pos="567"/>
        </w:tabs>
        <w:spacing w:line="240" w:lineRule="auto"/>
        <w:rPr>
          <w:color w:val="000000"/>
          <w:szCs w:val="22"/>
          <w:lang w:val="sv-SE"/>
        </w:rPr>
      </w:pPr>
    </w:p>
    <w:p w14:paraId="299BC55F" w14:textId="77777777" w:rsidR="00CE607D" w:rsidRPr="000E7AE9" w:rsidRDefault="00CE607D" w:rsidP="00463647">
      <w:pPr>
        <w:widowControl w:val="0"/>
        <w:tabs>
          <w:tab w:val="clear" w:pos="567"/>
        </w:tabs>
        <w:spacing w:line="240" w:lineRule="auto"/>
        <w:rPr>
          <w:color w:val="000000"/>
          <w:szCs w:val="22"/>
          <w:lang w:val="sv-SE"/>
        </w:rPr>
      </w:pPr>
    </w:p>
    <w:p w14:paraId="57EFA8A0" w14:textId="77777777" w:rsidR="00CE607D" w:rsidRPr="000E7AE9" w:rsidRDefault="00CE607D" w:rsidP="00463647">
      <w:pPr>
        <w:widowControl w:val="0"/>
        <w:tabs>
          <w:tab w:val="clear" w:pos="567"/>
        </w:tabs>
        <w:spacing w:line="240" w:lineRule="auto"/>
        <w:rPr>
          <w:color w:val="000000"/>
          <w:szCs w:val="22"/>
          <w:lang w:val="sv-SE"/>
        </w:rPr>
      </w:pPr>
    </w:p>
    <w:p w14:paraId="2024D72C" w14:textId="77777777" w:rsidR="00CE607D" w:rsidRPr="000E7AE9" w:rsidRDefault="00CE607D" w:rsidP="00463647">
      <w:pPr>
        <w:widowControl w:val="0"/>
        <w:tabs>
          <w:tab w:val="clear" w:pos="567"/>
        </w:tabs>
        <w:spacing w:line="240" w:lineRule="auto"/>
        <w:rPr>
          <w:color w:val="000000"/>
          <w:szCs w:val="22"/>
          <w:lang w:val="sv-SE"/>
        </w:rPr>
      </w:pPr>
    </w:p>
    <w:p w14:paraId="405F6CAE" w14:textId="77777777" w:rsidR="00CE607D" w:rsidRPr="000E7AE9" w:rsidRDefault="00CE607D" w:rsidP="00463647">
      <w:pPr>
        <w:widowControl w:val="0"/>
        <w:tabs>
          <w:tab w:val="clear" w:pos="567"/>
        </w:tabs>
        <w:spacing w:line="240" w:lineRule="auto"/>
        <w:rPr>
          <w:color w:val="000000"/>
          <w:szCs w:val="22"/>
          <w:lang w:val="sv-SE"/>
        </w:rPr>
      </w:pPr>
    </w:p>
    <w:p w14:paraId="27D923CF" w14:textId="77777777" w:rsidR="00CE607D" w:rsidRDefault="00CE607D" w:rsidP="00463647">
      <w:pPr>
        <w:widowControl w:val="0"/>
        <w:tabs>
          <w:tab w:val="clear" w:pos="567"/>
        </w:tabs>
        <w:spacing w:line="240" w:lineRule="auto"/>
        <w:rPr>
          <w:color w:val="000000"/>
          <w:szCs w:val="22"/>
          <w:lang w:val="sv-SE"/>
        </w:rPr>
      </w:pPr>
    </w:p>
    <w:p w14:paraId="503F7272" w14:textId="77777777" w:rsidR="00FB5960" w:rsidRPr="000E7AE9" w:rsidRDefault="00FB5960" w:rsidP="00463647">
      <w:pPr>
        <w:widowControl w:val="0"/>
        <w:tabs>
          <w:tab w:val="clear" w:pos="567"/>
        </w:tabs>
        <w:spacing w:line="240" w:lineRule="auto"/>
        <w:rPr>
          <w:color w:val="000000"/>
          <w:szCs w:val="22"/>
          <w:lang w:val="sv-SE"/>
        </w:rPr>
      </w:pPr>
    </w:p>
    <w:p w14:paraId="2D166CBC" w14:textId="77777777" w:rsidR="00CE607D" w:rsidRPr="000E7AE9" w:rsidRDefault="00CE607D" w:rsidP="00463647">
      <w:pPr>
        <w:widowControl w:val="0"/>
        <w:tabs>
          <w:tab w:val="clear" w:pos="567"/>
        </w:tabs>
        <w:spacing w:line="240" w:lineRule="auto"/>
        <w:rPr>
          <w:color w:val="000000"/>
          <w:szCs w:val="22"/>
          <w:lang w:val="sv-SE"/>
        </w:rPr>
      </w:pPr>
    </w:p>
    <w:p w14:paraId="505642A9" w14:textId="77777777" w:rsidR="00CE607D" w:rsidRPr="000E7AE9" w:rsidRDefault="00CE607D" w:rsidP="00463647">
      <w:pPr>
        <w:widowControl w:val="0"/>
        <w:tabs>
          <w:tab w:val="clear" w:pos="567"/>
        </w:tabs>
        <w:spacing w:line="240" w:lineRule="auto"/>
        <w:jc w:val="center"/>
        <w:rPr>
          <w:b/>
          <w:color w:val="000000"/>
          <w:szCs w:val="22"/>
          <w:lang w:val="sv-SE"/>
        </w:rPr>
      </w:pPr>
      <w:r w:rsidRPr="000E7AE9">
        <w:rPr>
          <w:b/>
          <w:color w:val="000000"/>
          <w:szCs w:val="22"/>
          <w:lang w:val="sv-SE"/>
        </w:rPr>
        <w:t>BILAGA III</w:t>
      </w:r>
    </w:p>
    <w:p w14:paraId="1848297C" w14:textId="77777777" w:rsidR="00CE607D" w:rsidRPr="000E7AE9" w:rsidRDefault="00CE607D" w:rsidP="00463647">
      <w:pPr>
        <w:widowControl w:val="0"/>
        <w:tabs>
          <w:tab w:val="clear" w:pos="567"/>
        </w:tabs>
        <w:spacing w:line="240" w:lineRule="auto"/>
        <w:jc w:val="center"/>
        <w:rPr>
          <w:color w:val="000000"/>
          <w:szCs w:val="22"/>
          <w:lang w:val="sv-SE"/>
        </w:rPr>
      </w:pPr>
    </w:p>
    <w:p w14:paraId="236C3697" w14:textId="77777777" w:rsidR="00CE607D" w:rsidRPr="000E7AE9" w:rsidRDefault="00CE607D" w:rsidP="00463647">
      <w:pPr>
        <w:widowControl w:val="0"/>
        <w:tabs>
          <w:tab w:val="clear" w:pos="567"/>
        </w:tabs>
        <w:spacing w:line="240" w:lineRule="auto"/>
        <w:jc w:val="center"/>
        <w:rPr>
          <w:b/>
          <w:color w:val="000000"/>
          <w:szCs w:val="22"/>
          <w:lang w:val="sv-SE"/>
        </w:rPr>
      </w:pPr>
      <w:r w:rsidRPr="000E7AE9">
        <w:rPr>
          <w:b/>
          <w:color w:val="000000"/>
          <w:szCs w:val="22"/>
          <w:lang w:val="sv-SE"/>
        </w:rPr>
        <w:t>MÄRKNING OCH BIPACKSEDEL</w:t>
      </w:r>
    </w:p>
    <w:p w14:paraId="09770FB5" w14:textId="77777777" w:rsidR="00CE607D" w:rsidRPr="000E7AE9" w:rsidRDefault="00CE607D" w:rsidP="00463647">
      <w:pPr>
        <w:pStyle w:val="EndnoteText"/>
        <w:widowControl w:val="0"/>
        <w:tabs>
          <w:tab w:val="clear" w:pos="567"/>
        </w:tabs>
        <w:rPr>
          <w:color w:val="000000"/>
          <w:szCs w:val="22"/>
          <w:lang w:val="sv-SE"/>
        </w:rPr>
      </w:pPr>
      <w:r w:rsidRPr="000E7AE9">
        <w:rPr>
          <w:color w:val="000000"/>
          <w:szCs w:val="22"/>
          <w:lang w:val="sv-SE"/>
        </w:rPr>
        <w:br w:type="page"/>
      </w:r>
    </w:p>
    <w:p w14:paraId="37A245DB" w14:textId="77777777" w:rsidR="00CE607D" w:rsidRPr="000E7AE9" w:rsidRDefault="00CE607D" w:rsidP="00463647">
      <w:pPr>
        <w:widowControl w:val="0"/>
        <w:tabs>
          <w:tab w:val="clear" w:pos="567"/>
        </w:tabs>
        <w:spacing w:line="240" w:lineRule="auto"/>
        <w:rPr>
          <w:color w:val="000000"/>
          <w:szCs w:val="22"/>
          <w:lang w:val="sv-SE"/>
        </w:rPr>
      </w:pPr>
    </w:p>
    <w:p w14:paraId="675EB7C0" w14:textId="77777777" w:rsidR="00CE607D" w:rsidRPr="000E7AE9" w:rsidRDefault="00CE607D" w:rsidP="00463647">
      <w:pPr>
        <w:widowControl w:val="0"/>
        <w:tabs>
          <w:tab w:val="clear" w:pos="567"/>
        </w:tabs>
        <w:spacing w:line="240" w:lineRule="auto"/>
        <w:rPr>
          <w:color w:val="000000"/>
          <w:szCs w:val="22"/>
          <w:lang w:val="sv-SE"/>
        </w:rPr>
      </w:pPr>
    </w:p>
    <w:p w14:paraId="37BC2EBF" w14:textId="77777777" w:rsidR="00CE607D" w:rsidRPr="000E7AE9" w:rsidRDefault="00CE607D" w:rsidP="00463647">
      <w:pPr>
        <w:widowControl w:val="0"/>
        <w:tabs>
          <w:tab w:val="clear" w:pos="567"/>
        </w:tabs>
        <w:spacing w:line="240" w:lineRule="auto"/>
        <w:rPr>
          <w:color w:val="000000"/>
          <w:szCs w:val="22"/>
          <w:lang w:val="sv-SE"/>
        </w:rPr>
      </w:pPr>
    </w:p>
    <w:p w14:paraId="495A21BD" w14:textId="77777777" w:rsidR="00CE607D" w:rsidRPr="000E7AE9" w:rsidRDefault="00CE607D" w:rsidP="00463647">
      <w:pPr>
        <w:widowControl w:val="0"/>
        <w:tabs>
          <w:tab w:val="clear" w:pos="567"/>
        </w:tabs>
        <w:spacing w:line="240" w:lineRule="auto"/>
        <w:rPr>
          <w:color w:val="000000"/>
          <w:szCs w:val="22"/>
          <w:lang w:val="sv-SE"/>
        </w:rPr>
      </w:pPr>
    </w:p>
    <w:p w14:paraId="21CD2D06" w14:textId="77777777" w:rsidR="00CE607D" w:rsidRPr="000E7AE9" w:rsidRDefault="00CE607D" w:rsidP="00463647">
      <w:pPr>
        <w:widowControl w:val="0"/>
        <w:tabs>
          <w:tab w:val="clear" w:pos="567"/>
        </w:tabs>
        <w:spacing w:line="240" w:lineRule="auto"/>
        <w:rPr>
          <w:color w:val="000000"/>
          <w:szCs w:val="22"/>
          <w:lang w:val="sv-SE"/>
        </w:rPr>
      </w:pPr>
    </w:p>
    <w:p w14:paraId="5744FF18" w14:textId="77777777" w:rsidR="00CE607D" w:rsidRPr="000E7AE9" w:rsidRDefault="00CE607D" w:rsidP="00463647">
      <w:pPr>
        <w:widowControl w:val="0"/>
        <w:tabs>
          <w:tab w:val="clear" w:pos="567"/>
        </w:tabs>
        <w:spacing w:line="240" w:lineRule="auto"/>
        <w:rPr>
          <w:color w:val="000000"/>
          <w:szCs w:val="22"/>
          <w:lang w:val="sv-SE"/>
        </w:rPr>
      </w:pPr>
    </w:p>
    <w:p w14:paraId="0CFB133D" w14:textId="77777777" w:rsidR="00CE607D" w:rsidRPr="000E7AE9" w:rsidRDefault="00CE607D" w:rsidP="00463647">
      <w:pPr>
        <w:widowControl w:val="0"/>
        <w:tabs>
          <w:tab w:val="clear" w:pos="567"/>
        </w:tabs>
        <w:spacing w:line="240" w:lineRule="auto"/>
        <w:rPr>
          <w:color w:val="000000"/>
          <w:szCs w:val="22"/>
          <w:lang w:val="sv-SE"/>
        </w:rPr>
      </w:pPr>
    </w:p>
    <w:p w14:paraId="171DC4A2" w14:textId="77777777" w:rsidR="00CE607D" w:rsidRPr="000E7AE9" w:rsidRDefault="00CE607D" w:rsidP="00463647">
      <w:pPr>
        <w:widowControl w:val="0"/>
        <w:tabs>
          <w:tab w:val="clear" w:pos="567"/>
        </w:tabs>
        <w:spacing w:line="240" w:lineRule="auto"/>
        <w:rPr>
          <w:color w:val="000000"/>
          <w:szCs w:val="22"/>
          <w:lang w:val="sv-SE"/>
        </w:rPr>
      </w:pPr>
    </w:p>
    <w:p w14:paraId="6C0D3A8A" w14:textId="77777777" w:rsidR="00CE607D" w:rsidRPr="000E7AE9" w:rsidRDefault="00CE607D" w:rsidP="00463647">
      <w:pPr>
        <w:widowControl w:val="0"/>
        <w:tabs>
          <w:tab w:val="clear" w:pos="567"/>
        </w:tabs>
        <w:spacing w:line="240" w:lineRule="auto"/>
        <w:rPr>
          <w:color w:val="000000"/>
          <w:szCs w:val="22"/>
          <w:lang w:val="sv-SE"/>
        </w:rPr>
      </w:pPr>
    </w:p>
    <w:p w14:paraId="528BA91B" w14:textId="77777777" w:rsidR="00CE607D" w:rsidRPr="000E7AE9" w:rsidRDefault="00CE607D" w:rsidP="00463647">
      <w:pPr>
        <w:widowControl w:val="0"/>
        <w:tabs>
          <w:tab w:val="clear" w:pos="567"/>
        </w:tabs>
        <w:spacing w:line="240" w:lineRule="auto"/>
        <w:rPr>
          <w:color w:val="000000"/>
          <w:szCs w:val="22"/>
          <w:lang w:val="sv-SE"/>
        </w:rPr>
      </w:pPr>
    </w:p>
    <w:p w14:paraId="52E35D14" w14:textId="77777777" w:rsidR="00CE607D" w:rsidRPr="000E7AE9" w:rsidRDefault="00CE607D" w:rsidP="00463647">
      <w:pPr>
        <w:widowControl w:val="0"/>
        <w:tabs>
          <w:tab w:val="clear" w:pos="567"/>
        </w:tabs>
        <w:spacing w:line="240" w:lineRule="auto"/>
        <w:rPr>
          <w:color w:val="000000"/>
          <w:szCs w:val="22"/>
          <w:lang w:val="sv-SE"/>
        </w:rPr>
      </w:pPr>
    </w:p>
    <w:p w14:paraId="7776B429" w14:textId="77777777" w:rsidR="00CE607D" w:rsidRPr="000E7AE9" w:rsidRDefault="00CE607D" w:rsidP="00463647">
      <w:pPr>
        <w:widowControl w:val="0"/>
        <w:tabs>
          <w:tab w:val="clear" w:pos="567"/>
        </w:tabs>
        <w:spacing w:line="240" w:lineRule="auto"/>
        <w:rPr>
          <w:color w:val="000000"/>
          <w:szCs w:val="22"/>
          <w:lang w:val="sv-SE"/>
        </w:rPr>
      </w:pPr>
    </w:p>
    <w:p w14:paraId="1FEA7851" w14:textId="77777777" w:rsidR="00CE607D" w:rsidRPr="000E7AE9" w:rsidRDefault="00CE607D" w:rsidP="00463647">
      <w:pPr>
        <w:widowControl w:val="0"/>
        <w:tabs>
          <w:tab w:val="clear" w:pos="567"/>
        </w:tabs>
        <w:spacing w:line="240" w:lineRule="auto"/>
        <w:rPr>
          <w:color w:val="000000"/>
          <w:szCs w:val="22"/>
          <w:lang w:val="sv-SE"/>
        </w:rPr>
      </w:pPr>
    </w:p>
    <w:p w14:paraId="011672CD" w14:textId="77777777" w:rsidR="00CE607D" w:rsidRPr="000E7AE9" w:rsidRDefault="00CE607D" w:rsidP="00463647">
      <w:pPr>
        <w:widowControl w:val="0"/>
        <w:tabs>
          <w:tab w:val="clear" w:pos="567"/>
        </w:tabs>
        <w:spacing w:line="240" w:lineRule="auto"/>
        <w:rPr>
          <w:color w:val="000000"/>
          <w:szCs w:val="22"/>
          <w:lang w:val="sv-SE"/>
        </w:rPr>
      </w:pPr>
    </w:p>
    <w:p w14:paraId="553EDEDD" w14:textId="77777777" w:rsidR="00CE607D" w:rsidRPr="000E7AE9" w:rsidRDefault="00CE607D" w:rsidP="00463647">
      <w:pPr>
        <w:widowControl w:val="0"/>
        <w:tabs>
          <w:tab w:val="clear" w:pos="567"/>
        </w:tabs>
        <w:spacing w:line="240" w:lineRule="auto"/>
        <w:rPr>
          <w:color w:val="000000"/>
          <w:szCs w:val="22"/>
          <w:lang w:val="sv-SE"/>
        </w:rPr>
      </w:pPr>
    </w:p>
    <w:p w14:paraId="67F8AD8F" w14:textId="77777777" w:rsidR="00CE607D" w:rsidRPr="000E7AE9" w:rsidRDefault="00CE607D" w:rsidP="00463647">
      <w:pPr>
        <w:widowControl w:val="0"/>
        <w:tabs>
          <w:tab w:val="clear" w:pos="567"/>
        </w:tabs>
        <w:spacing w:line="240" w:lineRule="auto"/>
        <w:rPr>
          <w:color w:val="000000"/>
          <w:szCs w:val="22"/>
          <w:lang w:val="sv-SE"/>
        </w:rPr>
      </w:pPr>
    </w:p>
    <w:p w14:paraId="4A27341F" w14:textId="77777777" w:rsidR="00CE607D" w:rsidRPr="000E7AE9" w:rsidRDefault="00CE607D" w:rsidP="00463647">
      <w:pPr>
        <w:widowControl w:val="0"/>
        <w:tabs>
          <w:tab w:val="clear" w:pos="567"/>
        </w:tabs>
        <w:spacing w:line="240" w:lineRule="auto"/>
        <w:rPr>
          <w:color w:val="000000"/>
          <w:szCs w:val="22"/>
          <w:lang w:val="sv-SE"/>
        </w:rPr>
      </w:pPr>
    </w:p>
    <w:p w14:paraId="5D0755B0" w14:textId="77777777" w:rsidR="00CE607D" w:rsidRPr="000E7AE9" w:rsidRDefault="00CE607D" w:rsidP="00463647">
      <w:pPr>
        <w:widowControl w:val="0"/>
        <w:tabs>
          <w:tab w:val="clear" w:pos="567"/>
        </w:tabs>
        <w:spacing w:line="240" w:lineRule="auto"/>
        <w:rPr>
          <w:color w:val="000000"/>
          <w:szCs w:val="22"/>
          <w:lang w:val="sv-SE"/>
        </w:rPr>
      </w:pPr>
    </w:p>
    <w:p w14:paraId="7D6F2543" w14:textId="77777777" w:rsidR="00CE607D" w:rsidRDefault="00CE607D" w:rsidP="00463647">
      <w:pPr>
        <w:widowControl w:val="0"/>
        <w:tabs>
          <w:tab w:val="clear" w:pos="567"/>
        </w:tabs>
        <w:spacing w:line="240" w:lineRule="auto"/>
        <w:rPr>
          <w:color w:val="000000"/>
          <w:szCs w:val="22"/>
          <w:lang w:val="sv-SE"/>
        </w:rPr>
      </w:pPr>
    </w:p>
    <w:p w14:paraId="2BF583DC" w14:textId="77777777" w:rsidR="00FB5960" w:rsidRPr="000E7AE9" w:rsidRDefault="00FB5960" w:rsidP="00463647">
      <w:pPr>
        <w:widowControl w:val="0"/>
        <w:tabs>
          <w:tab w:val="clear" w:pos="567"/>
        </w:tabs>
        <w:spacing w:line="240" w:lineRule="auto"/>
        <w:rPr>
          <w:color w:val="000000"/>
          <w:szCs w:val="22"/>
          <w:lang w:val="sv-SE"/>
        </w:rPr>
      </w:pPr>
    </w:p>
    <w:p w14:paraId="04D066F7" w14:textId="77777777" w:rsidR="00CE607D" w:rsidRPr="000E7AE9" w:rsidRDefault="00CE607D" w:rsidP="00463647">
      <w:pPr>
        <w:widowControl w:val="0"/>
        <w:tabs>
          <w:tab w:val="clear" w:pos="567"/>
        </w:tabs>
        <w:spacing w:line="240" w:lineRule="auto"/>
        <w:rPr>
          <w:color w:val="000000"/>
          <w:szCs w:val="22"/>
          <w:lang w:val="sv-SE"/>
        </w:rPr>
      </w:pPr>
    </w:p>
    <w:p w14:paraId="4A0AD59D" w14:textId="77777777" w:rsidR="00CE607D" w:rsidRPr="000E7AE9" w:rsidRDefault="00CE607D" w:rsidP="00463647">
      <w:pPr>
        <w:widowControl w:val="0"/>
        <w:tabs>
          <w:tab w:val="clear" w:pos="567"/>
        </w:tabs>
        <w:spacing w:line="240" w:lineRule="auto"/>
        <w:rPr>
          <w:color w:val="000000"/>
          <w:szCs w:val="22"/>
          <w:lang w:val="sv-SE"/>
        </w:rPr>
      </w:pPr>
    </w:p>
    <w:p w14:paraId="1CB1D79B" w14:textId="77777777" w:rsidR="00CE607D" w:rsidRPr="000E7AE9" w:rsidRDefault="00CE607D" w:rsidP="00463647">
      <w:pPr>
        <w:widowControl w:val="0"/>
        <w:tabs>
          <w:tab w:val="clear" w:pos="567"/>
        </w:tabs>
        <w:spacing w:line="240" w:lineRule="auto"/>
        <w:rPr>
          <w:color w:val="000000"/>
          <w:szCs w:val="22"/>
          <w:lang w:val="sv-SE"/>
        </w:rPr>
      </w:pPr>
    </w:p>
    <w:p w14:paraId="6DA91A8A" w14:textId="77777777" w:rsidR="00CE607D" w:rsidRPr="000E7AE9" w:rsidRDefault="00CE607D" w:rsidP="00463647">
      <w:pPr>
        <w:widowControl w:val="0"/>
        <w:tabs>
          <w:tab w:val="clear" w:pos="567"/>
        </w:tabs>
        <w:spacing w:line="240" w:lineRule="auto"/>
        <w:jc w:val="center"/>
        <w:rPr>
          <w:b/>
          <w:color w:val="000000"/>
          <w:szCs w:val="22"/>
          <w:lang w:val="sv-SE"/>
        </w:rPr>
      </w:pPr>
      <w:r w:rsidRPr="000E7AE9">
        <w:rPr>
          <w:b/>
          <w:color w:val="000000"/>
          <w:szCs w:val="22"/>
          <w:lang w:val="sv-SE"/>
        </w:rPr>
        <w:t>A. MÄRKNING</w:t>
      </w:r>
    </w:p>
    <w:p w14:paraId="0B6C1A0B" w14:textId="77777777" w:rsidR="00CE607D" w:rsidRPr="000E7AE9" w:rsidRDefault="00CE607D" w:rsidP="00463647">
      <w:pPr>
        <w:widowControl w:val="0"/>
        <w:shd w:val="clear" w:color="auto" w:fill="FFFFFF"/>
        <w:suppressAutoHyphens/>
        <w:spacing w:line="240" w:lineRule="auto"/>
        <w:rPr>
          <w:color w:val="000000"/>
          <w:szCs w:val="22"/>
          <w:lang w:val="sv-SE"/>
        </w:rPr>
      </w:pPr>
      <w:r w:rsidRPr="000E7AE9">
        <w:rPr>
          <w:color w:val="000000"/>
          <w:szCs w:val="22"/>
          <w:lang w:val="sv-SE"/>
        </w:rPr>
        <w:br w:type="page"/>
      </w:r>
    </w:p>
    <w:p w14:paraId="72840397" w14:textId="77777777" w:rsidR="00FB5960" w:rsidRPr="00FB5960" w:rsidRDefault="00FB5960" w:rsidP="00FB5960">
      <w:pPr>
        <w:widowControl w:val="0"/>
        <w:suppressAutoHyphens/>
        <w:spacing w:line="240" w:lineRule="auto"/>
        <w:rPr>
          <w:color w:val="000000"/>
          <w:szCs w:val="22"/>
          <w:lang w:val="sv-SE"/>
        </w:rPr>
      </w:pPr>
    </w:p>
    <w:p w14:paraId="4D8ABCED"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hd w:val="clear" w:color="auto" w:fill="FFFFFF"/>
        <w:suppressAutoHyphens/>
        <w:spacing w:line="240" w:lineRule="auto"/>
        <w:rPr>
          <w:color w:val="000000"/>
          <w:szCs w:val="22"/>
          <w:lang w:val="sv-SE"/>
        </w:rPr>
      </w:pPr>
      <w:r w:rsidRPr="000E7AE9">
        <w:rPr>
          <w:b/>
          <w:color w:val="000000"/>
          <w:szCs w:val="22"/>
          <w:lang w:val="sv-SE"/>
        </w:rPr>
        <w:t>UPPGIFTER SOM SKA FINNAS PÅ YTTRE FÖRPACKNINGEN</w:t>
      </w:r>
    </w:p>
    <w:p w14:paraId="5E7EC0B7"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sv-SE"/>
        </w:rPr>
      </w:pPr>
    </w:p>
    <w:p w14:paraId="3FB4068B"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rPr>
          <w:b/>
          <w:caps/>
          <w:snapToGrid w:val="0"/>
          <w:color w:val="000000"/>
          <w:szCs w:val="22"/>
          <w:lang w:val="sv-SE"/>
        </w:rPr>
      </w:pPr>
      <w:r w:rsidRPr="000E7AE9">
        <w:rPr>
          <w:b/>
          <w:caps/>
          <w:color w:val="000000"/>
          <w:szCs w:val="22"/>
          <w:lang w:val="sv-SE"/>
        </w:rPr>
        <w:t>kartong</w:t>
      </w:r>
    </w:p>
    <w:p w14:paraId="786BE912" w14:textId="77777777" w:rsidR="00CE607D" w:rsidRPr="000E7AE9" w:rsidRDefault="00CE607D" w:rsidP="00463647">
      <w:pPr>
        <w:widowControl w:val="0"/>
        <w:suppressAutoHyphens/>
        <w:spacing w:line="240" w:lineRule="auto"/>
        <w:rPr>
          <w:color w:val="000000"/>
          <w:szCs w:val="22"/>
          <w:lang w:val="sv-SE"/>
        </w:rPr>
      </w:pPr>
    </w:p>
    <w:p w14:paraId="5ED94AED" w14:textId="77777777" w:rsidR="00CE607D" w:rsidRPr="000E7AE9" w:rsidRDefault="00CE607D" w:rsidP="00463647">
      <w:pPr>
        <w:widowControl w:val="0"/>
        <w:suppressAutoHyphens/>
        <w:spacing w:line="240" w:lineRule="auto"/>
        <w:rPr>
          <w:color w:val="000000"/>
          <w:szCs w:val="22"/>
          <w:lang w:val="sv-SE"/>
        </w:rPr>
      </w:pPr>
    </w:p>
    <w:p w14:paraId="511C5BCF"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1.</w:t>
      </w:r>
      <w:r w:rsidRPr="000E7AE9">
        <w:rPr>
          <w:b/>
          <w:color w:val="000000"/>
          <w:szCs w:val="22"/>
          <w:lang w:val="sv-SE"/>
        </w:rPr>
        <w:tab/>
        <w:t>LÄKEMEDLETS NAMN</w:t>
      </w:r>
    </w:p>
    <w:p w14:paraId="47FAFBC0" w14:textId="77777777" w:rsidR="00CE607D" w:rsidRPr="000E7AE9" w:rsidRDefault="00CE607D" w:rsidP="00463647">
      <w:pPr>
        <w:widowControl w:val="0"/>
        <w:suppressAutoHyphens/>
        <w:spacing w:line="240" w:lineRule="auto"/>
        <w:rPr>
          <w:color w:val="000000"/>
          <w:szCs w:val="22"/>
          <w:lang w:val="sv-SE"/>
        </w:rPr>
      </w:pPr>
    </w:p>
    <w:p w14:paraId="0298CFA4" w14:textId="77777777" w:rsidR="00CE607D" w:rsidRPr="000E7AE9" w:rsidRDefault="00CE607D" w:rsidP="00463647">
      <w:pPr>
        <w:widowControl w:val="0"/>
        <w:tabs>
          <w:tab w:val="clear" w:pos="567"/>
        </w:tabs>
        <w:spacing w:line="240" w:lineRule="auto"/>
        <w:rPr>
          <w:color w:val="000000"/>
          <w:szCs w:val="22"/>
          <w:lang w:val="sv-SE"/>
        </w:rPr>
      </w:pPr>
      <w:r w:rsidRPr="000E7AE9">
        <w:rPr>
          <w:color w:val="000000"/>
          <w:szCs w:val="22"/>
          <w:lang w:val="sv-SE"/>
        </w:rPr>
        <w:t>Glivec 100 mg hårda kapslar</w:t>
      </w:r>
    </w:p>
    <w:p w14:paraId="3B6286B8" w14:textId="77777777" w:rsidR="00CE607D" w:rsidRPr="000E7AE9" w:rsidRDefault="001412A8" w:rsidP="00463647">
      <w:pPr>
        <w:widowControl w:val="0"/>
        <w:tabs>
          <w:tab w:val="clear" w:pos="567"/>
        </w:tabs>
        <w:spacing w:line="240" w:lineRule="auto"/>
        <w:rPr>
          <w:color w:val="000000"/>
          <w:szCs w:val="22"/>
          <w:lang w:val="sv-SE"/>
        </w:rPr>
      </w:pPr>
      <w:r>
        <w:rPr>
          <w:color w:val="000000"/>
          <w:szCs w:val="22"/>
          <w:lang w:val="sv-SE"/>
        </w:rPr>
        <w:t>i</w:t>
      </w:r>
      <w:r w:rsidR="00CE607D" w:rsidRPr="000E7AE9">
        <w:rPr>
          <w:color w:val="000000"/>
          <w:szCs w:val="22"/>
          <w:lang w:val="sv-SE"/>
        </w:rPr>
        <w:t>matinib</w:t>
      </w:r>
    </w:p>
    <w:p w14:paraId="4DD706E7" w14:textId="77777777" w:rsidR="00CE607D" w:rsidRPr="000E7AE9" w:rsidRDefault="00CE607D" w:rsidP="00463647">
      <w:pPr>
        <w:widowControl w:val="0"/>
        <w:suppressAutoHyphens/>
        <w:spacing w:line="240" w:lineRule="auto"/>
        <w:rPr>
          <w:color w:val="000000"/>
          <w:szCs w:val="22"/>
          <w:lang w:val="sv-SE"/>
        </w:rPr>
      </w:pPr>
    </w:p>
    <w:p w14:paraId="4D30B664" w14:textId="77777777" w:rsidR="00CE607D" w:rsidRPr="000E7AE9" w:rsidRDefault="00CE607D" w:rsidP="00463647">
      <w:pPr>
        <w:widowControl w:val="0"/>
        <w:suppressAutoHyphens/>
        <w:spacing w:line="240" w:lineRule="auto"/>
        <w:rPr>
          <w:color w:val="000000"/>
          <w:szCs w:val="22"/>
          <w:lang w:val="sv-SE"/>
        </w:rPr>
      </w:pPr>
    </w:p>
    <w:p w14:paraId="60D1F870"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2.</w:t>
      </w:r>
      <w:r w:rsidRPr="000E7AE9">
        <w:rPr>
          <w:b/>
          <w:color w:val="000000"/>
          <w:szCs w:val="22"/>
          <w:lang w:val="sv-SE"/>
        </w:rPr>
        <w:tab/>
      </w:r>
      <w:r w:rsidRPr="000E7AE9">
        <w:rPr>
          <w:b/>
          <w:noProof/>
          <w:color w:val="000000"/>
          <w:szCs w:val="22"/>
          <w:lang w:val="da-DK"/>
        </w:rPr>
        <w:t xml:space="preserve"> DEKLARATION AV AKTIV(A) SUBSTANS(ER)</w:t>
      </w:r>
    </w:p>
    <w:p w14:paraId="7234BFEB" w14:textId="77777777" w:rsidR="00CE607D" w:rsidRPr="000E7AE9" w:rsidRDefault="00CE607D" w:rsidP="00463647">
      <w:pPr>
        <w:widowControl w:val="0"/>
        <w:suppressAutoHyphens/>
        <w:spacing w:line="240" w:lineRule="auto"/>
        <w:rPr>
          <w:color w:val="000000"/>
          <w:szCs w:val="22"/>
          <w:lang w:val="sv-SE"/>
        </w:rPr>
      </w:pPr>
    </w:p>
    <w:p w14:paraId="6CB39567" w14:textId="77777777" w:rsidR="00CE607D" w:rsidRPr="000E7AE9" w:rsidRDefault="00CE607D" w:rsidP="00463647">
      <w:pPr>
        <w:pStyle w:val="TextChar"/>
        <w:widowControl w:val="0"/>
        <w:spacing w:before="0"/>
        <w:rPr>
          <w:color w:val="000000"/>
          <w:sz w:val="22"/>
          <w:szCs w:val="22"/>
          <w:lang w:val="sv-SE"/>
        </w:rPr>
      </w:pPr>
      <w:r w:rsidRPr="000E7AE9">
        <w:rPr>
          <w:color w:val="000000"/>
          <w:sz w:val="22"/>
          <w:szCs w:val="22"/>
          <w:lang w:val="sv-SE"/>
        </w:rPr>
        <w:t>Varje kapsel innehåller 100 mg imatinib (som mesylat).</w:t>
      </w:r>
    </w:p>
    <w:p w14:paraId="40777426" w14:textId="77777777" w:rsidR="00CE607D" w:rsidRPr="000E7AE9" w:rsidRDefault="00CE607D" w:rsidP="00463647">
      <w:pPr>
        <w:widowControl w:val="0"/>
        <w:suppressAutoHyphens/>
        <w:spacing w:line="240" w:lineRule="auto"/>
        <w:rPr>
          <w:color w:val="000000"/>
          <w:szCs w:val="22"/>
          <w:lang w:val="sv-SE"/>
        </w:rPr>
      </w:pPr>
    </w:p>
    <w:p w14:paraId="41AFA6A7" w14:textId="77777777" w:rsidR="00CE607D" w:rsidRPr="000E7AE9" w:rsidRDefault="00CE607D" w:rsidP="00463647">
      <w:pPr>
        <w:widowControl w:val="0"/>
        <w:suppressAutoHyphens/>
        <w:spacing w:line="240" w:lineRule="auto"/>
        <w:rPr>
          <w:color w:val="000000"/>
          <w:szCs w:val="22"/>
          <w:lang w:val="sv-SE"/>
        </w:rPr>
      </w:pPr>
    </w:p>
    <w:p w14:paraId="0A992E23"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3.</w:t>
      </w:r>
      <w:r w:rsidRPr="000E7AE9">
        <w:rPr>
          <w:b/>
          <w:color w:val="000000"/>
          <w:szCs w:val="22"/>
          <w:lang w:val="sv-SE"/>
        </w:rPr>
        <w:tab/>
        <w:t>FÖRTECKNING ÖVER HJÄLPÄMNEN</w:t>
      </w:r>
    </w:p>
    <w:p w14:paraId="318BA38C" w14:textId="77777777" w:rsidR="00CE607D" w:rsidRPr="000E7AE9" w:rsidRDefault="00CE607D" w:rsidP="00463647">
      <w:pPr>
        <w:widowControl w:val="0"/>
        <w:suppressAutoHyphens/>
        <w:spacing w:line="240" w:lineRule="auto"/>
        <w:rPr>
          <w:color w:val="000000"/>
          <w:szCs w:val="22"/>
          <w:lang w:val="sv-SE"/>
        </w:rPr>
      </w:pPr>
    </w:p>
    <w:p w14:paraId="550DF97D" w14:textId="77777777" w:rsidR="00CE607D" w:rsidRPr="000E7AE9" w:rsidRDefault="00CE607D" w:rsidP="00463647">
      <w:pPr>
        <w:widowControl w:val="0"/>
        <w:suppressAutoHyphens/>
        <w:spacing w:line="240" w:lineRule="auto"/>
        <w:rPr>
          <w:color w:val="000000"/>
          <w:szCs w:val="22"/>
          <w:lang w:val="sv-SE"/>
        </w:rPr>
      </w:pPr>
    </w:p>
    <w:p w14:paraId="14292321"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4.</w:t>
      </w:r>
      <w:r w:rsidRPr="000E7AE9">
        <w:rPr>
          <w:b/>
          <w:color w:val="000000"/>
          <w:szCs w:val="22"/>
          <w:lang w:val="sv-SE"/>
        </w:rPr>
        <w:tab/>
        <w:t>LÄKEMEDELSFORM OCH FÖRPACKNINGSSTORLEK</w:t>
      </w:r>
    </w:p>
    <w:p w14:paraId="09355FFD" w14:textId="77777777" w:rsidR="00CE607D" w:rsidRPr="000E7AE9" w:rsidRDefault="00CE607D" w:rsidP="00463647">
      <w:pPr>
        <w:widowControl w:val="0"/>
        <w:suppressAutoHyphens/>
        <w:spacing w:line="240" w:lineRule="auto"/>
        <w:rPr>
          <w:color w:val="000000"/>
          <w:szCs w:val="22"/>
          <w:lang w:val="sv-SE"/>
        </w:rPr>
      </w:pPr>
    </w:p>
    <w:p w14:paraId="5FB02CD3" w14:textId="77777777" w:rsidR="00CE607D" w:rsidRPr="000E7AE9" w:rsidRDefault="00CE607D" w:rsidP="00463647">
      <w:pPr>
        <w:pStyle w:val="EndnoteText"/>
        <w:widowControl w:val="0"/>
        <w:rPr>
          <w:color w:val="000000"/>
          <w:szCs w:val="22"/>
          <w:lang w:val="sv-SE"/>
        </w:rPr>
      </w:pPr>
      <w:r w:rsidRPr="000E7AE9">
        <w:rPr>
          <w:color w:val="000000"/>
          <w:szCs w:val="22"/>
          <w:lang w:val="sv-SE"/>
        </w:rPr>
        <w:t>24 hårda kapslar</w:t>
      </w:r>
    </w:p>
    <w:p w14:paraId="04B4722C" w14:textId="77777777" w:rsidR="00CE607D" w:rsidRPr="000E7AE9" w:rsidRDefault="00CE607D" w:rsidP="00463647">
      <w:pPr>
        <w:widowControl w:val="0"/>
        <w:suppressAutoHyphens/>
        <w:spacing w:line="240" w:lineRule="auto"/>
        <w:rPr>
          <w:color w:val="000000"/>
          <w:szCs w:val="22"/>
          <w:shd w:val="clear" w:color="auto" w:fill="D9D9D9"/>
          <w:lang w:val="sv-SE"/>
        </w:rPr>
      </w:pPr>
      <w:r w:rsidRPr="000E7AE9">
        <w:rPr>
          <w:color w:val="000000"/>
          <w:szCs w:val="22"/>
          <w:shd w:val="clear" w:color="auto" w:fill="D9D9D9"/>
          <w:lang w:val="sv-SE"/>
        </w:rPr>
        <w:t>48 hårda kapslar</w:t>
      </w:r>
    </w:p>
    <w:p w14:paraId="198CBB75" w14:textId="77777777" w:rsidR="00CE607D" w:rsidRPr="000E7AE9" w:rsidRDefault="00CE607D" w:rsidP="00463647">
      <w:pPr>
        <w:widowControl w:val="0"/>
        <w:suppressAutoHyphens/>
        <w:spacing w:line="240" w:lineRule="auto"/>
        <w:rPr>
          <w:color w:val="000000"/>
          <w:szCs w:val="22"/>
          <w:shd w:val="clear" w:color="auto" w:fill="D9D9D9"/>
          <w:lang w:val="sv-SE"/>
        </w:rPr>
      </w:pPr>
      <w:r w:rsidRPr="000E7AE9">
        <w:rPr>
          <w:color w:val="000000"/>
          <w:szCs w:val="22"/>
          <w:shd w:val="clear" w:color="auto" w:fill="D9D9D9"/>
          <w:lang w:val="sv-SE"/>
        </w:rPr>
        <w:t>96 hårda kapslar</w:t>
      </w:r>
    </w:p>
    <w:p w14:paraId="47003731" w14:textId="77777777" w:rsidR="00CE607D" w:rsidRPr="000E7AE9" w:rsidRDefault="00CE607D" w:rsidP="00463647">
      <w:pPr>
        <w:widowControl w:val="0"/>
        <w:suppressAutoHyphens/>
        <w:spacing w:line="240" w:lineRule="auto"/>
        <w:rPr>
          <w:color w:val="000000"/>
          <w:szCs w:val="22"/>
          <w:shd w:val="clear" w:color="auto" w:fill="D9D9D9"/>
          <w:lang w:val="sv-SE"/>
        </w:rPr>
      </w:pPr>
      <w:r w:rsidRPr="000E7AE9">
        <w:rPr>
          <w:color w:val="000000"/>
          <w:szCs w:val="22"/>
          <w:shd w:val="clear" w:color="auto" w:fill="D9D9D9"/>
          <w:lang w:val="sv-SE"/>
        </w:rPr>
        <w:t>120 hårda kapslar</w:t>
      </w:r>
    </w:p>
    <w:p w14:paraId="6E523BC6" w14:textId="77777777" w:rsidR="00CE607D" w:rsidRPr="000E7AE9" w:rsidRDefault="00CE607D" w:rsidP="00463647">
      <w:pPr>
        <w:widowControl w:val="0"/>
        <w:suppressAutoHyphens/>
        <w:spacing w:line="240" w:lineRule="auto"/>
        <w:rPr>
          <w:color w:val="000000"/>
          <w:szCs w:val="22"/>
          <w:shd w:val="clear" w:color="auto" w:fill="D9D9D9"/>
          <w:lang w:val="sv-SE"/>
        </w:rPr>
      </w:pPr>
      <w:r w:rsidRPr="000E7AE9">
        <w:rPr>
          <w:color w:val="000000"/>
          <w:szCs w:val="22"/>
          <w:shd w:val="clear" w:color="auto" w:fill="D9D9D9"/>
          <w:lang w:val="sv-SE"/>
        </w:rPr>
        <w:t>180 hårda kapslar</w:t>
      </w:r>
    </w:p>
    <w:p w14:paraId="63CC0720" w14:textId="77777777" w:rsidR="00CE607D" w:rsidRPr="000E7AE9" w:rsidRDefault="00CE607D" w:rsidP="00463647">
      <w:pPr>
        <w:widowControl w:val="0"/>
        <w:suppressAutoHyphens/>
        <w:spacing w:line="240" w:lineRule="auto"/>
        <w:rPr>
          <w:color w:val="000000"/>
          <w:szCs w:val="22"/>
          <w:lang w:val="sv-SE"/>
        </w:rPr>
      </w:pPr>
    </w:p>
    <w:p w14:paraId="253A3B8E" w14:textId="77777777" w:rsidR="00CE607D" w:rsidRPr="000E7AE9" w:rsidRDefault="00CE607D" w:rsidP="00463647">
      <w:pPr>
        <w:widowControl w:val="0"/>
        <w:suppressAutoHyphens/>
        <w:spacing w:line="240" w:lineRule="auto"/>
        <w:rPr>
          <w:color w:val="000000"/>
          <w:szCs w:val="22"/>
          <w:lang w:val="sv-SE"/>
        </w:rPr>
      </w:pPr>
    </w:p>
    <w:p w14:paraId="460B83C3"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5.</w:t>
      </w:r>
      <w:r w:rsidRPr="000E7AE9">
        <w:rPr>
          <w:b/>
          <w:color w:val="000000"/>
          <w:szCs w:val="22"/>
          <w:lang w:val="sv-SE"/>
        </w:rPr>
        <w:tab/>
        <w:t>ADMINISTRERINGSSÄTT OCH ADMINISTRERINGSVÄG</w:t>
      </w:r>
    </w:p>
    <w:p w14:paraId="42CAAD20" w14:textId="77777777" w:rsidR="00CE607D" w:rsidRPr="000E7AE9" w:rsidRDefault="00CE607D" w:rsidP="00463647">
      <w:pPr>
        <w:widowControl w:val="0"/>
        <w:suppressAutoHyphens/>
        <w:spacing w:line="240" w:lineRule="auto"/>
        <w:rPr>
          <w:color w:val="000000"/>
          <w:szCs w:val="22"/>
          <w:lang w:val="sv-SE"/>
        </w:rPr>
      </w:pPr>
    </w:p>
    <w:p w14:paraId="746083EE" w14:textId="77777777" w:rsidR="00CE607D" w:rsidRPr="000E7AE9" w:rsidRDefault="00CE607D" w:rsidP="00463647">
      <w:pPr>
        <w:pStyle w:val="EndnoteText"/>
        <w:widowControl w:val="0"/>
        <w:tabs>
          <w:tab w:val="clear" w:pos="567"/>
        </w:tabs>
        <w:rPr>
          <w:color w:val="000000"/>
          <w:szCs w:val="22"/>
          <w:lang w:val="sv-SE"/>
        </w:rPr>
      </w:pPr>
      <w:r w:rsidRPr="000E7AE9">
        <w:rPr>
          <w:color w:val="000000"/>
          <w:szCs w:val="22"/>
          <w:lang w:val="sv-SE"/>
        </w:rPr>
        <w:t>Oral användning. Läs bipacksedeln före användning.</w:t>
      </w:r>
    </w:p>
    <w:p w14:paraId="35B24376" w14:textId="77777777" w:rsidR="00CE607D" w:rsidRPr="000E7AE9" w:rsidRDefault="00CE607D" w:rsidP="00463647">
      <w:pPr>
        <w:widowControl w:val="0"/>
        <w:suppressAutoHyphens/>
        <w:spacing w:line="240" w:lineRule="auto"/>
        <w:rPr>
          <w:color w:val="000000"/>
          <w:szCs w:val="22"/>
          <w:lang w:val="sv-SE"/>
        </w:rPr>
      </w:pPr>
    </w:p>
    <w:p w14:paraId="12D2E567" w14:textId="77777777" w:rsidR="00CE607D" w:rsidRPr="000E7AE9" w:rsidRDefault="00CE607D" w:rsidP="00463647">
      <w:pPr>
        <w:widowControl w:val="0"/>
        <w:suppressAutoHyphens/>
        <w:spacing w:line="240" w:lineRule="auto"/>
        <w:rPr>
          <w:color w:val="000000"/>
          <w:szCs w:val="22"/>
          <w:lang w:val="sv-SE"/>
        </w:rPr>
      </w:pPr>
    </w:p>
    <w:p w14:paraId="3FB76A99"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6.</w:t>
      </w:r>
      <w:r w:rsidRPr="000E7AE9">
        <w:rPr>
          <w:b/>
          <w:color w:val="000000"/>
          <w:szCs w:val="22"/>
          <w:lang w:val="sv-SE"/>
        </w:rPr>
        <w:tab/>
      </w:r>
      <w:r w:rsidRPr="000E7AE9">
        <w:rPr>
          <w:b/>
          <w:noProof/>
          <w:color w:val="000000"/>
          <w:szCs w:val="22"/>
          <w:lang w:val="sv-SE"/>
        </w:rPr>
        <w:t>SÄRSKILD VARNING OM ATT LÄKEMEDLET MÅSTE FÖRVARAS UTOM SYN- OCH RÄCKHÅLL FÖR BARN</w:t>
      </w:r>
    </w:p>
    <w:p w14:paraId="7A8142AD" w14:textId="77777777" w:rsidR="00CE607D" w:rsidRPr="000E7AE9" w:rsidRDefault="00CE607D" w:rsidP="00463647">
      <w:pPr>
        <w:widowControl w:val="0"/>
        <w:suppressAutoHyphens/>
        <w:spacing w:line="240" w:lineRule="auto"/>
        <w:rPr>
          <w:color w:val="000000"/>
          <w:szCs w:val="22"/>
          <w:lang w:val="sv-SE"/>
        </w:rPr>
      </w:pPr>
    </w:p>
    <w:p w14:paraId="4BE7D18C" w14:textId="77777777" w:rsidR="00CE607D" w:rsidRPr="000E7AE9" w:rsidRDefault="00CE607D" w:rsidP="00463647">
      <w:pPr>
        <w:widowControl w:val="0"/>
        <w:tabs>
          <w:tab w:val="clear" w:pos="567"/>
        </w:tabs>
        <w:spacing w:line="240" w:lineRule="auto"/>
        <w:rPr>
          <w:color w:val="000000"/>
          <w:szCs w:val="22"/>
          <w:lang w:val="sv-SE"/>
        </w:rPr>
      </w:pPr>
      <w:r w:rsidRPr="000E7AE9">
        <w:rPr>
          <w:color w:val="000000"/>
          <w:szCs w:val="22"/>
          <w:lang w:val="sv-SE"/>
        </w:rPr>
        <w:t>Förvaras utom syn- och räckhåll för barn.</w:t>
      </w:r>
    </w:p>
    <w:p w14:paraId="175EB484" w14:textId="77777777" w:rsidR="00CE607D" w:rsidRPr="000E7AE9" w:rsidRDefault="00CE607D" w:rsidP="00463647">
      <w:pPr>
        <w:widowControl w:val="0"/>
        <w:suppressAutoHyphens/>
        <w:spacing w:line="240" w:lineRule="auto"/>
        <w:rPr>
          <w:color w:val="000000"/>
          <w:szCs w:val="22"/>
          <w:lang w:val="sv-SE"/>
        </w:rPr>
      </w:pPr>
    </w:p>
    <w:p w14:paraId="273FD876" w14:textId="77777777" w:rsidR="00CE607D" w:rsidRPr="000E7AE9" w:rsidRDefault="00CE607D" w:rsidP="00463647">
      <w:pPr>
        <w:widowControl w:val="0"/>
        <w:suppressAutoHyphens/>
        <w:spacing w:line="240" w:lineRule="auto"/>
        <w:rPr>
          <w:color w:val="000000"/>
          <w:szCs w:val="22"/>
          <w:lang w:val="sv-SE"/>
        </w:rPr>
      </w:pPr>
    </w:p>
    <w:p w14:paraId="575FFCA9"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7.</w:t>
      </w:r>
      <w:r w:rsidRPr="000E7AE9">
        <w:rPr>
          <w:b/>
          <w:color w:val="000000"/>
          <w:szCs w:val="22"/>
          <w:lang w:val="sv-SE"/>
        </w:rPr>
        <w:tab/>
        <w:t>ÖVRIGA SÄRSKILDA VARNINGAR OM SÅ ÄR NÖDVÄNDIGT</w:t>
      </w:r>
    </w:p>
    <w:p w14:paraId="186CB869" w14:textId="77777777" w:rsidR="00CE607D" w:rsidRPr="000E7AE9" w:rsidRDefault="00CE607D" w:rsidP="00463647">
      <w:pPr>
        <w:widowControl w:val="0"/>
        <w:suppressAutoHyphens/>
        <w:spacing w:line="240" w:lineRule="auto"/>
        <w:rPr>
          <w:color w:val="000000"/>
          <w:szCs w:val="22"/>
          <w:lang w:val="sv-SE"/>
        </w:rPr>
      </w:pPr>
    </w:p>
    <w:p w14:paraId="1DEB65E5" w14:textId="77777777" w:rsidR="00CE607D" w:rsidRPr="000E7AE9" w:rsidRDefault="00CE607D" w:rsidP="00463647">
      <w:pPr>
        <w:pStyle w:val="EndnoteText"/>
        <w:widowControl w:val="0"/>
        <w:tabs>
          <w:tab w:val="clear" w:pos="567"/>
        </w:tabs>
        <w:rPr>
          <w:color w:val="000000"/>
          <w:szCs w:val="22"/>
          <w:lang w:val="sv-SE"/>
        </w:rPr>
      </w:pPr>
      <w:r w:rsidRPr="000E7AE9">
        <w:rPr>
          <w:color w:val="000000"/>
          <w:szCs w:val="22"/>
          <w:lang w:val="sv-SE"/>
        </w:rPr>
        <w:t>Använd endast enligt läkares anvisningar.</w:t>
      </w:r>
    </w:p>
    <w:p w14:paraId="6AB0BC2F" w14:textId="77777777" w:rsidR="00CE607D" w:rsidRPr="000E7AE9" w:rsidRDefault="00CE607D" w:rsidP="00463647">
      <w:pPr>
        <w:widowControl w:val="0"/>
        <w:suppressAutoHyphens/>
        <w:spacing w:line="240" w:lineRule="auto"/>
        <w:rPr>
          <w:color w:val="000000"/>
          <w:szCs w:val="22"/>
          <w:lang w:val="sv-SE"/>
        </w:rPr>
      </w:pPr>
    </w:p>
    <w:p w14:paraId="1930478B" w14:textId="77777777" w:rsidR="00CE607D" w:rsidRPr="000E7AE9" w:rsidRDefault="00CE607D" w:rsidP="00463647">
      <w:pPr>
        <w:widowControl w:val="0"/>
        <w:suppressAutoHyphens/>
        <w:spacing w:line="240" w:lineRule="auto"/>
        <w:rPr>
          <w:color w:val="000000"/>
          <w:szCs w:val="22"/>
          <w:lang w:val="sv-SE"/>
        </w:rPr>
      </w:pPr>
    </w:p>
    <w:p w14:paraId="6C356B9F"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sv-SE"/>
        </w:rPr>
      </w:pPr>
      <w:r w:rsidRPr="000E7AE9">
        <w:rPr>
          <w:b/>
          <w:color w:val="000000"/>
          <w:szCs w:val="22"/>
          <w:lang w:val="sv-SE"/>
        </w:rPr>
        <w:t>8.</w:t>
      </w:r>
      <w:r w:rsidRPr="000E7AE9">
        <w:rPr>
          <w:b/>
          <w:color w:val="000000"/>
          <w:szCs w:val="22"/>
          <w:lang w:val="sv-SE"/>
        </w:rPr>
        <w:tab/>
        <w:t>UTGÅNGSDATUM</w:t>
      </w:r>
    </w:p>
    <w:p w14:paraId="586EA194" w14:textId="77777777" w:rsidR="00CE607D" w:rsidRPr="000E7AE9" w:rsidRDefault="00CE607D" w:rsidP="00463647">
      <w:pPr>
        <w:widowControl w:val="0"/>
        <w:suppressAutoHyphens/>
        <w:spacing w:line="240" w:lineRule="auto"/>
        <w:rPr>
          <w:color w:val="000000"/>
          <w:szCs w:val="22"/>
          <w:lang w:val="sv-SE"/>
        </w:rPr>
      </w:pPr>
    </w:p>
    <w:p w14:paraId="27399D7C" w14:textId="77777777" w:rsidR="00CE607D" w:rsidRPr="000E7AE9" w:rsidRDefault="00A009DC" w:rsidP="00463647">
      <w:pPr>
        <w:pStyle w:val="EndnoteText"/>
        <w:widowControl w:val="0"/>
        <w:tabs>
          <w:tab w:val="clear" w:pos="567"/>
        </w:tabs>
        <w:rPr>
          <w:color w:val="000000"/>
          <w:szCs w:val="22"/>
          <w:lang w:val="sv-SE"/>
        </w:rPr>
      </w:pPr>
      <w:r>
        <w:rPr>
          <w:color w:val="000000"/>
          <w:szCs w:val="22"/>
          <w:lang w:val="sv-SE"/>
        </w:rPr>
        <w:t>EXP</w:t>
      </w:r>
    </w:p>
    <w:p w14:paraId="685B550B" w14:textId="77777777" w:rsidR="00CE607D" w:rsidRPr="000E7AE9" w:rsidRDefault="00CE607D" w:rsidP="00463647">
      <w:pPr>
        <w:widowControl w:val="0"/>
        <w:suppressAutoHyphens/>
        <w:spacing w:line="240" w:lineRule="auto"/>
        <w:rPr>
          <w:color w:val="000000"/>
          <w:szCs w:val="22"/>
          <w:lang w:val="sv-SE"/>
        </w:rPr>
      </w:pPr>
    </w:p>
    <w:p w14:paraId="12DA6D47" w14:textId="77777777" w:rsidR="00CE607D" w:rsidRPr="000E7AE9" w:rsidRDefault="00CE607D" w:rsidP="00463647">
      <w:pPr>
        <w:widowControl w:val="0"/>
        <w:suppressAutoHyphens/>
        <w:spacing w:line="240" w:lineRule="auto"/>
        <w:rPr>
          <w:color w:val="000000"/>
          <w:szCs w:val="22"/>
          <w:lang w:val="sv-SE"/>
        </w:rPr>
      </w:pPr>
    </w:p>
    <w:p w14:paraId="609EEDF2"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9.</w:t>
      </w:r>
      <w:r w:rsidRPr="000E7AE9">
        <w:rPr>
          <w:b/>
          <w:color w:val="000000"/>
          <w:szCs w:val="22"/>
          <w:lang w:val="sv-SE"/>
        </w:rPr>
        <w:tab/>
        <w:t>SÄRSKILDA FÖRVARINGSANVISNINGAR</w:t>
      </w:r>
    </w:p>
    <w:p w14:paraId="4C1B3CBF" w14:textId="77777777" w:rsidR="00CE607D" w:rsidRPr="000E7AE9" w:rsidRDefault="00CE607D" w:rsidP="00463647">
      <w:pPr>
        <w:widowControl w:val="0"/>
        <w:suppressAutoHyphens/>
        <w:spacing w:line="240" w:lineRule="auto"/>
        <w:rPr>
          <w:color w:val="000000"/>
          <w:szCs w:val="22"/>
          <w:lang w:val="sv-SE"/>
        </w:rPr>
      </w:pPr>
    </w:p>
    <w:p w14:paraId="4BF65170" w14:textId="77777777" w:rsidR="00CE607D" w:rsidRPr="000E7AE9" w:rsidRDefault="00CE607D" w:rsidP="00463647">
      <w:pPr>
        <w:pStyle w:val="TextChar"/>
        <w:widowControl w:val="0"/>
        <w:spacing w:before="0"/>
        <w:rPr>
          <w:color w:val="000000"/>
          <w:sz w:val="22"/>
          <w:szCs w:val="22"/>
          <w:lang w:val="sv-SE"/>
        </w:rPr>
      </w:pPr>
      <w:r w:rsidRPr="000E7AE9">
        <w:rPr>
          <w:color w:val="000000"/>
          <w:sz w:val="22"/>
          <w:szCs w:val="22"/>
          <w:lang w:val="sv-SE"/>
        </w:rPr>
        <w:t>Förvaras vid högst 30 </w:t>
      </w:r>
      <w:r w:rsidRPr="000E7AE9">
        <w:rPr>
          <w:color w:val="000000"/>
          <w:sz w:val="22"/>
          <w:szCs w:val="22"/>
          <w:lang w:val="sv-SE"/>
        </w:rPr>
        <w:sym w:font="Symbol" w:char="F0B0"/>
      </w:r>
      <w:r w:rsidRPr="000E7AE9">
        <w:rPr>
          <w:color w:val="000000"/>
          <w:sz w:val="22"/>
          <w:szCs w:val="22"/>
          <w:lang w:val="sv-SE"/>
        </w:rPr>
        <w:t>C. Förvaras i originalförpackningen. Fuktkänsligt.</w:t>
      </w:r>
    </w:p>
    <w:p w14:paraId="439F1EAA" w14:textId="77777777" w:rsidR="00CE607D" w:rsidRPr="000E7AE9" w:rsidRDefault="00CE607D" w:rsidP="00463647">
      <w:pPr>
        <w:widowControl w:val="0"/>
        <w:suppressAutoHyphens/>
        <w:spacing w:line="240" w:lineRule="auto"/>
        <w:rPr>
          <w:color w:val="000000"/>
          <w:szCs w:val="22"/>
          <w:lang w:val="sv-SE"/>
        </w:rPr>
      </w:pPr>
    </w:p>
    <w:p w14:paraId="4A682597" w14:textId="77777777" w:rsidR="00CE607D" w:rsidRPr="000E7AE9" w:rsidRDefault="00CE607D" w:rsidP="00463647">
      <w:pPr>
        <w:widowControl w:val="0"/>
        <w:suppressAutoHyphens/>
        <w:spacing w:line="240" w:lineRule="auto"/>
        <w:rPr>
          <w:color w:val="000000"/>
          <w:szCs w:val="22"/>
          <w:lang w:val="sv-SE"/>
        </w:rPr>
      </w:pPr>
    </w:p>
    <w:p w14:paraId="1876F6C9" w14:textId="77777777" w:rsidR="00CE607D" w:rsidRPr="000E7AE9" w:rsidRDefault="00CE607D" w:rsidP="00FB5960">
      <w:pPr>
        <w:keepNext/>
        <w:keepLines/>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lastRenderedPageBreak/>
        <w:t>10.</w:t>
      </w:r>
      <w:r w:rsidRPr="000E7AE9">
        <w:rPr>
          <w:b/>
          <w:color w:val="000000"/>
          <w:szCs w:val="22"/>
          <w:lang w:val="sv-SE"/>
        </w:rPr>
        <w:tab/>
        <w:t>SÄRSKILDA FÖRSIKTIGHETSÅTGÄRDER FÖR DESTRUKTION AV EJ ANVÄNT LÄKEMEDEL OCH AVFALL I FÖREKOMMANDE FALL</w:t>
      </w:r>
    </w:p>
    <w:p w14:paraId="26E64A33" w14:textId="77777777" w:rsidR="00CE607D" w:rsidRPr="000E7AE9" w:rsidRDefault="00CE607D" w:rsidP="00463647">
      <w:pPr>
        <w:widowControl w:val="0"/>
        <w:suppressAutoHyphens/>
        <w:spacing w:line="240" w:lineRule="auto"/>
        <w:ind w:left="567" w:hanging="567"/>
        <w:rPr>
          <w:color w:val="000000"/>
          <w:szCs w:val="22"/>
          <w:lang w:val="sv-SE"/>
        </w:rPr>
      </w:pPr>
    </w:p>
    <w:p w14:paraId="6BB93D73" w14:textId="77777777" w:rsidR="00CE607D" w:rsidRPr="000E7AE9" w:rsidRDefault="00CE607D" w:rsidP="00463647">
      <w:pPr>
        <w:widowControl w:val="0"/>
        <w:suppressAutoHyphens/>
        <w:spacing w:line="240" w:lineRule="auto"/>
        <w:ind w:left="567" w:hanging="567"/>
        <w:rPr>
          <w:color w:val="000000"/>
          <w:szCs w:val="22"/>
          <w:lang w:val="sv-SE"/>
        </w:rPr>
      </w:pPr>
    </w:p>
    <w:p w14:paraId="3C774416" w14:textId="77777777" w:rsidR="00CE607D" w:rsidRPr="000E7AE9" w:rsidRDefault="00CE607D" w:rsidP="00FB5960">
      <w:pPr>
        <w:keepNext/>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11.</w:t>
      </w:r>
      <w:r w:rsidRPr="000E7AE9">
        <w:rPr>
          <w:b/>
          <w:color w:val="000000"/>
          <w:szCs w:val="22"/>
          <w:lang w:val="sv-SE"/>
        </w:rPr>
        <w:tab/>
        <w:t>INNEHAVARE AV GODKÄNNANDE FÖR FÖRSÄLJNING (NAMN OCH ADRESS)</w:t>
      </w:r>
    </w:p>
    <w:p w14:paraId="467BDBA1" w14:textId="77777777" w:rsidR="00CE607D" w:rsidRPr="000E7AE9" w:rsidRDefault="00CE607D" w:rsidP="00FB5960">
      <w:pPr>
        <w:keepNext/>
        <w:widowControl w:val="0"/>
        <w:suppressAutoHyphens/>
        <w:spacing w:line="240" w:lineRule="auto"/>
        <w:ind w:left="567" w:hanging="567"/>
        <w:rPr>
          <w:color w:val="000000"/>
          <w:szCs w:val="22"/>
          <w:lang w:val="sv-SE"/>
        </w:rPr>
      </w:pPr>
    </w:p>
    <w:p w14:paraId="18A58EF3" w14:textId="77777777" w:rsidR="00CE607D" w:rsidRPr="007C7ADA" w:rsidRDefault="00CE607D" w:rsidP="00FB5960">
      <w:pPr>
        <w:pStyle w:val="EndnoteText"/>
        <w:keepNext/>
        <w:widowControl w:val="0"/>
        <w:tabs>
          <w:tab w:val="clear" w:pos="567"/>
        </w:tabs>
        <w:rPr>
          <w:color w:val="000000"/>
          <w:szCs w:val="22"/>
          <w:lang w:val="en-US"/>
        </w:rPr>
      </w:pPr>
      <w:r w:rsidRPr="007C7ADA">
        <w:rPr>
          <w:color w:val="000000"/>
          <w:szCs w:val="22"/>
          <w:lang w:val="en-US"/>
        </w:rPr>
        <w:t>Novartis Europharm Limited</w:t>
      </w:r>
    </w:p>
    <w:p w14:paraId="2269C37D" w14:textId="77777777" w:rsidR="00A57EF9" w:rsidRPr="00EB33FE" w:rsidRDefault="00A57EF9" w:rsidP="00463647">
      <w:pPr>
        <w:keepNext/>
        <w:widowControl w:val="0"/>
        <w:spacing w:line="240" w:lineRule="auto"/>
        <w:rPr>
          <w:color w:val="000000"/>
        </w:rPr>
      </w:pPr>
      <w:r w:rsidRPr="00EB33FE">
        <w:rPr>
          <w:color w:val="000000"/>
        </w:rPr>
        <w:t>Vista Building</w:t>
      </w:r>
    </w:p>
    <w:p w14:paraId="4E7D69A0" w14:textId="77777777" w:rsidR="00A57EF9" w:rsidRPr="00EB33FE" w:rsidRDefault="00A57EF9" w:rsidP="00463647">
      <w:pPr>
        <w:keepNext/>
        <w:widowControl w:val="0"/>
        <w:spacing w:line="240" w:lineRule="auto"/>
        <w:rPr>
          <w:color w:val="000000"/>
        </w:rPr>
      </w:pPr>
      <w:r w:rsidRPr="00EB33FE">
        <w:rPr>
          <w:color w:val="000000"/>
        </w:rPr>
        <w:t>Elm Park, Merrion Road</w:t>
      </w:r>
    </w:p>
    <w:p w14:paraId="3C4A0973" w14:textId="77777777" w:rsidR="00A57EF9" w:rsidRPr="00B10EAC" w:rsidRDefault="00A57EF9" w:rsidP="00463647">
      <w:pPr>
        <w:keepNext/>
        <w:widowControl w:val="0"/>
        <w:spacing w:line="240" w:lineRule="auto"/>
        <w:rPr>
          <w:color w:val="000000"/>
          <w:lang w:val="sv-SE"/>
        </w:rPr>
      </w:pPr>
      <w:r w:rsidRPr="00B10EAC">
        <w:rPr>
          <w:color w:val="000000"/>
          <w:lang w:val="sv-SE"/>
        </w:rPr>
        <w:t>Dublin 4</w:t>
      </w:r>
    </w:p>
    <w:p w14:paraId="7F5950F2" w14:textId="77777777" w:rsidR="00A57EF9" w:rsidRPr="00B10EAC" w:rsidRDefault="00A57EF9" w:rsidP="00463647">
      <w:pPr>
        <w:widowControl w:val="0"/>
        <w:spacing w:line="240" w:lineRule="auto"/>
        <w:rPr>
          <w:color w:val="000000"/>
          <w:lang w:val="sv-SE"/>
        </w:rPr>
      </w:pPr>
      <w:r w:rsidRPr="00B10EAC">
        <w:rPr>
          <w:color w:val="000000"/>
          <w:lang w:val="sv-SE"/>
        </w:rPr>
        <w:t>Irland</w:t>
      </w:r>
    </w:p>
    <w:p w14:paraId="208361C1" w14:textId="77777777" w:rsidR="00CE607D" w:rsidRPr="000E7AE9" w:rsidRDefault="00CE607D" w:rsidP="00463647">
      <w:pPr>
        <w:widowControl w:val="0"/>
        <w:suppressAutoHyphens/>
        <w:spacing w:line="240" w:lineRule="auto"/>
        <w:ind w:left="567" w:hanging="567"/>
        <w:rPr>
          <w:color w:val="000000"/>
          <w:szCs w:val="22"/>
          <w:lang w:val="sv-SE"/>
        </w:rPr>
      </w:pPr>
    </w:p>
    <w:p w14:paraId="6B49FD1B" w14:textId="77777777" w:rsidR="00CE607D" w:rsidRPr="000E7AE9" w:rsidRDefault="00CE607D" w:rsidP="00463647">
      <w:pPr>
        <w:widowControl w:val="0"/>
        <w:suppressAutoHyphens/>
        <w:spacing w:line="240" w:lineRule="auto"/>
        <w:ind w:left="567" w:hanging="567"/>
        <w:rPr>
          <w:color w:val="000000"/>
          <w:szCs w:val="22"/>
          <w:lang w:val="sv-SE"/>
        </w:rPr>
      </w:pPr>
    </w:p>
    <w:p w14:paraId="107FE667"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12.</w:t>
      </w:r>
      <w:r w:rsidRPr="000E7AE9">
        <w:rPr>
          <w:b/>
          <w:color w:val="000000"/>
          <w:szCs w:val="22"/>
          <w:lang w:val="sv-SE"/>
        </w:rPr>
        <w:tab/>
        <w:t>NUMMER PÅ GODKÄNNANDE FÖR FÖRSÄLJNING</w:t>
      </w:r>
    </w:p>
    <w:p w14:paraId="15B6BEFC" w14:textId="77777777" w:rsidR="00CE607D" w:rsidRPr="000E7AE9" w:rsidRDefault="00CE607D" w:rsidP="00463647">
      <w:pPr>
        <w:widowControl w:val="0"/>
        <w:suppressAutoHyphens/>
        <w:spacing w:line="240" w:lineRule="auto"/>
        <w:ind w:left="567" w:hanging="567"/>
        <w:rPr>
          <w:color w:val="000000"/>
          <w:szCs w:val="22"/>
          <w:lang w:val="sv-SE"/>
        </w:rPr>
      </w:pPr>
    </w:p>
    <w:p w14:paraId="1EC97A8D" w14:textId="77777777" w:rsidR="00CE607D" w:rsidRPr="009761A6" w:rsidRDefault="00CE607D" w:rsidP="00463647">
      <w:pPr>
        <w:pStyle w:val="EndnoteText"/>
        <w:widowControl w:val="0"/>
        <w:tabs>
          <w:tab w:val="clear" w:pos="567"/>
          <w:tab w:val="left" w:pos="2268"/>
        </w:tabs>
        <w:rPr>
          <w:color w:val="000000"/>
          <w:szCs w:val="22"/>
          <w:shd w:val="clear" w:color="auto" w:fill="D9D9D9"/>
          <w:lang w:val="sv-SE"/>
        </w:rPr>
      </w:pPr>
      <w:r w:rsidRPr="000E7AE9">
        <w:rPr>
          <w:color w:val="000000"/>
          <w:szCs w:val="22"/>
          <w:lang w:val="sv-SE"/>
        </w:rPr>
        <w:t>EU/1/01/198/002</w:t>
      </w:r>
      <w:r w:rsidRPr="000E7AE9">
        <w:rPr>
          <w:color w:val="000000"/>
          <w:szCs w:val="22"/>
          <w:lang w:val="sv-SE"/>
        </w:rPr>
        <w:tab/>
      </w:r>
      <w:r w:rsidRPr="009761A6">
        <w:rPr>
          <w:color w:val="000000"/>
          <w:szCs w:val="22"/>
          <w:shd w:val="clear" w:color="auto" w:fill="D9D9D9"/>
          <w:lang w:val="sv-SE"/>
        </w:rPr>
        <w:t>24 kapslar</w:t>
      </w:r>
    </w:p>
    <w:p w14:paraId="326F451F"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EU/1/01/198/003</w:t>
      </w:r>
      <w:r w:rsidRPr="009761A6">
        <w:rPr>
          <w:color w:val="000000"/>
          <w:szCs w:val="22"/>
          <w:shd w:val="clear" w:color="auto" w:fill="D9D9D9"/>
          <w:lang w:val="sv-SE"/>
        </w:rPr>
        <w:tab/>
        <w:t>48 kapslar</w:t>
      </w:r>
    </w:p>
    <w:p w14:paraId="71BB7E31"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EU/1/01/198/004</w:t>
      </w:r>
      <w:r w:rsidRPr="009761A6">
        <w:rPr>
          <w:color w:val="000000"/>
          <w:szCs w:val="22"/>
          <w:shd w:val="clear" w:color="auto" w:fill="D9D9D9"/>
          <w:lang w:val="sv-SE"/>
        </w:rPr>
        <w:tab/>
        <w:t>96 kapslar</w:t>
      </w:r>
    </w:p>
    <w:p w14:paraId="40E50607"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EU/1/01/198/005</w:t>
      </w:r>
      <w:r w:rsidRPr="009761A6">
        <w:rPr>
          <w:color w:val="000000"/>
          <w:szCs w:val="22"/>
          <w:shd w:val="clear" w:color="auto" w:fill="D9D9D9"/>
          <w:lang w:val="sv-SE"/>
        </w:rPr>
        <w:tab/>
        <w:t>120 kapslar</w:t>
      </w:r>
    </w:p>
    <w:p w14:paraId="2D25077F"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EU/1/01/198/006</w:t>
      </w:r>
      <w:r w:rsidRPr="009761A6">
        <w:rPr>
          <w:color w:val="000000"/>
          <w:szCs w:val="22"/>
          <w:shd w:val="clear" w:color="auto" w:fill="D9D9D9"/>
          <w:lang w:val="sv-SE"/>
        </w:rPr>
        <w:tab/>
        <w:t>180 kapslar</w:t>
      </w:r>
    </w:p>
    <w:p w14:paraId="009D5B86" w14:textId="77777777" w:rsidR="00CE607D" w:rsidRPr="000E7AE9" w:rsidRDefault="00CE607D" w:rsidP="00463647">
      <w:pPr>
        <w:widowControl w:val="0"/>
        <w:tabs>
          <w:tab w:val="clear" w:pos="567"/>
        </w:tabs>
        <w:spacing w:line="240" w:lineRule="auto"/>
        <w:rPr>
          <w:color w:val="000000"/>
          <w:szCs w:val="22"/>
          <w:lang w:val="sv-SE"/>
        </w:rPr>
      </w:pPr>
    </w:p>
    <w:p w14:paraId="2FCCC2A0" w14:textId="77777777" w:rsidR="00CE607D" w:rsidRPr="000E7AE9" w:rsidRDefault="00CE607D" w:rsidP="00463647">
      <w:pPr>
        <w:widowControl w:val="0"/>
        <w:suppressAutoHyphens/>
        <w:spacing w:line="240" w:lineRule="auto"/>
        <w:rPr>
          <w:color w:val="000000"/>
          <w:szCs w:val="22"/>
          <w:lang w:val="sv-SE"/>
        </w:rPr>
      </w:pPr>
    </w:p>
    <w:p w14:paraId="5D534EA3"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13.</w:t>
      </w:r>
      <w:r w:rsidRPr="000E7AE9">
        <w:rPr>
          <w:b/>
          <w:color w:val="000000"/>
          <w:szCs w:val="22"/>
          <w:lang w:val="sv-SE"/>
        </w:rPr>
        <w:tab/>
      </w:r>
      <w:r>
        <w:rPr>
          <w:b/>
          <w:color w:val="000000"/>
          <w:szCs w:val="22"/>
          <w:lang w:val="sv-SE"/>
        </w:rPr>
        <w:t>TILLVERKNINGSSATS</w:t>
      </w:r>
      <w:r w:rsidRPr="000E7AE9">
        <w:rPr>
          <w:b/>
          <w:color w:val="000000"/>
          <w:szCs w:val="22"/>
          <w:lang w:val="sv-SE"/>
        </w:rPr>
        <w:t>NUMMER</w:t>
      </w:r>
    </w:p>
    <w:p w14:paraId="5FFCB8BD" w14:textId="77777777" w:rsidR="00CE607D" w:rsidRPr="000E7AE9" w:rsidRDefault="00CE607D" w:rsidP="00463647">
      <w:pPr>
        <w:widowControl w:val="0"/>
        <w:suppressAutoHyphens/>
        <w:spacing w:line="240" w:lineRule="auto"/>
        <w:rPr>
          <w:color w:val="000000"/>
          <w:szCs w:val="22"/>
          <w:lang w:val="sv-SE"/>
        </w:rPr>
      </w:pPr>
    </w:p>
    <w:p w14:paraId="7D481402" w14:textId="77777777" w:rsidR="00CE607D" w:rsidRPr="000E7AE9" w:rsidRDefault="00CE607D" w:rsidP="00463647">
      <w:pPr>
        <w:widowControl w:val="0"/>
        <w:tabs>
          <w:tab w:val="clear" w:pos="567"/>
        </w:tabs>
        <w:spacing w:line="240" w:lineRule="auto"/>
        <w:rPr>
          <w:color w:val="000000"/>
          <w:szCs w:val="22"/>
          <w:lang w:val="sv-SE"/>
        </w:rPr>
      </w:pPr>
      <w:r w:rsidRPr="000E7AE9">
        <w:rPr>
          <w:color w:val="000000"/>
          <w:szCs w:val="22"/>
          <w:lang w:val="sv-SE"/>
        </w:rPr>
        <w:t>Lot</w:t>
      </w:r>
    </w:p>
    <w:p w14:paraId="51347967" w14:textId="77777777" w:rsidR="00CE607D" w:rsidRPr="000E7AE9" w:rsidRDefault="00CE607D" w:rsidP="00463647">
      <w:pPr>
        <w:widowControl w:val="0"/>
        <w:suppressAutoHyphens/>
        <w:spacing w:line="240" w:lineRule="auto"/>
        <w:rPr>
          <w:color w:val="000000"/>
          <w:szCs w:val="22"/>
          <w:lang w:val="sv-SE"/>
        </w:rPr>
      </w:pPr>
    </w:p>
    <w:p w14:paraId="652234D0" w14:textId="77777777" w:rsidR="00CE607D" w:rsidRPr="000E7AE9" w:rsidRDefault="00CE607D" w:rsidP="00463647">
      <w:pPr>
        <w:widowControl w:val="0"/>
        <w:suppressAutoHyphens/>
        <w:spacing w:line="240" w:lineRule="auto"/>
        <w:rPr>
          <w:color w:val="000000"/>
          <w:szCs w:val="22"/>
          <w:lang w:val="sv-SE"/>
        </w:rPr>
      </w:pPr>
    </w:p>
    <w:p w14:paraId="6C510BF1"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14.</w:t>
      </w:r>
      <w:r w:rsidRPr="000E7AE9">
        <w:rPr>
          <w:b/>
          <w:color w:val="000000"/>
          <w:szCs w:val="22"/>
          <w:lang w:val="sv-SE"/>
        </w:rPr>
        <w:tab/>
        <w:t>ALLMÄN KLASSIFICERING FÖR FÖRSKRIVNING</w:t>
      </w:r>
    </w:p>
    <w:p w14:paraId="7C440A78" w14:textId="77777777" w:rsidR="00CE607D" w:rsidRPr="000E7AE9" w:rsidRDefault="00CE607D" w:rsidP="00463647">
      <w:pPr>
        <w:widowControl w:val="0"/>
        <w:suppressAutoHyphens/>
        <w:spacing w:line="240" w:lineRule="auto"/>
        <w:rPr>
          <w:color w:val="000000"/>
          <w:szCs w:val="22"/>
          <w:lang w:val="sv-SE"/>
        </w:rPr>
      </w:pPr>
    </w:p>
    <w:p w14:paraId="5952896A" w14:textId="77777777" w:rsidR="00CE607D" w:rsidRPr="000E7AE9" w:rsidRDefault="00CE607D" w:rsidP="00463647">
      <w:pPr>
        <w:widowControl w:val="0"/>
        <w:suppressAutoHyphens/>
        <w:spacing w:line="240" w:lineRule="auto"/>
        <w:rPr>
          <w:color w:val="000000"/>
          <w:szCs w:val="22"/>
          <w:lang w:val="sv-SE"/>
        </w:rPr>
      </w:pPr>
    </w:p>
    <w:p w14:paraId="4E6E9008"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15.</w:t>
      </w:r>
      <w:r w:rsidRPr="000E7AE9">
        <w:rPr>
          <w:b/>
          <w:color w:val="000000"/>
          <w:szCs w:val="22"/>
          <w:lang w:val="sv-SE"/>
        </w:rPr>
        <w:tab/>
        <w:t>BRUKSANVISNING</w:t>
      </w:r>
    </w:p>
    <w:p w14:paraId="02986BA9" w14:textId="77777777" w:rsidR="00CE607D" w:rsidRPr="000E7AE9" w:rsidRDefault="00CE607D" w:rsidP="00463647">
      <w:pPr>
        <w:widowControl w:val="0"/>
        <w:spacing w:line="240" w:lineRule="auto"/>
        <w:rPr>
          <w:color w:val="000000"/>
          <w:szCs w:val="22"/>
          <w:lang w:val="sv-SE"/>
        </w:rPr>
      </w:pPr>
    </w:p>
    <w:p w14:paraId="2C66E353" w14:textId="77777777" w:rsidR="00CE607D" w:rsidRPr="000E7AE9" w:rsidRDefault="00CE607D" w:rsidP="00463647">
      <w:pPr>
        <w:widowControl w:val="0"/>
        <w:spacing w:line="240" w:lineRule="auto"/>
        <w:rPr>
          <w:color w:val="000000"/>
          <w:szCs w:val="22"/>
          <w:lang w:val="sv-SE"/>
        </w:rPr>
      </w:pPr>
    </w:p>
    <w:p w14:paraId="022BB216" w14:textId="77777777" w:rsidR="00CE607D" w:rsidRPr="007C7ADA" w:rsidRDefault="00CE607D" w:rsidP="00463647">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7C7ADA">
        <w:rPr>
          <w:b/>
          <w:color w:val="000000"/>
          <w:szCs w:val="22"/>
          <w:lang w:val="sv-SE"/>
        </w:rPr>
        <w:t>16.</w:t>
      </w:r>
      <w:r w:rsidRPr="007C7ADA">
        <w:rPr>
          <w:b/>
          <w:color w:val="000000"/>
          <w:szCs w:val="22"/>
          <w:lang w:val="sv-SE"/>
        </w:rPr>
        <w:tab/>
        <w:t>INFORMATION I PUNKTSKRIFT</w:t>
      </w:r>
    </w:p>
    <w:p w14:paraId="615BB2AF" w14:textId="77777777" w:rsidR="00CE607D" w:rsidRPr="007C7ADA" w:rsidRDefault="00CE607D" w:rsidP="00463647">
      <w:pPr>
        <w:widowControl w:val="0"/>
        <w:tabs>
          <w:tab w:val="clear" w:pos="567"/>
        </w:tabs>
        <w:spacing w:line="240" w:lineRule="auto"/>
        <w:rPr>
          <w:color w:val="000000"/>
          <w:szCs w:val="22"/>
          <w:u w:val="single"/>
          <w:lang w:val="sv-SE"/>
        </w:rPr>
      </w:pPr>
    </w:p>
    <w:p w14:paraId="15E2C25D" w14:textId="77777777" w:rsidR="00CE607D" w:rsidRPr="007C7ADA" w:rsidRDefault="00CE607D" w:rsidP="00463647">
      <w:pPr>
        <w:widowControl w:val="0"/>
        <w:tabs>
          <w:tab w:val="clear" w:pos="567"/>
        </w:tabs>
        <w:spacing w:line="240" w:lineRule="auto"/>
        <w:rPr>
          <w:color w:val="000000"/>
          <w:szCs w:val="22"/>
          <w:lang w:val="sv-SE"/>
        </w:rPr>
      </w:pPr>
      <w:r w:rsidRPr="007C7ADA">
        <w:rPr>
          <w:color w:val="000000"/>
          <w:szCs w:val="22"/>
          <w:lang w:val="sv-SE"/>
        </w:rPr>
        <w:t>Glivec 100 mg</w:t>
      </w:r>
    </w:p>
    <w:p w14:paraId="37472BA6" w14:textId="77777777" w:rsidR="00CE607D" w:rsidRPr="007C7ADA" w:rsidRDefault="00CE607D" w:rsidP="00463647">
      <w:pPr>
        <w:widowControl w:val="0"/>
        <w:tabs>
          <w:tab w:val="clear" w:pos="567"/>
        </w:tabs>
        <w:spacing w:line="240" w:lineRule="auto"/>
        <w:rPr>
          <w:color w:val="000000"/>
          <w:szCs w:val="22"/>
          <w:lang w:val="sv-SE"/>
        </w:rPr>
      </w:pPr>
    </w:p>
    <w:p w14:paraId="40624C2E" w14:textId="77777777" w:rsidR="00AD7816" w:rsidRPr="003A5CA4" w:rsidRDefault="00AD7816" w:rsidP="00463647">
      <w:pPr>
        <w:widowControl w:val="0"/>
        <w:tabs>
          <w:tab w:val="clear" w:pos="567"/>
        </w:tabs>
        <w:spacing w:line="240" w:lineRule="auto"/>
        <w:rPr>
          <w:color w:val="000000"/>
          <w:szCs w:val="22"/>
          <w:lang w:val="de-CH"/>
        </w:rPr>
      </w:pPr>
    </w:p>
    <w:p w14:paraId="1611687D" w14:textId="77777777" w:rsidR="00AD7816" w:rsidRPr="001412A8" w:rsidRDefault="00AD7816" w:rsidP="0046364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lang w:val="sv-SE"/>
        </w:rPr>
      </w:pPr>
      <w:r w:rsidRPr="001412A8">
        <w:rPr>
          <w:b/>
          <w:noProof/>
          <w:lang w:val="sv-SE"/>
        </w:rPr>
        <w:t>17.</w:t>
      </w:r>
      <w:r w:rsidRPr="001412A8">
        <w:rPr>
          <w:b/>
          <w:noProof/>
          <w:lang w:val="sv-SE"/>
        </w:rPr>
        <w:tab/>
        <w:t>UNIK IDENTITETSBETECKNING – TVÅDIMENSIONELL STRECKKOD</w:t>
      </w:r>
    </w:p>
    <w:p w14:paraId="34E24CD7" w14:textId="77777777" w:rsidR="00AD7816" w:rsidRPr="001412A8" w:rsidRDefault="00AD7816" w:rsidP="00463647">
      <w:pPr>
        <w:widowControl w:val="0"/>
        <w:tabs>
          <w:tab w:val="clear" w:pos="567"/>
        </w:tabs>
        <w:spacing w:line="240" w:lineRule="auto"/>
        <w:rPr>
          <w:noProof/>
          <w:lang w:val="sv-SE"/>
        </w:rPr>
      </w:pPr>
    </w:p>
    <w:p w14:paraId="68AAAE3E" w14:textId="77777777" w:rsidR="00AD7816" w:rsidRPr="001412A8" w:rsidRDefault="00AD7816" w:rsidP="00463647">
      <w:pPr>
        <w:widowControl w:val="0"/>
        <w:tabs>
          <w:tab w:val="clear" w:pos="567"/>
        </w:tabs>
        <w:spacing w:line="240" w:lineRule="auto"/>
        <w:rPr>
          <w:noProof/>
          <w:szCs w:val="22"/>
          <w:shd w:val="pct15" w:color="auto" w:fill="auto"/>
          <w:lang w:val="sv-SE"/>
        </w:rPr>
      </w:pPr>
      <w:r w:rsidRPr="001412A8">
        <w:rPr>
          <w:noProof/>
          <w:szCs w:val="22"/>
          <w:shd w:val="pct15" w:color="auto" w:fill="auto"/>
          <w:lang w:val="sv-SE"/>
        </w:rPr>
        <w:t>Tvådimensionell streckkod som innehåller den unika identitetsbeteckningen.</w:t>
      </w:r>
    </w:p>
    <w:p w14:paraId="76EB6E11" w14:textId="77777777" w:rsidR="00AD7816" w:rsidRPr="001412A8" w:rsidRDefault="00AD7816" w:rsidP="00463647">
      <w:pPr>
        <w:widowControl w:val="0"/>
        <w:tabs>
          <w:tab w:val="clear" w:pos="567"/>
        </w:tabs>
        <w:spacing w:line="240" w:lineRule="auto"/>
        <w:rPr>
          <w:noProof/>
          <w:szCs w:val="22"/>
          <w:shd w:val="clear" w:color="auto" w:fill="CCCCCC"/>
          <w:lang w:val="sv-SE"/>
        </w:rPr>
      </w:pPr>
    </w:p>
    <w:p w14:paraId="40EA7172" w14:textId="77777777" w:rsidR="00AD7816" w:rsidRPr="001412A8" w:rsidRDefault="00AD7816" w:rsidP="00463647">
      <w:pPr>
        <w:widowControl w:val="0"/>
        <w:tabs>
          <w:tab w:val="clear" w:pos="567"/>
        </w:tabs>
        <w:spacing w:line="240" w:lineRule="auto"/>
        <w:rPr>
          <w:noProof/>
          <w:lang w:val="sv-SE"/>
        </w:rPr>
      </w:pPr>
    </w:p>
    <w:p w14:paraId="7D0EF236" w14:textId="77777777" w:rsidR="00AD7816" w:rsidRPr="001412A8" w:rsidRDefault="00AD7816" w:rsidP="00FB5960">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lang w:val="sv-SE"/>
        </w:rPr>
      </w:pPr>
      <w:r w:rsidRPr="001412A8">
        <w:rPr>
          <w:b/>
          <w:noProof/>
          <w:lang w:val="sv-SE"/>
        </w:rPr>
        <w:t>18.</w:t>
      </w:r>
      <w:r w:rsidRPr="001412A8">
        <w:rPr>
          <w:b/>
          <w:noProof/>
          <w:lang w:val="sv-SE"/>
        </w:rPr>
        <w:tab/>
        <w:t>UNIK IDENTITETSBETECKNING – I ETT FORMAT LÄSBART FÖR MÄNSKLIGT ÖGA</w:t>
      </w:r>
    </w:p>
    <w:p w14:paraId="416EEC9D" w14:textId="77777777" w:rsidR="00AD7816" w:rsidRPr="001412A8" w:rsidRDefault="00AD7816" w:rsidP="00FB5960">
      <w:pPr>
        <w:keepNext/>
        <w:widowControl w:val="0"/>
        <w:tabs>
          <w:tab w:val="clear" w:pos="567"/>
        </w:tabs>
        <w:spacing w:line="240" w:lineRule="auto"/>
        <w:rPr>
          <w:noProof/>
          <w:lang w:val="sv-SE"/>
        </w:rPr>
      </w:pPr>
    </w:p>
    <w:p w14:paraId="57782B8F" w14:textId="77777777" w:rsidR="00AD7816" w:rsidRPr="003A5CA4" w:rsidRDefault="00AD7816" w:rsidP="00FB5960">
      <w:pPr>
        <w:keepNext/>
        <w:widowControl w:val="0"/>
        <w:tabs>
          <w:tab w:val="clear" w:pos="567"/>
        </w:tabs>
        <w:spacing w:line="240" w:lineRule="auto"/>
        <w:rPr>
          <w:szCs w:val="22"/>
          <w:lang w:val="de-CH"/>
        </w:rPr>
      </w:pPr>
      <w:r w:rsidRPr="003A5CA4">
        <w:rPr>
          <w:szCs w:val="22"/>
          <w:lang w:val="de-CH"/>
        </w:rPr>
        <w:t>PC:</w:t>
      </w:r>
    </w:p>
    <w:p w14:paraId="382BF5B3" w14:textId="77777777" w:rsidR="00AD7816" w:rsidRPr="003A5CA4" w:rsidRDefault="00AD7816" w:rsidP="00FB5960">
      <w:pPr>
        <w:keepNext/>
        <w:widowControl w:val="0"/>
        <w:tabs>
          <w:tab w:val="clear" w:pos="567"/>
        </w:tabs>
        <w:spacing w:line="240" w:lineRule="auto"/>
        <w:rPr>
          <w:szCs w:val="22"/>
          <w:lang w:val="de-CH"/>
        </w:rPr>
      </w:pPr>
      <w:r w:rsidRPr="003A5CA4">
        <w:rPr>
          <w:szCs w:val="22"/>
          <w:lang w:val="de-CH"/>
        </w:rPr>
        <w:t>SN:</w:t>
      </w:r>
    </w:p>
    <w:p w14:paraId="097DAB53" w14:textId="77777777" w:rsidR="00AD7816" w:rsidRPr="003A5CA4" w:rsidRDefault="00AD7816" w:rsidP="00463647">
      <w:pPr>
        <w:widowControl w:val="0"/>
        <w:tabs>
          <w:tab w:val="clear" w:pos="567"/>
        </w:tabs>
        <w:spacing w:line="240" w:lineRule="auto"/>
        <w:rPr>
          <w:szCs w:val="22"/>
          <w:lang w:val="de-CH"/>
        </w:rPr>
      </w:pPr>
      <w:r w:rsidRPr="003A5CA4">
        <w:rPr>
          <w:szCs w:val="22"/>
          <w:lang w:val="de-CH"/>
        </w:rPr>
        <w:t>NN:</w:t>
      </w:r>
    </w:p>
    <w:p w14:paraId="352233B8" w14:textId="77777777" w:rsidR="00CE607D" w:rsidRPr="000E7AE9" w:rsidRDefault="00CE607D" w:rsidP="00463647">
      <w:pPr>
        <w:widowControl w:val="0"/>
        <w:spacing w:line="240" w:lineRule="auto"/>
        <w:rPr>
          <w:color w:val="000000"/>
          <w:szCs w:val="22"/>
          <w:lang w:val="sv-SE"/>
        </w:rPr>
      </w:pPr>
      <w:r w:rsidRPr="000E7AE9">
        <w:rPr>
          <w:color w:val="000000"/>
          <w:szCs w:val="22"/>
          <w:lang w:val="sv-SE"/>
        </w:rPr>
        <w:br w:type="page"/>
      </w:r>
    </w:p>
    <w:p w14:paraId="7C26E5E5" w14:textId="77777777" w:rsidR="00FB5960" w:rsidRPr="00FB5960" w:rsidRDefault="00FB5960" w:rsidP="00FB5960">
      <w:pPr>
        <w:widowControl w:val="0"/>
        <w:suppressAutoHyphens/>
        <w:spacing w:line="240" w:lineRule="auto"/>
        <w:rPr>
          <w:color w:val="000000"/>
          <w:szCs w:val="22"/>
          <w:lang w:val="sv-SE"/>
        </w:rPr>
      </w:pPr>
    </w:p>
    <w:p w14:paraId="7B4E6A0A"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rPr>
          <w:b/>
          <w:color w:val="000000"/>
          <w:szCs w:val="22"/>
          <w:lang w:val="sv-SE"/>
        </w:rPr>
      </w:pPr>
      <w:r w:rsidRPr="000E7AE9">
        <w:rPr>
          <w:b/>
          <w:color w:val="000000"/>
          <w:szCs w:val="22"/>
          <w:lang w:val="sv-SE"/>
        </w:rPr>
        <w:t>UPPGIFTER SOM SKA FINNAS PÅ BLISTER ELLER STRIPS</w:t>
      </w:r>
    </w:p>
    <w:p w14:paraId="0A46F88C"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rPr>
          <w:color w:val="000000"/>
          <w:szCs w:val="22"/>
          <w:lang w:val="sv-SE"/>
        </w:rPr>
      </w:pPr>
    </w:p>
    <w:p w14:paraId="5FB9D086"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rPr>
          <w:color w:val="000000"/>
          <w:szCs w:val="22"/>
          <w:lang w:val="sv-SE"/>
        </w:rPr>
      </w:pPr>
      <w:r w:rsidRPr="000E7AE9">
        <w:rPr>
          <w:b/>
          <w:color w:val="000000"/>
          <w:szCs w:val="22"/>
          <w:lang w:val="sv-SE"/>
        </w:rPr>
        <w:t>BLISTER</w:t>
      </w:r>
    </w:p>
    <w:p w14:paraId="76819153" w14:textId="77777777" w:rsidR="00CE607D" w:rsidRPr="000E7AE9" w:rsidRDefault="00CE607D" w:rsidP="00463647">
      <w:pPr>
        <w:widowControl w:val="0"/>
        <w:suppressAutoHyphens/>
        <w:spacing w:line="240" w:lineRule="auto"/>
        <w:rPr>
          <w:color w:val="000000"/>
          <w:szCs w:val="22"/>
          <w:lang w:val="sv-SE"/>
        </w:rPr>
      </w:pPr>
    </w:p>
    <w:p w14:paraId="63B10587" w14:textId="77777777" w:rsidR="00CE607D" w:rsidRPr="000E7AE9" w:rsidRDefault="00CE607D" w:rsidP="00463647">
      <w:pPr>
        <w:widowControl w:val="0"/>
        <w:suppressAutoHyphens/>
        <w:spacing w:line="240" w:lineRule="auto"/>
        <w:rPr>
          <w:color w:val="000000"/>
          <w:szCs w:val="22"/>
          <w:lang w:val="sv-SE"/>
        </w:rPr>
      </w:pPr>
    </w:p>
    <w:p w14:paraId="192DE6EF"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w:t>
      </w:r>
      <w:r w:rsidRPr="000E7AE9">
        <w:rPr>
          <w:b/>
          <w:color w:val="000000"/>
          <w:szCs w:val="22"/>
          <w:lang w:val="sv-SE"/>
        </w:rPr>
        <w:tab/>
        <w:t>LÄKEMEDLETS NAMN</w:t>
      </w:r>
    </w:p>
    <w:p w14:paraId="11011EF7" w14:textId="77777777" w:rsidR="00CE607D" w:rsidRPr="000E7AE9" w:rsidRDefault="00CE607D" w:rsidP="00463647">
      <w:pPr>
        <w:widowControl w:val="0"/>
        <w:suppressAutoHyphens/>
        <w:spacing w:line="240" w:lineRule="auto"/>
        <w:rPr>
          <w:color w:val="000000"/>
          <w:szCs w:val="22"/>
          <w:lang w:val="sv-SE"/>
        </w:rPr>
      </w:pPr>
    </w:p>
    <w:p w14:paraId="730DAFC9" w14:textId="77777777" w:rsidR="00CE607D" w:rsidRPr="000E7AE9" w:rsidRDefault="00CE607D" w:rsidP="00463647">
      <w:pPr>
        <w:widowControl w:val="0"/>
        <w:tabs>
          <w:tab w:val="clear" w:pos="567"/>
        </w:tabs>
        <w:spacing w:line="240" w:lineRule="auto"/>
        <w:ind w:left="567" w:hanging="567"/>
        <w:rPr>
          <w:color w:val="000000"/>
          <w:szCs w:val="22"/>
          <w:lang w:val="sv-SE"/>
        </w:rPr>
      </w:pPr>
      <w:r w:rsidRPr="000E7AE9">
        <w:rPr>
          <w:color w:val="000000"/>
          <w:szCs w:val="22"/>
          <w:lang w:val="sv-SE"/>
        </w:rPr>
        <w:t>Glivec 100 mg kapslar</w:t>
      </w:r>
    </w:p>
    <w:p w14:paraId="6F1DABDA" w14:textId="77777777" w:rsidR="00CE607D" w:rsidRPr="000E7AE9" w:rsidRDefault="001412A8" w:rsidP="00463647">
      <w:pPr>
        <w:widowControl w:val="0"/>
        <w:tabs>
          <w:tab w:val="clear" w:pos="567"/>
        </w:tabs>
        <w:spacing w:line="240" w:lineRule="auto"/>
        <w:ind w:left="567" w:hanging="567"/>
        <w:rPr>
          <w:color w:val="000000"/>
          <w:szCs w:val="22"/>
          <w:lang w:val="sv-SE"/>
        </w:rPr>
      </w:pPr>
      <w:r>
        <w:rPr>
          <w:color w:val="000000"/>
          <w:szCs w:val="22"/>
          <w:lang w:val="sv-SE"/>
        </w:rPr>
        <w:t>i</w:t>
      </w:r>
      <w:r w:rsidR="00CE607D" w:rsidRPr="000E7AE9">
        <w:rPr>
          <w:color w:val="000000"/>
          <w:szCs w:val="22"/>
          <w:lang w:val="sv-SE"/>
        </w:rPr>
        <w:t>matinib</w:t>
      </w:r>
    </w:p>
    <w:p w14:paraId="6056B185" w14:textId="77777777" w:rsidR="00CE607D" w:rsidRPr="000E7AE9" w:rsidRDefault="00CE607D" w:rsidP="00463647">
      <w:pPr>
        <w:widowControl w:val="0"/>
        <w:suppressAutoHyphens/>
        <w:spacing w:line="240" w:lineRule="auto"/>
        <w:rPr>
          <w:color w:val="000000"/>
          <w:szCs w:val="22"/>
          <w:lang w:val="sv-SE"/>
        </w:rPr>
      </w:pPr>
    </w:p>
    <w:p w14:paraId="78E527BC" w14:textId="77777777" w:rsidR="00CE607D" w:rsidRPr="000E7AE9" w:rsidRDefault="00CE607D" w:rsidP="00463647">
      <w:pPr>
        <w:widowControl w:val="0"/>
        <w:suppressAutoHyphens/>
        <w:spacing w:line="240" w:lineRule="auto"/>
        <w:rPr>
          <w:color w:val="000000"/>
          <w:szCs w:val="22"/>
          <w:lang w:val="sv-SE"/>
        </w:rPr>
      </w:pPr>
    </w:p>
    <w:p w14:paraId="0A325122"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2.</w:t>
      </w:r>
      <w:r w:rsidRPr="000E7AE9">
        <w:rPr>
          <w:b/>
          <w:color w:val="000000"/>
          <w:szCs w:val="22"/>
          <w:lang w:val="sv-SE"/>
        </w:rPr>
        <w:tab/>
        <w:t>INNEHAVARE AV GODKÄNNANDE FÖR FÖRSÄLJNING</w:t>
      </w:r>
    </w:p>
    <w:p w14:paraId="475F4650" w14:textId="77777777" w:rsidR="00CE607D" w:rsidRPr="000E7AE9" w:rsidRDefault="00CE607D" w:rsidP="00463647">
      <w:pPr>
        <w:widowControl w:val="0"/>
        <w:suppressAutoHyphens/>
        <w:spacing w:line="240" w:lineRule="auto"/>
        <w:rPr>
          <w:color w:val="000000"/>
          <w:szCs w:val="22"/>
          <w:lang w:val="sv-SE"/>
        </w:rPr>
      </w:pPr>
    </w:p>
    <w:p w14:paraId="2D195769" w14:textId="77777777" w:rsidR="00CE607D" w:rsidRPr="000E7AE9" w:rsidRDefault="00CE607D" w:rsidP="00463647">
      <w:pPr>
        <w:widowControl w:val="0"/>
        <w:tabs>
          <w:tab w:val="clear" w:pos="567"/>
        </w:tabs>
        <w:spacing w:line="240" w:lineRule="auto"/>
        <w:rPr>
          <w:color w:val="000000"/>
          <w:szCs w:val="22"/>
          <w:lang w:val="sv-SE"/>
        </w:rPr>
      </w:pPr>
      <w:r w:rsidRPr="000E7AE9">
        <w:rPr>
          <w:color w:val="000000"/>
          <w:szCs w:val="22"/>
          <w:lang w:val="sv-SE"/>
        </w:rPr>
        <w:t>Novartis Europharm Limited</w:t>
      </w:r>
    </w:p>
    <w:p w14:paraId="403B23A6" w14:textId="77777777" w:rsidR="00CE607D" w:rsidRPr="000E7AE9" w:rsidRDefault="00CE607D" w:rsidP="00463647">
      <w:pPr>
        <w:widowControl w:val="0"/>
        <w:suppressAutoHyphens/>
        <w:spacing w:line="240" w:lineRule="auto"/>
        <w:rPr>
          <w:color w:val="000000"/>
          <w:szCs w:val="22"/>
          <w:lang w:val="sv-SE"/>
        </w:rPr>
      </w:pPr>
    </w:p>
    <w:p w14:paraId="37D35C3D" w14:textId="77777777" w:rsidR="00CE607D" w:rsidRPr="000E7AE9" w:rsidRDefault="00CE607D" w:rsidP="00463647">
      <w:pPr>
        <w:widowControl w:val="0"/>
        <w:suppressAutoHyphens/>
        <w:spacing w:line="240" w:lineRule="auto"/>
        <w:rPr>
          <w:color w:val="000000"/>
          <w:szCs w:val="22"/>
          <w:lang w:val="sv-SE"/>
        </w:rPr>
      </w:pPr>
    </w:p>
    <w:p w14:paraId="42866E32"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3.</w:t>
      </w:r>
      <w:r w:rsidRPr="000E7AE9">
        <w:rPr>
          <w:b/>
          <w:color w:val="000000"/>
          <w:szCs w:val="22"/>
          <w:lang w:val="sv-SE"/>
        </w:rPr>
        <w:tab/>
        <w:t>UTGÅNGSDATUM</w:t>
      </w:r>
    </w:p>
    <w:p w14:paraId="3A3E4C6E" w14:textId="77777777" w:rsidR="00CE607D" w:rsidRPr="000E7AE9" w:rsidRDefault="00CE607D" w:rsidP="00463647">
      <w:pPr>
        <w:widowControl w:val="0"/>
        <w:suppressAutoHyphens/>
        <w:spacing w:line="240" w:lineRule="auto"/>
        <w:ind w:left="567" w:hanging="567"/>
        <w:rPr>
          <w:color w:val="000000"/>
          <w:szCs w:val="22"/>
          <w:lang w:val="sv-SE"/>
        </w:rPr>
      </w:pPr>
    </w:p>
    <w:p w14:paraId="0306F0C1" w14:textId="77777777" w:rsidR="00CE607D" w:rsidRPr="000E7AE9" w:rsidRDefault="00CE607D" w:rsidP="00463647">
      <w:pPr>
        <w:pStyle w:val="EndnoteText"/>
        <w:widowControl w:val="0"/>
        <w:tabs>
          <w:tab w:val="clear" w:pos="567"/>
        </w:tabs>
        <w:rPr>
          <w:color w:val="000000"/>
          <w:szCs w:val="22"/>
          <w:lang w:val="sv-SE"/>
        </w:rPr>
      </w:pPr>
      <w:r w:rsidRPr="000E7AE9">
        <w:rPr>
          <w:color w:val="000000"/>
          <w:szCs w:val="22"/>
          <w:lang w:val="sv-SE"/>
        </w:rPr>
        <w:t>EXP</w:t>
      </w:r>
    </w:p>
    <w:p w14:paraId="3C4ED8F5" w14:textId="77777777" w:rsidR="00CE607D" w:rsidRPr="000E7AE9" w:rsidRDefault="00CE607D" w:rsidP="00463647">
      <w:pPr>
        <w:widowControl w:val="0"/>
        <w:suppressAutoHyphens/>
        <w:spacing w:line="240" w:lineRule="auto"/>
        <w:rPr>
          <w:color w:val="000000"/>
          <w:szCs w:val="22"/>
          <w:lang w:val="sv-SE"/>
        </w:rPr>
      </w:pPr>
    </w:p>
    <w:p w14:paraId="37E5F55D" w14:textId="77777777" w:rsidR="00CE607D" w:rsidRPr="000E7AE9" w:rsidRDefault="00CE607D" w:rsidP="00463647">
      <w:pPr>
        <w:widowControl w:val="0"/>
        <w:suppressAutoHyphens/>
        <w:spacing w:line="240" w:lineRule="auto"/>
        <w:rPr>
          <w:color w:val="000000"/>
          <w:szCs w:val="22"/>
          <w:lang w:val="sv-SE"/>
        </w:rPr>
      </w:pPr>
    </w:p>
    <w:p w14:paraId="0C02D0C6"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4.</w:t>
      </w:r>
      <w:r w:rsidRPr="000E7AE9">
        <w:rPr>
          <w:b/>
          <w:color w:val="000000"/>
          <w:szCs w:val="22"/>
          <w:lang w:val="sv-SE"/>
        </w:rPr>
        <w:tab/>
      </w:r>
      <w:r>
        <w:rPr>
          <w:b/>
          <w:color w:val="000000"/>
          <w:szCs w:val="22"/>
          <w:lang w:val="sv-SE"/>
        </w:rPr>
        <w:t>TILLVERKNINGSSATS</w:t>
      </w:r>
      <w:r w:rsidRPr="000E7AE9">
        <w:rPr>
          <w:b/>
          <w:color w:val="000000"/>
          <w:szCs w:val="22"/>
          <w:lang w:val="sv-SE"/>
        </w:rPr>
        <w:t>NUMMER</w:t>
      </w:r>
    </w:p>
    <w:p w14:paraId="630FE331" w14:textId="77777777" w:rsidR="00CE607D" w:rsidRPr="000E7AE9" w:rsidRDefault="00CE607D" w:rsidP="00463647">
      <w:pPr>
        <w:widowControl w:val="0"/>
        <w:suppressAutoHyphens/>
        <w:spacing w:line="240" w:lineRule="auto"/>
        <w:rPr>
          <w:color w:val="000000"/>
          <w:szCs w:val="22"/>
          <w:lang w:val="sv-SE"/>
        </w:rPr>
      </w:pPr>
    </w:p>
    <w:p w14:paraId="738BAF88" w14:textId="77777777" w:rsidR="00CE607D" w:rsidRPr="000E7AE9" w:rsidRDefault="00CE607D" w:rsidP="00463647">
      <w:pPr>
        <w:widowControl w:val="0"/>
        <w:tabs>
          <w:tab w:val="clear" w:pos="567"/>
        </w:tabs>
        <w:spacing w:line="240" w:lineRule="auto"/>
        <w:rPr>
          <w:color w:val="000000"/>
          <w:szCs w:val="22"/>
          <w:lang w:val="sv-SE"/>
        </w:rPr>
      </w:pPr>
      <w:r w:rsidRPr="000E7AE9">
        <w:rPr>
          <w:color w:val="000000"/>
          <w:szCs w:val="22"/>
          <w:lang w:val="sv-SE"/>
        </w:rPr>
        <w:t>Lot</w:t>
      </w:r>
    </w:p>
    <w:p w14:paraId="50D9E15A" w14:textId="77777777" w:rsidR="00CE607D" w:rsidRDefault="00CE607D" w:rsidP="00463647">
      <w:pPr>
        <w:widowControl w:val="0"/>
        <w:tabs>
          <w:tab w:val="clear" w:pos="567"/>
        </w:tabs>
        <w:spacing w:line="240" w:lineRule="auto"/>
        <w:rPr>
          <w:color w:val="000000"/>
          <w:szCs w:val="22"/>
          <w:lang w:val="sv-SE"/>
        </w:rPr>
      </w:pPr>
    </w:p>
    <w:p w14:paraId="51A717BB" w14:textId="77777777" w:rsidR="00CE607D" w:rsidRPr="00CE607D" w:rsidRDefault="00CE607D" w:rsidP="00463647">
      <w:pPr>
        <w:widowControl w:val="0"/>
        <w:tabs>
          <w:tab w:val="clear" w:pos="567"/>
        </w:tabs>
        <w:spacing w:line="240" w:lineRule="auto"/>
        <w:rPr>
          <w:color w:val="000000"/>
          <w:szCs w:val="22"/>
          <w:lang w:val="sv-SE"/>
        </w:rPr>
      </w:pPr>
    </w:p>
    <w:p w14:paraId="12463934" w14:textId="77777777" w:rsidR="00CE607D" w:rsidRPr="00CE607D" w:rsidRDefault="00CE607D" w:rsidP="00463647">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lang w:val="sv-SE"/>
        </w:rPr>
      </w:pPr>
      <w:r w:rsidRPr="00CE607D">
        <w:rPr>
          <w:b/>
          <w:noProof/>
          <w:lang w:val="sv-SE"/>
        </w:rPr>
        <w:t>5.</w:t>
      </w:r>
      <w:r w:rsidRPr="00CE607D">
        <w:rPr>
          <w:b/>
          <w:noProof/>
          <w:lang w:val="sv-SE"/>
        </w:rPr>
        <w:tab/>
        <w:t>ÖVRIGT</w:t>
      </w:r>
    </w:p>
    <w:p w14:paraId="2B0D3252" w14:textId="77777777" w:rsidR="00CE607D" w:rsidRPr="000E7AE9" w:rsidRDefault="00CE607D" w:rsidP="00463647">
      <w:pPr>
        <w:widowControl w:val="0"/>
        <w:shd w:val="clear" w:color="auto" w:fill="FFFFFF"/>
        <w:suppressAutoHyphens/>
        <w:spacing w:line="240" w:lineRule="auto"/>
        <w:rPr>
          <w:color w:val="000000"/>
          <w:szCs w:val="22"/>
          <w:lang w:val="sv-SE"/>
        </w:rPr>
      </w:pPr>
      <w:r w:rsidRPr="000E7AE9">
        <w:rPr>
          <w:color w:val="000000"/>
          <w:szCs w:val="22"/>
          <w:lang w:val="sv-SE"/>
        </w:rPr>
        <w:br w:type="page"/>
      </w:r>
    </w:p>
    <w:p w14:paraId="345030A2" w14:textId="77777777" w:rsidR="00FB5960" w:rsidRPr="00FB5960" w:rsidRDefault="00FB5960" w:rsidP="00FB5960">
      <w:pPr>
        <w:widowControl w:val="0"/>
        <w:suppressAutoHyphens/>
        <w:spacing w:line="240" w:lineRule="auto"/>
        <w:rPr>
          <w:color w:val="000000"/>
          <w:szCs w:val="22"/>
          <w:lang w:val="sv-SE"/>
        </w:rPr>
      </w:pPr>
    </w:p>
    <w:p w14:paraId="03667D37"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hd w:val="clear" w:color="auto" w:fill="FFFFFF"/>
        <w:suppressAutoHyphens/>
        <w:spacing w:line="240" w:lineRule="auto"/>
        <w:rPr>
          <w:color w:val="000000"/>
          <w:szCs w:val="22"/>
          <w:lang w:val="sv-SE"/>
        </w:rPr>
      </w:pPr>
      <w:r w:rsidRPr="000E7AE9">
        <w:rPr>
          <w:b/>
          <w:color w:val="000000"/>
          <w:szCs w:val="22"/>
          <w:lang w:val="sv-SE"/>
        </w:rPr>
        <w:t>UPPGIFTER SOM SKA FINNAS PÅ YTTRE FÖRPACKNINGEN</w:t>
      </w:r>
    </w:p>
    <w:p w14:paraId="0DDE499A"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sv-SE"/>
        </w:rPr>
      </w:pPr>
    </w:p>
    <w:p w14:paraId="23BA4947"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outlineLvl w:val="0"/>
        <w:rPr>
          <w:b/>
          <w:caps/>
          <w:snapToGrid w:val="0"/>
          <w:color w:val="000000"/>
          <w:szCs w:val="22"/>
          <w:lang w:val="sv-SE"/>
        </w:rPr>
      </w:pPr>
      <w:r w:rsidRPr="000E7AE9">
        <w:rPr>
          <w:b/>
          <w:caps/>
          <w:color w:val="000000"/>
          <w:szCs w:val="22"/>
          <w:lang w:val="sv-SE"/>
        </w:rPr>
        <w:t>kartong</w:t>
      </w:r>
    </w:p>
    <w:p w14:paraId="3C99E257" w14:textId="77777777" w:rsidR="00CE607D" w:rsidRPr="000E7AE9" w:rsidRDefault="00CE607D" w:rsidP="00463647">
      <w:pPr>
        <w:widowControl w:val="0"/>
        <w:suppressAutoHyphens/>
        <w:spacing w:line="240" w:lineRule="auto"/>
        <w:rPr>
          <w:color w:val="000000"/>
          <w:szCs w:val="22"/>
          <w:lang w:val="sv-SE"/>
        </w:rPr>
      </w:pPr>
    </w:p>
    <w:p w14:paraId="768CEA43" w14:textId="77777777" w:rsidR="00CE607D" w:rsidRPr="000E7AE9" w:rsidRDefault="00CE607D" w:rsidP="00463647">
      <w:pPr>
        <w:widowControl w:val="0"/>
        <w:suppressAutoHyphens/>
        <w:spacing w:line="240" w:lineRule="auto"/>
        <w:rPr>
          <w:color w:val="000000"/>
          <w:szCs w:val="22"/>
          <w:lang w:val="sv-SE"/>
        </w:rPr>
      </w:pPr>
    </w:p>
    <w:p w14:paraId="1703F132"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1.</w:t>
      </w:r>
      <w:r w:rsidRPr="000E7AE9">
        <w:rPr>
          <w:b/>
          <w:color w:val="000000"/>
          <w:szCs w:val="22"/>
          <w:lang w:val="sv-SE"/>
        </w:rPr>
        <w:tab/>
        <w:t>LÄKEMEDLETS NAMN</w:t>
      </w:r>
    </w:p>
    <w:p w14:paraId="0D48D186" w14:textId="77777777" w:rsidR="00CE607D" w:rsidRPr="000E7AE9" w:rsidRDefault="00CE607D" w:rsidP="00463647">
      <w:pPr>
        <w:widowControl w:val="0"/>
        <w:suppressAutoHyphens/>
        <w:spacing w:line="240" w:lineRule="auto"/>
        <w:rPr>
          <w:color w:val="000000"/>
          <w:szCs w:val="22"/>
          <w:lang w:val="sv-SE"/>
        </w:rPr>
      </w:pPr>
    </w:p>
    <w:p w14:paraId="3D9ACAA9"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t>Glivec 100 mg filmdragerade tabletter</w:t>
      </w:r>
    </w:p>
    <w:p w14:paraId="765D8C15" w14:textId="77777777" w:rsidR="00CE607D" w:rsidRPr="000E7AE9" w:rsidRDefault="001412A8" w:rsidP="00463647">
      <w:pPr>
        <w:widowControl w:val="0"/>
        <w:spacing w:line="240" w:lineRule="auto"/>
        <w:outlineLvl w:val="0"/>
        <w:rPr>
          <w:color w:val="000000"/>
          <w:szCs w:val="22"/>
          <w:lang w:val="sv-SE"/>
        </w:rPr>
      </w:pPr>
      <w:r>
        <w:rPr>
          <w:color w:val="000000"/>
          <w:szCs w:val="22"/>
          <w:lang w:val="sv-SE"/>
        </w:rPr>
        <w:t>i</w:t>
      </w:r>
      <w:r w:rsidR="00CE607D" w:rsidRPr="000E7AE9">
        <w:rPr>
          <w:color w:val="000000"/>
          <w:szCs w:val="22"/>
          <w:lang w:val="sv-SE"/>
        </w:rPr>
        <w:t>matinib</w:t>
      </w:r>
    </w:p>
    <w:p w14:paraId="7DD407E6" w14:textId="77777777" w:rsidR="00CE607D" w:rsidRPr="000E7AE9" w:rsidRDefault="00CE607D" w:rsidP="00463647">
      <w:pPr>
        <w:widowControl w:val="0"/>
        <w:suppressAutoHyphens/>
        <w:spacing w:line="240" w:lineRule="auto"/>
        <w:rPr>
          <w:color w:val="000000"/>
          <w:szCs w:val="22"/>
          <w:lang w:val="sv-SE"/>
        </w:rPr>
      </w:pPr>
    </w:p>
    <w:p w14:paraId="4A3FEF93" w14:textId="77777777" w:rsidR="00CE607D" w:rsidRPr="000E7AE9" w:rsidRDefault="00CE607D" w:rsidP="00463647">
      <w:pPr>
        <w:widowControl w:val="0"/>
        <w:suppressAutoHyphens/>
        <w:spacing w:line="240" w:lineRule="auto"/>
        <w:rPr>
          <w:color w:val="000000"/>
          <w:szCs w:val="22"/>
          <w:lang w:val="sv-SE"/>
        </w:rPr>
      </w:pPr>
    </w:p>
    <w:p w14:paraId="11D6BF55"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2.</w:t>
      </w:r>
      <w:r w:rsidRPr="000E7AE9">
        <w:rPr>
          <w:b/>
          <w:color w:val="000000"/>
          <w:szCs w:val="22"/>
          <w:lang w:val="sv-SE"/>
        </w:rPr>
        <w:tab/>
      </w:r>
      <w:r w:rsidRPr="000E7AE9">
        <w:rPr>
          <w:b/>
          <w:noProof/>
          <w:color w:val="000000"/>
          <w:szCs w:val="22"/>
          <w:lang w:val="sv-SE"/>
        </w:rPr>
        <w:t>DEKLARATION AV AKTIV(A) SUBSTANS(ER)</w:t>
      </w:r>
    </w:p>
    <w:p w14:paraId="7676ED0D" w14:textId="77777777" w:rsidR="00CE607D" w:rsidRPr="000E7AE9" w:rsidRDefault="00CE607D" w:rsidP="00463647">
      <w:pPr>
        <w:widowControl w:val="0"/>
        <w:suppressAutoHyphens/>
        <w:spacing w:line="240" w:lineRule="auto"/>
        <w:rPr>
          <w:color w:val="000000"/>
          <w:szCs w:val="22"/>
          <w:lang w:val="sv-SE"/>
        </w:rPr>
      </w:pPr>
    </w:p>
    <w:p w14:paraId="4B710F5F" w14:textId="77777777" w:rsidR="00CE607D" w:rsidRPr="000E7AE9" w:rsidRDefault="00CE607D" w:rsidP="00463647">
      <w:pPr>
        <w:pStyle w:val="TextChar"/>
        <w:widowControl w:val="0"/>
        <w:spacing w:before="0"/>
        <w:outlineLvl w:val="0"/>
        <w:rPr>
          <w:color w:val="000000"/>
          <w:sz w:val="22"/>
          <w:szCs w:val="22"/>
          <w:lang w:val="sv-SE"/>
        </w:rPr>
      </w:pPr>
      <w:r w:rsidRPr="000E7AE9">
        <w:rPr>
          <w:color w:val="000000"/>
          <w:sz w:val="22"/>
          <w:szCs w:val="22"/>
          <w:lang w:val="sv-SE"/>
        </w:rPr>
        <w:t>Varje filmdragerad tablett innehåller 100 mg imatinib (som mesylat).</w:t>
      </w:r>
    </w:p>
    <w:p w14:paraId="4B678EE5" w14:textId="77777777" w:rsidR="00CE607D" w:rsidRPr="000E7AE9" w:rsidRDefault="00CE607D" w:rsidP="00463647">
      <w:pPr>
        <w:widowControl w:val="0"/>
        <w:suppressAutoHyphens/>
        <w:spacing w:line="240" w:lineRule="auto"/>
        <w:rPr>
          <w:color w:val="000000"/>
          <w:szCs w:val="22"/>
          <w:lang w:val="sv-SE"/>
        </w:rPr>
      </w:pPr>
    </w:p>
    <w:p w14:paraId="5EE1C9CC" w14:textId="77777777" w:rsidR="00CE607D" w:rsidRPr="000E7AE9" w:rsidRDefault="00CE607D" w:rsidP="00463647">
      <w:pPr>
        <w:widowControl w:val="0"/>
        <w:suppressAutoHyphens/>
        <w:spacing w:line="240" w:lineRule="auto"/>
        <w:rPr>
          <w:color w:val="000000"/>
          <w:szCs w:val="22"/>
          <w:lang w:val="sv-SE"/>
        </w:rPr>
      </w:pPr>
    </w:p>
    <w:p w14:paraId="17077273"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3.</w:t>
      </w:r>
      <w:r w:rsidRPr="000E7AE9">
        <w:rPr>
          <w:b/>
          <w:color w:val="000000"/>
          <w:szCs w:val="22"/>
          <w:lang w:val="sv-SE"/>
        </w:rPr>
        <w:tab/>
        <w:t>FÖRTECKNING ÖVER HJÄLPÄMNEN</w:t>
      </w:r>
    </w:p>
    <w:p w14:paraId="13BE695E" w14:textId="77777777" w:rsidR="00CE607D" w:rsidRPr="000E7AE9" w:rsidRDefault="00CE607D" w:rsidP="00463647">
      <w:pPr>
        <w:widowControl w:val="0"/>
        <w:suppressAutoHyphens/>
        <w:spacing w:line="240" w:lineRule="auto"/>
        <w:rPr>
          <w:color w:val="000000"/>
          <w:szCs w:val="22"/>
          <w:lang w:val="sv-SE"/>
        </w:rPr>
      </w:pPr>
    </w:p>
    <w:p w14:paraId="0ADCE87C" w14:textId="77777777" w:rsidR="00CE607D" w:rsidRPr="000E7AE9" w:rsidRDefault="00CE607D" w:rsidP="00463647">
      <w:pPr>
        <w:widowControl w:val="0"/>
        <w:suppressAutoHyphens/>
        <w:spacing w:line="240" w:lineRule="auto"/>
        <w:rPr>
          <w:color w:val="000000"/>
          <w:szCs w:val="22"/>
          <w:lang w:val="sv-SE"/>
        </w:rPr>
      </w:pPr>
    </w:p>
    <w:p w14:paraId="57CF8C67"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4.</w:t>
      </w:r>
      <w:r w:rsidRPr="000E7AE9">
        <w:rPr>
          <w:b/>
          <w:color w:val="000000"/>
          <w:szCs w:val="22"/>
          <w:lang w:val="sv-SE"/>
        </w:rPr>
        <w:tab/>
        <w:t>LÄKEMEDELSFORM OCH FÖRPACKNINGSSTORLEK</w:t>
      </w:r>
    </w:p>
    <w:p w14:paraId="504A1D77" w14:textId="77777777" w:rsidR="00CE607D" w:rsidRPr="000E7AE9" w:rsidRDefault="00CE607D" w:rsidP="00463647">
      <w:pPr>
        <w:widowControl w:val="0"/>
        <w:suppressAutoHyphens/>
        <w:spacing w:line="240" w:lineRule="auto"/>
        <w:rPr>
          <w:color w:val="000000"/>
          <w:szCs w:val="22"/>
          <w:lang w:val="sv-SE"/>
        </w:rPr>
      </w:pPr>
    </w:p>
    <w:p w14:paraId="46593419" w14:textId="77777777" w:rsidR="00CE607D" w:rsidRPr="000E7AE9" w:rsidRDefault="00CE607D" w:rsidP="00463647">
      <w:pPr>
        <w:pStyle w:val="EndnoteText"/>
        <w:widowControl w:val="0"/>
        <w:rPr>
          <w:color w:val="000000"/>
          <w:szCs w:val="22"/>
          <w:lang w:val="sv-SE"/>
        </w:rPr>
      </w:pPr>
      <w:r w:rsidRPr="00744C82">
        <w:rPr>
          <w:color w:val="000000"/>
          <w:szCs w:val="22"/>
          <w:lang w:val="sv-SE"/>
        </w:rPr>
        <w:t>20 filmdragerade tabletter</w:t>
      </w:r>
      <w:r w:rsidRPr="000E7AE9">
        <w:rPr>
          <w:color w:val="000000"/>
          <w:szCs w:val="22"/>
          <w:lang w:val="sv-SE"/>
        </w:rPr>
        <w:t>,</w:t>
      </w:r>
    </w:p>
    <w:p w14:paraId="67308310" w14:textId="77777777" w:rsidR="00CE607D" w:rsidRPr="000E7AE9" w:rsidRDefault="00CE607D" w:rsidP="00463647">
      <w:pPr>
        <w:widowControl w:val="0"/>
        <w:suppressAutoHyphens/>
        <w:spacing w:line="240" w:lineRule="auto"/>
        <w:rPr>
          <w:color w:val="000000"/>
          <w:szCs w:val="22"/>
          <w:shd w:val="clear" w:color="auto" w:fill="D9D9D9"/>
          <w:lang w:val="sv-SE"/>
        </w:rPr>
      </w:pPr>
      <w:r w:rsidRPr="000E7AE9">
        <w:rPr>
          <w:color w:val="000000"/>
          <w:szCs w:val="22"/>
          <w:shd w:val="clear" w:color="auto" w:fill="D9D9D9"/>
          <w:lang w:val="sv-SE"/>
        </w:rPr>
        <w:t>60 filmdragerade tabletter</w:t>
      </w:r>
    </w:p>
    <w:p w14:paraId="4B20F0CD" w14:textId="77777777" w:rsidR="00CE607D" w:rsidRPr="000E7AE9" w:rsidRDefault="00CE607D" w:rsidP="00463647">
      <w:pPr>
        <w:widowControl w:val="0"/>
        <w:suppressAutoHyphens/>
        <w:spacing w:line="240" w:lineRule="auto"/>
        <w:rPr>
          <w:color w:val="000000"/>
          <w:szCs w:val="22"/>
          <w:shd w:val="clear" w:color="auto" w:fill="D9D9D9"/>
          <w:lang w:val="sv-SE"/>
        </w:rPr>
      </w:pPr>
      <w:r w:rsidRPr="000E7AE9">
        <w:rPr>
          <w:color w:val="000000"/>
          <w:szCs w:val="22"/>
          <w:shd w:val="clear" w:color="auto" w:fill="D9D9D9"/>
          <w:lang w:val="sv-SE"/>
        </w:rPr>
        <w:t>120 filmdragerade tabletter</w:t>
      </w:r>
    </w:p>
    <w:p w14:paraId="49C2C934" w14:textId="77777777" w:rsidR="00CE607D" w:rsidRPr="000E7AE9" w:rsidRDefault="00CE607D" w:rsidP="00463647">
      <w:pPr>
        <w:widowControl w:val="0"/>
        <w:suppressAutoHyphens/>
        <w:spacing w:line="240" w:lineRule="auto"/>
        <w:rPr>
          <w:color w:val="000000"/>
          <w:szCs w:val="22"/>
          <w:shd w:val="clear" w:color="auto" w:fill="D9D9D9"/>
          <w:lang w:val="sv-SE"/>
        </w:rPr>
      </w:pPr>
      <w:r w:rsidRPr="000E7AE9">
        <w:rPr>
          <w:color w:val="000000"/>
          <w:szCs w:val="22"/>
          <w:shd w:val="clear" w:color="auto" w:fill="D9D9D9"/>
          <w:lang w:val="sv-SE"/>
        </w:rPr>
        <w:t>180 filmdragerade tabletter</w:t>
      </w:r>
    </w:p>
    <w:p w14:paraId="50ADBCD6" w14:textId="77777777" w:rsidR="00CE607D" w:rsidRPr="000E7AE9" w:rsidRDefault="00CE607D" w:rsidP="00463647">
      <w:pPr>
        <w:widowControl w:val="0"/>
        <w:suppressAutoHyphens/>
        <w:spacing w:line="240" w:lineRule="auto"/>
        <w:rPr>
          <w:color w:val="000000"/>
          <w:szCs w:val="22"/>
          <w:lang w:val="sv-SE"/>
        </w:rPr>
      </w:pPr>
    </w:p>
    <w:p w14:paraId="34323BA1" w14:textId="77777777" w:rsidR="00CE607D" w:rsidRPr="000E7AE9" w:rsidRDefault="00CE607D" w:rsidP="00463647">
      <w:pPr>
        <w:widowControl w:val="0"/>
        <w:suppressAutoHyphens/>
        <w:spacing w:line="240" w:lineRule="auto"/>
        <w:rPr>
          <w:color w:val="000000"/>
          <w:szCs w:val="22"/>
          <w:lang w:val="sv-SE"/>
        </w:rPr>
      </w:pPr>
    </w:p>
    <w:p w14:paraId="062659D2"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5.</w:t>
      </w:r>
      <w:r w:rsidRPr="000E7AE9">
        <w:rPr>
          <w:b/>
          <w:color w:val="000000"/>
          <w:szCs w:val="22"/>
          <w:lang w:val="sv-SE"/>
        </w:rPr>
        <w:tab/>
        <w:t>ADMINISTRERINGSSÄTT OCH ADMINISTRERINGSVÄG</w:t>
      </w:r>
    </w:p>
    <w:p w14:paraId="085087F6" w14:textId="77777777" w:rsidR="00CE607D" w:rsidRPr="000E7AE9" w:rsidRDefault="00CE607D" w:rsidP="00463647">
      <w:pPr>
        <w:widowControl w:val="0"/>
        <w:suppressAutoHyphens/>
        <w:spacing w:line="240" w:lineRule="auto"/>
        <w:rPr>
          <w:color w:val="000000"/>
          <w:szCs w:val="22"/>
          <w:lang w:val="sv-SE"/>
        </w:rPr>
      </w:pPr>
    </w:p>
    <w:p w14:paraId="147CA476" w14:textId="77777777" w:rsidR="00CE607D" w:rsidRPr="000E7AE9" w:rsidRDefault="00CE607D" w:rsidP="00463647">
      <w:pPr>
        <w:pStyle w:val="EndnoteText"/>
        <w:widowControl w:val="0"/>
        <w:tabs>
          <w:tab w:val="clear" w:pos="567"/>
        </w:tabs>
        <w:outlineLvl w:val="0"/>
        <w:rPr>
          <w:color w:val="000000"/>
          <w:szCs w:val="22"/>
          <w:lang w:val="sv-SE"/>
        </w:rPr>
      </w:pPr>
      <w:r w:rsidRPr="000E7AE9">
        <w:rPr>
          <w:color w:val="000000"/>
          <w:szCs w:val="22"/>
          <w:lang w:val="sv-SE"/>
        </w:rPr>
        <w:t>Oral användning. Läs bipacksedeln före användning.</w:t>
      </w:r>
    </w:p>
    <w:p w14:paraId="0CBE1046" w14:textId="77777777" w:rsidR="00CE607D" w:rsidRPr="000E7AE9" w:rsidRDefault="00CE607D" w:rsidP="00463647">
      <w:pPr>
        <w:widowControl w:val="0"/>
        <w:suppressAutoHyphens/>
        <w:spacing w:line="240" w:lineRule="auto"/>
        <w:rPr>
          <w:color w:val="000000"/>
          <w:szCs w:val="22"/>
          <w:lang w:val="sv-SE"/>
        </w:rPr>
      </w:pPr>
    </w:p>
    <w:p w14:paraId="7282F2E4" w14:textId="77777777" w:rsidR="00CE607D" w:rsidRPr="000E7AE9" w:rsidRDefault="00CE607D" w:rsidP="00463647">
      <w:pPr>
        <w:widowControl w:val="0"/>
        <w:suppressAutoHyphens/>
        <w:spacing w:line="240" w:lineRule="auto"/>
        <w:rPr>
          <w:color w:val="000000"/>
          <w:szCs w:val="22"/>
          <w:lang w:val="sv-SE"/>
        </w:rPr>
      </w:pPr>
    </w:p>
    <w:p w14:paraId="24AD0E24"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6.</w:t>
      </w:r>
      <w:r w:rsidRPr="000E7AE9">
        <w:rPr>
          <w:b/>
          <w:color w:val="000000"/>
          <w:szCs w:val="22"/>
          <w:lang w:val="sv-SE"/>
        </w:rPr>
        <w:tab/>
      </w:r>
      <w:r w:rsidRPr="000E7AE9">
        <w:rPr>
          <w:b/>
          <w:noProof/>
          <w:color w:val="000000"/>
          <w:szCs w:val="22"/>
          <w:lang w:val="sv-SE"/>
        </w:rPr>
        <w:t>SÄRSKILD VARNING OM ATT LÄKEMEDLET MÅSTE FÖRVARAS UTOM SYN- OCH RÄCKHÅLL FÖR BARN</w:t>
      </w:r>
    </w:p>
    <w:p w14:paraId="1E04318E" w14:textId="77777777" w:rsidR="00CE607D" w:rsidRPr="000E7AE9" w:rsidRDefault="00CE607D" w:rsidP="00463647">
      <w:pPr>
        <w:widowControl w:val="0"/>
        <w:suppressAutoHyphens/>
        <w:spacing w:line="240" w:lineRule="auto"/>
        <w:rPr>
          <w:color w:val="000000"/>
          <w:szCs w:val="22"/>
          <w:lang w:val="sv-SE"/>
        </w:rPr>
      </w:pPr>
    </w:p>
    <w:p w14:paraId="21EDCA16"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t>Förvaras utom syn- och räckhåll för barn.</w:t>
      </w:r>
    </w:p>
    <w:p w14:paraId="3A6E7BFE" w14:textId="77777777" w:rsidR="00CE607D" w:rsidRPr="000E7AE9" w:rsidRDefault="00CE607D" w:rsidP="00463647">
      <w:pPr>
        <w:widowControl w:val="0"/>
        <w:suppressAutoHyphens/>
        <w:spacing w:line="240" w:lineRule="auto"/>
        <w:rPr>
          <w:color w:val="000000"/>
          <w:szCs w:val="22"/>
          <w:lang w:val="sv-SE"/>
        </w:rPr>
      </w:pPr>
    </w:p>
    <w:p w14:paraId="3B979C7C" w14:textId="77777777" w:rsidR="00CE607D" w:rsidRPr="000E7AE9" w:rsidRDefault="00CE607D" w:rsidP="00463647">
      <w:pPr>
        <w:widowControl w:val="0"/>
        <w:suppressAutoHyphens/>
        <w:spacing w:line="240" w:lineRule="auto"/>
        <w:rPr>
          <w:color w:val="000000"/>
          <w:szCs w:val="22"/>
          <w:lang w:val="sv-SE"/>
        </w:rPr>
      </w:pPr>
    </w:p>
    <w:p w14:paraId="425B1963"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7.</w:t>
      </w:r>
      <w:r w:rsidRPr="000E7AE9">
        <w:rPr>
          <w:b/>
          <w:color w:val="000000"/>
          <w:szCs w:val="22"/>
          <w:lang w:val="sv-SE"/>
        </w:rPr>
        <w:tab/>
        <w:t>ÖVRIGA SÄRSKILDA VARNINGAR OM SÅ ÄR NÖDVÄNDIGT</w:t>
      </w:r>
    </w:p>
    <w:p w14:paraId="3BE9CAB9" w14:textId="77777777" w:rsidR="00CE607D" w:rsidRPr="000E7AE9" w:rsidRDefault="00CE607D" w:rsidP="00463647">
      <w:pPr>
        <w:widowControl w:val="0"/>
        <w:suppressAutoHyphens/>
        <w:spacing w:line="240" w:lineRule="auto"/>
        <w:rPr>
          <w:color w:val="000000"/>
          <w:szCs w:val="22"/>
          <w:lang w:val="sv-SE"/>
        </w:rPr>
      </w:pPr>
    </w:p>
    <w:p w14:paraId="1312FA4B" w14:textId="77777777" w:rsidR="00CE607D" w:rsidRPr="000E7AE9" w:rsidRDefault="00CE607D" w:rsidP="00463647">
      <w:pPr>
        <w:pStyle w:val="EndnoteText"/>
        <w:widowControl w:val="0"/>
        <w:tabs>
          <w:tab w:val="clear" w:pos="567"/>
        </w:tabs>
        <w:outlineLvl w:val="0"/>
        <w:rPr>
          <w:color w:val="000000"/>
          <w:szCs w:val="22"/>
          <w:lang w:val="sv-SE"/>
        </w:rPr>
      </w:pPr>
      <w:r w:rsidRPr="000E7AE9">
        <w:rPr>
          <w:color w:val="000000"/>
          <w:szCs w:val="22"/>
          <w:lang w:val="sv-SE"/>
        </w:rPr>
        <w:t>Använd endast enligt läkares anvisningar.</w:t>
      </w:r>
    </w:p>
    <w:p w14:paraId="5A18D5FA" w14:textId="77777777" w:rsidR="00CE607D" w:rsidRPr="000E7AE9" w:rsidRDefault="00CE607D" w:rsidP="00463647">
      <w:pPr>
        <w:widowControl w:val="0"/>
        <w:suppressAutoHyphens/>
        <w:spacing w:line="240" w:lineRule="auto"/>
        <w:rPr>
          <w:color w:val="000000"/>
          <w:szCs w:val="22"/>
          <w:lang w:val="sv-SE"/>
        </w:rPr>
      </w:pPr>
    </w:p>
    <w:p w14:paraId="05D5C3A5" w14:textId="77777777" w:rsidR="00CE607D" w:rsidRPr="000E7AE9" w:rsidRDefault="00CE607D" w:rsidP="00463647">
      <w:pPr>
        <w:widowControl w:val="0"/>
        <w:suppressAutoHyphens/>
        <w:spacing w:line="240" w:lineRule="auto"/>
        <w:rPr>
          <w:color w:val="000000"/>
          <w:szCs w:val="22"/>
          <w:lang w:val="sv-SE"/>
        </w:rPr>
      </w:pPr>
    </w:p>
    <w:p w14:paraId="74BF5306"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sv-SE"/>
        </w:rPr>
      </w:pPr>
      <w:r w:rsidRPr="000E7AE9">
        <w:rPr>
          <w:b/>
          <w:color w:val="000000"/>
          <w:szCs w:val="22"/>
          <w:lang w:val="sv-SE"/>
        </w:rPr>
        <w:t>8.</w:t>
      </w:r>
      <w:r w:rsidRPr="000E7AE9">
        <w:rPr>
          <w:b/>
          <w:color w:val="000000"/>
          <w:szCs w:val="22"/>
          <w:lang w:val="sv-SE"/>
        </w:rPr>
        <w:tab/>
        <w:t>UTGÅNGSDATUM</w:t>
      </w:r>
    </w:p>
    <w:p w14:paraId="6AE11552" w14:textId="77777777" w:rsidR="00CE607D" w:rsidRPr="000E7AE9" w:rsidRDefault="00CE607D" w:rsidP="00463647">
      <w:pPr>
        <w:widowControl w:val="0"/>
        <w:suppressAutoHyphens/>
        <w:spacing w:line="240" w:lineRule="auto"/>
        <w:rPr>
          <w:color w:val="000000"/>
          <w:szCs w:val="22"/>
          <w:lang w:val="sv-SE"/>
        </w:rPr>
      </w:pPr>
    </w:p>
    <w:p w14:paraId="57FBECA3" w14:textId="77777777" w:rsidR="00CE607D" w:rsidRPr="000E7AE9" w:rsidRDefault="00A009DC" w:rsidP="00463647">
      <w:pPr>
        <w:pStyle w:val="EndnoteText"/>
        <w:widowControl w:val="0"/>
        <w:tabs>
          <w:tab w:val="clear" w:pos="567"/>
        </w:tabs>
        <w:outlineLvl w:val="0"/>
        <w:rPr>
          <w:color w:val="000000"/>
          <w:szCs w:val="22"/>
          <w:lang w:val="sv-SE"/>
        </w:rPr>
      </w:pPr>
      <w:r>
        <w:rPr>
          <w:color w:val="000000"/>
          <w:szCs w:val="22"/>
          <w:lang w:val="sv-SE"/>
        </w:rPr>
        <w:t>EXP</w:t>
      </w:r>
    </w:p>
    <w:p w14:paraId="76B2212C" w14:textId="77777777" w:rsidR="00CE607D" w:rsidRPr="000E7AE9" w:rsidRDefault="00CE607D" w:rsidP="00463647">
      <w:pPr>
        <w:widowControl w:val="0"/>
        <w:suppressAutoHyphens/>
        <w:spacing w:line="240" w:lineRule="auto"/>
        <w:rPr>
          <w:color w:val="000000"/>
          <w:szCs w:val="22"/>
          <w:lang w:val="sv-SE"/>
        </w:rPr>
      </w:pPr>
    </w:p>
    <w:p w14:paraId="2AAF8DC5" w14:textId="77777777" w:rsidR="00CE607D" w:rsidRPr="000E7AE9" w:rsidRDefault="00CE607D" w:rsidP="00463647">
      <w:pPr>
        <w:widowControl w:val="0"/>
        <w:suppressAutoHyphens/>
        <w:spacing w:line="240" w:lineRule="auto"/>
        <w:rPr>
          <w:color w:val="000000"/>
          <w:szCs w:val="22"/>
          <w:lang w:val="sv-SE"/>
        </w:rPr>
      </w:pPr>
    </w:p>
    <w:p w14:paraId="2BDE90EA"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9.</w:t>
      </w:r>
      <w:r w:rsidRPr="000E7AE9">
        <w:rPr>
          <w:b/>
          <w:color w:val="000000"/>
          <w:szCs w:val="22"/>
          <w:lang w:val="sv-SE"/>
        </w:rPr>
        <w:tab/>
        <w:t>SÄRSKILDA FÖRVARINGSANVISNINGAR</w:t>
      </w:r>
    </w:p>
    <w:p w14:paraId="146A2C63" w14:textId="77777777" w:rsidR="00CE607D" w:rsidRPr="000E7AE9" w:rsidRDefault="00CE607D" w:rsidP="00463647">
      <w:pPr>
        <w:widowControl w:val="0"/>
        <w:suppressAutoHyphens/>
        <w:spacing w:line="240" w:lineRule="auto"/>
        <w:rPr>
          <w:color w:val="000000"/>
          <w:szCs w:val="22"/>
          <w:lang w:val="sv-SE"/>
        </w:rPr>
      </w:pPr>
    </w:p>
    <w:p w14:paraId="4835A177" w14:textId="77777777" w:rsidR="00CE607D" w:rsidRPr="000E7AE9" w:rsidRDefault="00CE607D" w:rsidP="00463647">
      <w:pPr>
        <w:pStyle w:val="TextChar"/>
        <w:widowControl w:val="0"/>
        <w:spacing w:before="0"/>
        <w:outlineLvl w:val="0"/>
        <w:rPr>
          <w:color w:val="000000"/>
          <w:sz w:val="22"/>
          <w:szCs w:val="22"/>
          <w:lang w:val="sv-SE"/>
        </w:rPr>
      </w:pPr>
      <w:r w:rsidRPr="000E7AE9">
        <w:rPr>
          <w:color w:val="000000"/>
          <w:sz w:val="22"/>
          <w:szCs w:val="22"/>
          <w:lang w:val="sv-SE"/>
        </w:rPr>
        <w:t>Förvaras vid högst 30 </w:t>
      </w:r>
      <w:r w:rsidRPr="000E7AE9">
        <w:rPr>
          <w:color w:val="000000"/>
          <w:sz w:val="22"/>
          <w:szCs w:val="22"/>
          <w:lang w:val="sv-SE"/>
        </w:rPr>
        <w:sym w:font="Symbol" w:char="F0B0"/>
      </w:r>
      <w:r w:rsidRPr="000E7AE9">
        <w:rPr>
          <w:color w:val="000000"/>
          <w:sz w:val="22"/>
          <w:szCs w:val="22"/>
          <w:lang w:val="sv-SE"/>
        </w:rPr>
        <w:t>C. Förvaras i originalförpackningen. Fuktkänsligt.</w:t>
      </w:r>
    </w:p>
    <w:p w14:paraId="4C80215B" w14:textId="77777777" w:rsidR="00CE607D" w:rsidRPr="000E7AE9" w:rsidRDefault="00CE607D" w:rsidP="00463647">
      <w:pPr>
        <w:widowControl w:val="0"/>
        <w:suppressAutoHyphens/>
        <w:spacing w:line="240" w:lineRule="auto"/>
        <w:rPr>
          <w:color w:val="000000"/>
          <w:szCs w:val="22"/>
          <w:lang w:val="sv-SE"/>
        </w:rPr>
      </w:pPr>
    </w:p>
    <w:p w14:paraId="6A8C72B4" w14:textId="77777777" w:rsidR="00CE607D" w:rsidRPr="000E7AE9" w:rsidRDefault="00CE607D" w:rsidP="00463647">
      <w:pPr>
        <w:widowControl w:val="0"/>
        <w:suppressAutoHyphens/>
        <w:spacing w:line="240" w:lineRule="auto"/>
        <w:rPr>
          <w:color w:val="000000"/>
          <w:szCs w:val="22"/>
          <w:lang w:val="sv-SE"/>
        </w:rPr>
      </w:pPr>
    </w:p>
    <w:p w14:paraId="29194AA5" w14:textId="77777777" w:rsidR="00CE607D" w:rsidRPr="000E7AE9" w:rsidRDefault="00CE607D" w:rsidP="00FB5960">
      <w:pPr>
        <w:keepNext/>
        <w:keepLines/>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lastRenderedPageBreak/>
        <w:t>10.</w:t>
      </w:r>
      <w:r w:rsidRPr="000E7AE9">
        <w:rPr>
          <w:b/>
          <w:color w:val="000000"/>
          <w:szCs w:val="22"/>
          <w:lang w:val="sv-SE"/>
        </w:rPr>
        <w:tab/>
        <w:t>SÄRSKILDA FÖRSIKTIGHETSÅTGÄRDER FÖR DESTRUKTION AV EJ ANVÄNT LÄKEMEDEL OCH AVFALL I FÖREKOMMANDE FALL</w:t>
      </w:r>
    </w:p>
    <w:p w14:paraId="4A515AF5" w14:textId="77777777" w:rsidR="00CE607D" w:rsidRPr="000E7AE9" w:rsidRDefault="00CE607D" w:rsidP="00463647">
      <w:pPr>
        <w:widowControl w:val="0"/>
        <w:suppressAutoHyphens/>
        <w:spacing w:line="240" w:lineRule="auto"/>
        <w:ind w:left="567" w:hanging="567"/>
        <w:rPr>
          <w:color w:val="000000"/>
          <w:szCs w:val="22"/>
          <w:lang w:val="sv-SE"/>
        </w:rPr>
      </w:pPr>
    </w:p>
    <w:p w14:paraId="2E1B39A1" w14:textId="77777777" w:rsidR="00CE607D" w:rsidRPr="000E7AE9" w:rsidRDefault="00CE607D" w:rsidP="00463647">
      <w:pPr>
        <w:widowControl w:val="0"/>
        <w:suppressAutoHyphens/>
        <w:spacing w:line="240" w:lineRule="auto"/>
        <w:ind w:left="567" w:hanging="567"/>
        <w:rPr>
          <w:color w:val="000000"/>
          <w:szCs w:val="22"/>
          <w:lang w:val="sv-SE"/>
        </w:rPr>
      </w:pPr>
    </w:p>
    <w:p w14:paraId="657E9A0C" w14:textId="77777777" w:rsidR="00CE607D" w:rsidRPr="000E7AE9" w:rsidRDefault="00CE607D" w:rsidP="00FB5960">
      <w:pPr>
        <w:keepNext/>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11.</w:t>
      </w:r>
      <w:r w:rsidRPr="000E7AE9">
        <w:rPr>
          <w:b/>
          <w:color w:val="000000"/>
          <w:szCs w:val="22"/>
          <w:lang w:val="sv-SE"/>
        </w:rPr>
        <w:tab/>
        <w:t>INNEHAVARE AV GODKÄNNANDE FÖR FÖRSÄLJNING (NAMN OCH ADRESS)</w:t>
      </w:r>
    </w:p>
    <w:p w14:paraId="44E89FEB" w14:textId="77777777" w:rsidR="00CE607D" w:rsidRPr="000E7AE9" w:rsidRDefault="00CE607D" w:rsidP="00FB5960">
      <w:pPr>
        <w:keepNext/>
        <w:widowControl w:val="0"/>
        <w:suppressAutoHyphens/>
        <w:spacing w:line="240" w:lineRule="auto"/>
        <w:ind w:left="567" w:hanging="567"/>
        <w:rPr>
          <w:color w:val="000000"/>
          <w:szCs w:val="22"/>
          <w:lang w:val="sv-SE"/>
        </w:rPr>
      </w:pPr>
    </w:p>
    <w:p w14:paraId="2B4BC0E1" w14:textId="77777777" w:rsidR="00CE607D" w:rsidRPr="007C7ADA" w:rsidRDefault="00CE607D" w:rsidP="00FB5960">
      <w:pPr>
        <w:pStyle w:val="EndnoteText"/>
        <w:keepNext/>
        <w:widowControl w:val="0"/>
        <w:tabs>
          <w:tab w:val="clear" w:pos="567"/>
        </w:tabs>
        <w:outlineLvl w:val="0"/>
        <w:rPr>
          <w:color w:val="000000"/>
          <w:szCs w:val="22"/>
          <w:lang w:val="en-US"/>
        </w:rPr>
      </w:pPr>
      <w:r w:rsidRPr="007C7ADA">
        <w:rPr>
          <w:color w:val="000000"/>
          <w:szCs w:val="22"/>
          <w:lang w:val="en-US"/>
        </w:rPr>
        <w:t>Novartis Europharm Limited</w:t>
      </w:r>
    </w:p>
    <w:p w14:paraId="14334EA8" w14:textId="77777777" w:rsidR="00A57EF9" w:rsidRPr="00EB33FE" w:rsidRDefault="00A57EF9" w:rsidP="00463647">
      <w:pPr>
        <w:keepNext/>
        <w:widowControl w:val="0"/>
        <w:spacing w:line="240" w:lineRule="auto"/>
        <w:rPr>
          <w:color w:val="000000"/>
        </w:rPr>
      </w:pPr>
      <w:r w:rsidRPr="00EB33FE">
        <w:rPr>
          <w:color w:val="000000"/>
        </w:rPr>
        <w:t>Vista Building</w:t>
      </w:r>
    </w:p>
    <w:p w14:paraId="0F5D517C" w14:textId="77777777" w:rsidR="00A57EF9" w:rsidRPr="00EB33FE" w:rsidRDefault="00A57EF9" w:rsidP="00463647">
      <w:pPr>
        <w:keepNext/>
        <w:widowControl w:val="0"/>
        <w:spacing w:line="240" w:lineRule="auto"/>
        <w:rPr>
          <w:color w:val="000000"/>
        </w:rPr>
      </w:pPr>
      <w:r w:rsidRPr="00EB33FE">
        <w:rPr>
          <w:color w:val="000000"/>
        </w:rPr>
        <w:t>Elm Park, Merrion Road</w:t>
      </w:r>
    </w:p>
    <w:p w14:paraId="0A0BBC58" w14:textId="77777777" w:rsidR="00A57EF9" w:rsidRPr="00B10EAC" w:rsidRDefault="00A57EF9" w:rsidP="00463647">
      <w:pPr>
        <w:keepNext/>
        <w:widowControl w:val="0"/>
        <w:spacing w:line="240" w:lineRule="auto"/>
        <w:rPr>
          <w:color w:val="000000"/>
          <w:lang w:val="sv-SE"/>
        </w:rPr>
      </w:pPr>
      <w:r w:rsidRPr="00B10EAC">
        <w:rPr>
          <w:color w:val="000000"/>
          <w:lang w:val="sv-SE"/>
        </w:rPr>
        <w:t>Dublin 4</w:t>
      </w:r>
    </w:p>
    <w:p w14:paraId="7F453B94" w14:textId="77777777" w:rsidR="00A57EF9" w:rsidRPr="00B10EAC" w:rsidRDefault="00A57EF9" w:rsidP="00463647">
      <w:pPr>
        <w:widowControl w:val="0"/>
        <w:spacing w:line="240" w:lineRule="auto"/>
        <w:rPr>
          <w:color w:val="000000"/>
          <w:lang w:val="sv-SE"/>
        </w:rPr>
      </w:pPr>
      <w:r w:rsidRPr="00B10EAC">
        <w:rPr>
          <w:color w:val="000000"/>
          <w:lang w:val="sv-SE"/>
        </w:rPr>
        <w:t>Irland</w:t>
      </w:r>
    </w:p>
    <w:p w14:paraId="1E0BA523" w14:textId="77777777" w:rsidR="00CE607D" w:rsidRPr="000E7AE9" w:rsidRDefault="00CE607D" w:rsidP="00463647">
      <w:pPr>
        <w:widowControl w:val="0"/>
        <w:suppressAutoHyphens/>
        <w:spacing w:line="240" w:lineRule="auto"/>
        <w:ind w:left="567" w:hanging="567"/>
        <w:rPr>
          <w:color w:val="000000"/>
          <w:szCs w:val="22"/>
          <w:lang w:val="sv-SE"/>
        </w:rPr>
      </w:pPr>
    </w:p>
    <w:p w14:paraId="3FCAF9AB" w14:textId="77777777" w:rsidR="00CE607D" w:rsidRPr="000E7AE9" w:rsidRDefault="00CE607D" w:rsidP="00463647">
      <w:pPr>
        <w:widowControl w:val="0"/>
        <w:suppressAutoHyphens/>
        <w:spacing w:line="240" w:lineRule="auto"/>
        <w:ind w:left="567" w:hanging="567"/>
        <w:rPr>
          <w:color w:val="000000"/>
          <w:szCs w:val="22"/>
          <w:lang w:val="sv-SE"/>
        </w:rPr>
      </w:pPr>
    </w:p>
    <w:p w14:paraId="68D8F9AC"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12.</w:t>
      </w:r>
      <w:r w:rsidRPr="000E7AE9">
        <w:rPr>
          <w:b/>
          <w:color w:val="000000"/>
          <w:szCs w:val="22"/>
          <w:lang w:val="sv-SE"/>
        </w:rPr>
        <w:tab/>
        <w:t>NUMMER PÅ GODKÄNNANDE FÖR FÖRSÄLJNING</w:t>
      </w:r>
    </w:p>
    <w:p w14:paraId="66EF328B" w14:textId="77777777" w:rsidR="00CE607D" w:rsidRPr="000E7AE9" w:rsidRDefault="00CE607D" w:rsidP="00463647">
      <w:pPr>
        <w:widowControl w:val="0"/>
        <w:suppressAutoHyphens/>
        <w:spacing w:line="240" w:lineRule="auto"/>
        <w:ind w:left="567" w:hanging="567"/>
        <w:rPr>
          <w:color w:val="000000"/>
          <w:szCs w:val="22"/>
          <w:lang w:val="sv-SE"/>
        </w:rPr>
      </w:pPr>
    </w:p>
    <w:p w14:paraId="0172F064"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0E7AE9">
        <w:rPr>
          <w:color w:val="000000"/>
          <w:szCs w:val="22"/>
          <w:lang w:val="sv-SE"/>
        </w:rPr>
        <w:t>EU/1/01/198/007</w:t>
      </w:r>
      <w:r w:rsidRPr="000E7AE9">
        <w:rPr>
          <w:color w:val="000000"/>
          <w:szCs w:val="22"/>
          <w:lang w:val="sv-SE"/>
        </w:rPr>
        <w:tab/>
      </w:r>
      <w:r w:rsidRPr="009761A6">
        <w:rPr>
          <w:color w:val="000000"/>
          <w:szCs w:val="22"/>
          <w:shd w:val="clear" w:color="auto" w:fill="D9D9D9"/>
          <w:lang w:val="sv-SE"/>
        </w:rPr>
        <w:t>20 tabletter</w:t>
      </w:r>
      <w:r w:rsidR="00B61390" w:rsidRPr="00F86600">
        <w:rPr>
          <w:color w:val="000000"/>
          <w:szCs w:val="22"/>
          <w:shd w:val="pct15" w:color="auto" w:fill="auto"/>
          <w:lang w:val="sv-SE"/>
        </w:rPr>
        <w:t xml:space="preserve"> (Blister av PVC/aluminium)</w:t>
      </w:r>
    </w:p>
    <w:p w14:paraId="317CE367"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EU/1/01/198/008</w:t>
      </w:r>
      <w:r w:rsidRPr="009761A6">
        <w:rPr>
          <w:color w:val="000000"/>
          <w:szCs w:val="22"/>
          <w:shd w:val="clear" w:color="auto" w:fill="D9D9D9"/>
          <w:lang w:val="sv-SE"/>
        </w:rPr>
        <w:tab/>
        <w:t>60 tabletter</w:t>
      </w:r>
      <w:r w:rsidR="00B61390" w:rsidRPr="00F86600">
        <w:rPr>
          <w:color w:val="000000"/>
          <w:szCs w:val="22"/>
          <w:shd w:val="pct15" w:color="auto" w:fill="auto"/>
          <w:lang w:val="sv-SE"/>
        </w:rPr>
        <w:t xml:space="preserve"> (Blister av PVC/aluminium)</w:t>
      </w:r>
    </w:p>
    <w:p w14:paraId="1F2CAD4E"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EU/1/01/198/011</w:t>
      </w:r>
      <w:r w:rsidRPr="009761A6">
        <w:rPr>
          <w:color w:val="000000"/>
          <w:szCs w:val="22"/>
          <w:shd w:val="clear" w:color="auto" w:fill="D9D9D9"/>
          <w:lang w:val="sv-SE"/>
        </w:rPr>
        <w:tab/>
        <w:t>120 tabletter</w:t>
      </w:r>
      <w:r w:rsidR="00B61390" w:rsidRPr="00F86600">
        <w:rPr>
          <w:color w:val="000000"/>
          <w:szCs w:val="22"/>
          <w:shd w:val="pct15" w:color="auto" w:fill="auto"/>
          <w:lang w:val="sv-SE"/>
        </w:rPr>
        <w:t xml:space="preserve"> (Blister av PVC/aluminium)</w:t>
      </w:r>
    </w:p>
    <w:p w14:paraId="100141DF"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EU/1/01/198/012</w:t>
      </w:r>
      <w:r w:rsidRPr="009761A6">
        <w:rPr>
          <w:color w:val="000000"/>
          <w:szCs w:val="22"/>
          <w:shd w:val="clear" w:color="auto" w:fill="D9D9D9"/>
          <w:lang w:val="sv-SE"/>
        </w:rPr>
        <w:tab/>
        <w:t>180 tabletter</w:t>
      </w:r>
      <w:r w:rsidR="00B61390" w:rsidRPr="00F86600">
        <w:rPr>
          <w:color w:val="000000"/>
          <w:szCs w:val="22"/>
          <w:shd w:val="pct15" w:color="auto" w:fill="auto"/>
          <w:lang w:val="sv-SE"/>
        </w:rPr>
        <w:t xml:space="preserve"> (Blister av PVC/aluminium)</w:t>
      </w:r>
    </w:p>
    <w:p w14:paraId="1B48D082" w14:textId="77777777" w:rsidR="00B61390" w:rsidRPr="00F86600" w:rsidRDefault="00B61390" w:rsidP="00463647">
      <w:pPr>
        <w:widowControl w:val="0"/>
        <w:spacing w:line="240" w:lineRule="auto"/>
        <w:ind w:left="2268" w:hanging="2268"/>
        <w:outlineLvl w:val="0"/>
        <w:rPr>
          <w:color w:val="000000"/>
          <w:szCs w:val="22"/>
          <w:shd w:val="pct15" w:color="auto" w:fill="auto"/>
          <w:lang w:val="sv-SE"/>
        </w:rPr>
      </w:pPr>
      <w:r w:rsidRPr="00F86600">
        <w:rPr>
          <w:color w:val="000000"/>
          <w:szCs w:val="22"/>
          <w:shd w:val="pct15" w:color="auto" w:fill="auto"/>
          <w:lang w:val="sv-SE"/>
        </w:rPr>
        <w:t>EU/1/01/198/01</w:t>
      </w:r>
      <w:r w:rsidR="00816D68">
        <w:rPr>
          <w:color w:val="000000"/>
          <w:szCs w:val="22"/>
          <w:shd w:val="pct15" w:color="auto" w:fill="auto"/>
          <w:lang w:val="sv-SE"/>
        </w:rPr>
        <w:t>4</w:t>
      </w:r>
      <w:r w:rsidRPr="00F86600">
        <w:rPr>
          <w:color w:val="000000"/>
          <w:szCs w:val="22"/>
          <w:shd w:val="pct15" w:color="auto" w:fill="auto"/>
          <w:lang w:val="sv-SE"/>
        </w:rPr>
        <w:tab/>
      </w:r>
      <w:r w:rsidR="00816D68">
        <w:rPr>
          <w:color w:val="000000"/>
          <w:szCs w:val="22"/>
          <w:shd w:val="pct15" w:color="auto" w:fill="auto"/>
          <w:lang w:val="sv-SE"/>
        </w:rPr>
        <w:t>6</w:t>
      </w:r>
      <w:r w:rsidRPr="00F86600">
        <w:rPr>
          <w:color w:val="000000"/>
          <w:szCs w:val="22"/>
          <w:shd w:val="pct15" w:color="auto" w:fill="auto"/>
          <w:lang w:val="sv-SE"/>
        </w:rPr>
        <w:t>0 tabletter (Blister av PVDC/aluminium)</w:t>
      </w:r>
    </w:p>
    <w:p w14:paraId="5373C7CE" w14:textId="77777777" w:rsidR="00B61390" w:rsidRDefault="00B61390" w:rsidP="00463647">
      <w:pPr>
        <w:widowControl w:val="0"/>
        <w:spacing w:line="240" w:lineRule="auto"/>
        <w:ind w:left="2268" w:hanging="2268"/>
        <w:outlineLvl w:val="0"/>
        <w:rPr>
          <w:color w:val="000000"/>
          <w:szCs w:val="22"/>
          <w:shd w:val="clear" w:color="auto" w:fill="D9D9D9"/>
          <w:lang w:val="sv-SE"/>
        </w:rPr>
      </w:pPr>
      <w:r w:rsidRPr="00F86600">
        <w:rPr>
          <w:color w:val="000000"/>
          <w:szCs w:val="22"/>
          <w:shd w:val="pct15" w:color="auto" w:fill="auto"/>
          <w:lang w:val="sv-SE"/>
        </w:rPr>
        <w:t>EU/1/01/198/01</w:t>
      </w:r>
      <w:r w:rsidR="00816D68">
        <w:rPr>
          <w:color w:val="000000"/>
          <w:szCs w:val="22"/>
          <w:shd w:val="pct15" w:color="auto" w:fill="auto"/>
          <w:lang w:val="sv-SE"/>
        </w:rPr>
        <w:t>5</w:t>
      </w:r>
      <w:r w:rsidRPr="00F86600">
        <w:rPr>
          <w:color w:val="000000"/>
          <w:szCs w:val="22"/>
          <w:shd w:val="pct15" w:color="auto" w:fill="auto"/>
          <w:lang w:val="sv-SE"/>
        </w:rPr>
        <w:tab/>
        <w:t>1</w:t>
      </w:r>
      <w:r w:rsidR="00816D68">
        <w:rPr>
          <w:color w:val="000000"/>
          <w:szCs w:val="22"/>
          <w:shd w:val="pct15" w:color="auto" w:fill="auto"/>
          <w:lang w:val="sv-SE"/>
        </w:rPr>
        <w:t>2</w:t>
      </w:r>
      <w:r w:rsidRPr="00F86600">
        <w:rPr>
          <w:color w:val="000000"/>
          <w:szCs w:val="22"/>
          <w:shd w:val="pct15" w:color="auto" w:fill="auto"/>
          <w:lang w:val="sv-SE"/>
        </w:rPr>
        <w:t>0 tabletter (Blister av PVDC/aluminium)</w:t>
      </w:r>
    </w:p>
    <w:p w14:paraId="1BC5115A" w14:textId="77777777" w:rsidR="00744C82" w:rsidRPr="009761A6" w:rsidRDefault="00744C82"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w:t>
      </w:r>
      <w:r>
        <w:rPr>
          <w:color w:val="000000"/>
          <w:szCs w:val="22"/>
          <w:shd w:val="clear" w:color="auto" w:fill="D9D9D9"/>
          <w:lang w:val="sv-SE"/>
        </w:rPr>
        <w:t>1</w:t>
      </w:r>
      <w:r w:rsidR="00816D68">
        <w:rPr>
          <w:color w:val="000000"/>
          <w:szCs w:val="22"/>
          <w:shd w:val="clear" w:color="auto" w:fill="D9D9D9"/>
          <w:lang w:val="sv-SE"/>
        </w:rPr>
        <w:t>6</w:t>
      </w:r>
      <w:r w:rsidRPr="009761A6">
        <w:rPr>
          <w:color w:val="000000"/>
          <w:szCs w:val="22"/>
          <w:shd w:val="clear" w:color="auto" w:fill="D9D9D9"/>
          <w:lang w:val="sv-SE"/>
        </w:rPr>
        <w:tab/>
      </w:r>
      <w:r w:rsidR="00816D68">
        <w:rPr>
          <w:color w:val="000000"/>
          <w:szCs w:val="22"/>
          <w:shd w:val="clear" w:color="auto" w:fill="D9D9D9"/>
          <w:lang w:val="sv-SE"/>
        </w:rPr>
        <w:t>18</w:t>
      </w:r>
      <w:r w:rsidRPr="009761A6">
        <w:rPr>
          <w:color w:val="000000"/>
          <w:szCs w:val="22"/>
          <w:shd w:val="clear" w:color="auto" w:fill="D9D9D9"/>
          <w:lang w:val="sv-SE"/>
        </w:rPr>
        <w:t>0 tabletter</w:t>
      </w:r>
      <w:r w:rsidRPr="00F86600">
        <w:rPr>
          <w:color w:val="000000"/>
          <w:szCs w:val="22"/>
          <w:shd w:val="pct15" w:color="auto" w:fill="auto"/>
          <w:lang w:val="sv-SE"/>
        </w:rPr>
        <w:t xml:space="preserve"> (Blister av PV</w:t>
      </w:r>
      <w:r>
        <w:rPr>
          <w:color w:val="000000"/>
          <w:szCs w:val="22"/>
          <w:shd w:val="pct15" w:color="auto" w:fill="auto"/>
          <w:lang w:val="sv-SE"/>
        </w:rPr>
        <w:t>D</w:t>
      </w:r>
      <w:r w:rsidRPr="00F86600">
        <w:rPr>
          <w:color w:val="000000"/>
          <w:szCs w:val="22"/>
          <w:shd w:val="pct15" w:color="auto" w:fill="auto"/>
          <w:lang w:val="sv-SE"/>
        </w:rPr>
        <w:t>C/aluminium)</w:t>
      </w:r>
    </w:p>
    <w:p w14:paraId="72376DE1" w14:textId="77777777" w:rsidR="00CE607D" w:rsidRPr="000E7AE9" w:rsidRDefault="00CE607D" w:rsidP="00463647">
      <w:pPr>
        <w:widowControl w:val="0"/>
        <w:spacing w:line="240" w:lineRule="auto"/>
        <w:outlineLvl w:val="0"/>
        <w:rPr>
          <w:color w:val="000000"/>
          <w:szCs w:val="22"/>
          <w:lang w:val="sv-SE"/>
        </w:rPr>
      </w:pPr>
    </w:p>
    <w:p w14:paraId="537F35D1" w14:textId="77777777" w:rsidR="00CE607D" w:rsidRPr="000E7AE9" w:rsidRDefault="00CE607D" w:rsidP="00463647">
      <w:pPr>
        <w:widowControl w:val="0"/>
        <w:suppressAutoHyphens/>
        <w:spacing w:line="240" w:lineRule="auto"/>
        <w:rPr>
          <w:color w:val="000000"/>
          <w:szCs w:val="22"/>
          <w:lang w:val="sv-SE"/>
        </w:rPr>
      </w:pPr>
    </w:p>
    <w:p w14:paraId="52406E1D"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13.</w:t>
      </w:r>
      <w:r w:rsidRPr="000E7AE9">
        <w:rPr>
          <w:b/>
          <w:color w:val="000000"/>
          <w:szCs w:val="22"/>
          <w:lang w:val="sv-SE"/>
        </w:rPr>
        <w:tab/>
      </w:r>
      <w:r>
        <w:rPr>
          <w:b/>
          <w:color w:val="000000"/>
          <w:szCs w:val="22"/>
          <w:lang w:val="sv-SE"/>
        </w:rPr>
        <w:t>TILLVERKNINGSSATS</w:t>
      </w:r>
      <w:r w:rsidRPr="000E7AE9">
        <w:rPr>
          <w:b/>
          <w:color w:val="000000"/>
          <w:szCs w:val="22"/>
          <w:lang w:val="sv-SE"/>
        </w:rPr>
        <w:t>NUMMER</w:t>
      </w:r>
    </w:p>
    <w:p w14:paraId="0CCD2A8D" w14:textId="77777777" w:rsidR="00CE607D" w:rsidRPr="000E7AE9" w:rsidRDefault="00CE607D" w:rsidP="00463647">
      <w:pPr>
        <w:widowControl w:val="0"/>
        <w:suppressAutoHyphens/>
        <w:spacing w:line="240" w:lineRule="auto"/>
        <w:rPr>
          <w:color w:val="000000"/>
          <w:szCs w:val="22"/>
          <w:lang w:val="sv-SE"/>
        </w:rPr>
      </w:pPr>
    </w:p>
    <w:p w14:paraId="35E618CC"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t>Lot</w:t>
      </w:r>
    </w:p>
    <w:p w14:paraId="57521F14" w14:textId="77777777" w:rsidR="00CE607D" w:rsidRPr="000E7AE9" w:rsidRDefault="00CE607D" w:rsidP="00463647">
      <w:pPr>
        <w:widowControl w:val="0"/>
        <w:suppressAutoHyphens/>
        <w:spacing w:line="240" w:lineRule="auto"/>
        <w:rPr>
          <w:color w:val="000000"/>
          <w:szCs w:val="22"/>
          <w:lang w:val="sv-SE"/>
        </w:rPr>
      </w:pPr>
    </w:p>
    <w:p w14:paraId="047F1B5C" w14:textId="77777777" w:rsidR="00CE607D" w:rsidRPr="000E7AE9" w:rsidRDefault="00CE607D" w:rsidP="00463647">
      <w:pPr>
        <w:widowControl w:val="0"/>
        <w:suppressAutoHyphens/>
        <w:spacing w:line="240" w:lineRule="auto"/>
        <w:rPr>
          <w:color w:val="000000"/>
          <w:szCs w:val="22"/>
          <w:lang w:val="sv-SE"/>
        </w:rPr>
      </w:pPr>
    </w:p>
    <w:p w14:paraId="1B494AC7"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14.</w:t>
      </w:r>
      <w:r w:rsidRPr="000E7AE9">
        <w:rPr>
          <w:b/>
          <w:color w:val="000000"/>
          <w:szCs w:val="22"/>
          <w:lang w:val="sv-SE"/>
        </w:rPr>
        <w:tab/>
        <w:t>ALLMÄN KLASSIFICERING FÖR FÖRSKRIVNING</w:t>
      </w:r>
    </w:p>
    <w:p w14:paraId="65C66A2A" w14:textId="77777777" w:rsidR="00CE607D" w:rsidRPr="000E7AE9" w:rsidRDefault="00CE607D" w:rsidP="00463647">
      <w:pPr>
        <w:widowControl w:val="0"/>
        <w:suppressAutoHyphens/>
        <w:spacing w:line="240" w:lineRule="auto"/>
        <w:rPr>
          <w:color w:val="000000"/>
          <w:szCs w:val="22"/>
          <w:lang w:val="sv-SE"/>
        </w:rPr>
      </w:pPr>
    </w:p>
    <w:p w14:paraId="07E3BE1B" w14:textId="77777777" w:rsidR="00CE607D" w:rsidRPr="000E7AE9" w:rsidRDefault="00CE607D" w:rsidP="00463647">
      <w:pPr>
        <w:widowControl w:val="0"/>
        <w:suppressAutoHyphens/>
        <w:spacing w:line="240" w:lineRule="auto"/>
        <w:rPr>
          <w:color w:val="000000"/>
          <w:szCs w:val="22"/>
          <w:lang w:val="sv-SE"/>
        </w:rPr>
      </w:pPr>
    </w:p>
    <w:p w14:paraId="4700B40D"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15.</w:t>
      </w:r>
      <w:r w:rsidRPr="000E7AE9">
        <w:rPr>
          <w:b/>
          <w:color w:val="000000"/>
          <w:szCs w:val="22"/>
          <w:lang w:val="sv-SE"/>
        </w:rPr>
        <w:tab/>
        <w:t>BRUKSANVISNING</w:t>
      </w:r>
    </w:p>
    <w:p w14:paraId="010830F1" w14:textId="77777777" w:rsidR="00CE607D" w:rsidRPr="000E7AE9" w:rsidRDefault="00CE607D" w:rsidP="00463647">
      <w:pPr>
        <w:widowControl w:val="0"/>
        <w:spacing w:line="240" w:lineRule="auto"/>
        <w:outlineLvl w:val="0"/>
        <w:rPr>
          <w:color w:val="000000"/>
          <w:szCs w:val="22"/>
          <w:lang w:val="sv-SE"/>
        </w:rPr>
      </w:pPr>
    </w:p>
    <w:p w14:paraId="324A3557" w14:textId="77777777" w:rsidR="00CE607D" w:rsidRPr="000E7AE9" w:rsidRDefault="00CE607D" w:rsidP="00463647">
      <w:pPr>
        <w:widowControl w:val="0"/>
        <w:spacing w:line="240" w:lineRule="auto"/>
        <w:outlineLvl w:val="0"/>
        <w:rPr>
          <w:color w:val="000000"/>
          <w:szCs w:val="22"/>
          <w:lang w:val="sv-SE"/>
        </w:rPr>
      </w:pPr>
    </w:p>
    <w:p w14:paraId="63ED0F64" w14:textId="77777777" w:rsidR="00CE607D" w:rsidRPr="007C7ADA" w:rsidRDefault="00CE607D" w:rsidP="00463647">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7C7ADA">
        <w:rPr>
          <w:b/>
          <w:color w:val="000000"/>
          <w:szCs w:val="22"/>
          <w:lang w:val="sv-SE"/>
        </w:rPr>
        <w:t>16.</w:t>
      </w:r>
      <w:r w:rsidRPr="007C7ADA">
        <w:rPr>
          <w:b/>
          <w:color w:val="000000"/>
          <w:szCs w:val="22"/>
          <w:lang w:val="sv-SE"/>
        </w:rPr>
        <w:tab/>
        <w:t>INFORMATION I PUNKTSKRIFT</w:t>
      </w:r>
    </w:p>
    <w:p w14:paraId="18744AEE" w14:textId="77777777" w:rsidR="00CE607D" w:rsidRPr="007C7ADA" w:rsidRDefault="00CE607D" w:rsidP="00463647">
      <w:pPr>
        <w:widowControl w:val="0"/>
        <w:tabs>
          <w:tab w:val="clear" w:pos="567"/>
        </w:tabs>
        <w:spacing w:line="240" w:lineRule="auto"/>
        <w:rPr>
          <w:color w:val="000000"/>
          <w:szCs w:val="22"/>
          <w:u w:val="single"/>
          <w:lang w:val="sv-SE"/>
        </w:rPr>
      </w:pPr>
    </w:p>
    <w:p w14:paraId="406B554B" w14:textId="77777777" w:rsidR="00CE607D" w:rsidRPr="007C7ADA" w:rsidRDefault="00CE607D" w:rsidP="00463647">
      <w:pPr>
        <w:widowControl w:val="0"/>
        <w:tabs>
          <w:tab w:val="clear" w:pos="567"/>
        </w:tabs>
        <w:spacing w:line="240" w:lineRule="auto"/>
        <w:rPr>
          <w:color w:val="000000"/>
          <w:szCs w:val="22"/>
          <w:lang w:val="sv-SE"/>
        </w:rPr>
      </w:pPr>
      <w:r w:rsidRPr="007C7ADA">
        <w:rPr>
          <w:color w:val="000000"/>
          <w:szCs w:val="22"/>
          <w:lang w:val="sv-SE"/>
        </w:rPr>
        <w:t>Glivec 100 mg</w:t>
      </w:r>
    </w:p>
    <w:p w14:paraId="70B3E700" w14:textId="77777777" w:rsidR="00CE607D" w:rsidRPr="007C7ADA" w:rsidRDefault="00CE607D" w:rsidP="00463647">
      <w:pPr>
        <w:widowControl w:val="0"/>
        <w:tabs>
          <w:tab w:val="clear" w:pos="567"/>
        </w:tabs>
        <w:spacing w:line="240" w:lineRule="auto"/>
        <w:rPr>
          <w:color w:val="000000"/>
          <w:szCs w:val="22"/>
          <w:lang w:val="sv-SE"/>
        </w:rPr>
      </w:pPr>
    </w:p>
    <w:p w14:paraId="40B1D327" w14:textId="77777777" w:rsidR="00CE607D" w:rsidRPr="000E7AE9" w:rsidRDefault="00CE607D" w:rsidP="00463647">
      <w:pPr>
        <w:widowControl w:val="0"/>
        <w:spacing w:line="240" w:lineRule="auto"/>
        <w:outlineLvl w:val="0"/>
        <w:rPr>
          <w:color w:val="000000"/>
          <w:szCs w:val="22"/>
          <w:lang w:val="sv-SE"/>
        </w:rPr>
      </w:pPr>
    </w:p>
    <w:p w14:paraId="00FE453B" w14:textId="77777777" w:rsidR="00AD7816" w:rsidRPr="001412A8" w:rsidRDefault="00AD7816" w:rsidP="0046364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lang w:val="sv-SE"/>
        </w:rPr>
      </w:pPr>
      <w:r w:rsidRPr="001412A8">
        <w:rPr>
          <w:b/>
          <w:noProof/>
          <w:lang w:val="sv-SE"/>
        </w:rPr>
        <w:t>17.</w:t>
      </w:r>
      <w:r w:rsidRPr="001412A8">
        <w:rPr>
          <w:b/>
          <w:noProof/>
          <w:lang w:val="sv-SE"/>
        </w:rPr>
        <w:tab/>
        <w:t>UNIK IDENTITETSBETECKNING – TVÅDIMENSIONELL STRECKKOD</w:t>
      </w:r>
    </w:p>
    <w:p w14:paraId="35B2958B" w14:textId="77777777" w:rsidR="00AD7816" w:rsidRPr="001412A8" w:rsidRDefault="00AD7816" w:rsidP="00463647">
      <w:pPr>
        <w:widowControl w:val="0"/>
        <w:tabs>
          <w:tab w:val="clear" w:pos="567"/>
        </w:tabs>
        <w:spacing w:line="240" w:lineRule="auto"/>
        <w:rPr>
          <w:noProof/>
          <w:lang w:val="sv-SE"/>
        </w:rPr>
      </w:pPr>
    </w:p>
    <w:p w14:paraId="1F1FB650" w14:textId="77777777" w:rsidR="00AD7816" w:rsidRPr="001412A8" w:rsidRDefault="00AD7816" w:rsidP="00463647">
      <w:pPr>
        <w:widowControl w:val="0"/>
        <w:tabs>
          <w:tab w:val="clear" w:pos="567"/>
        </w:tabs>
        <w:spacing w:line="240" w:lineRule="auto"/>
        <w:rPr>
          <w:noProof/>
          <w:szCs w:val="22"/>
          <w:shd w:val="pct15" w:color="auto" w:fill="auto"/>
          <w:lang w:val="sv-SE"/>
        </w:rPr>
      </w:pPr>
      <w:r w:rsidRPr="001412A8">
        <w:rPr>
          <w:noProof/>
          <w:szCs w:val="22"/>
          <w:shd w:val="pct15" w:color="auto" w:fill="auto"/>
          <w:lang w:val="sv-SE"/>
        </w:rPr>
        <w:t>Tvådimensionell streckkod som innehåller den unika identitetsbeteckningen.</w:t>
      </w:r>
    </w:p>
    <w:p w14:paraId="1EA1DE93" w14:textId="77777777" w:rsidR="00AD7816" w:rsidRPr="001412A8" w:rsidRDefault="00AD7816" w:rsidP="00463647">
      <w:pPr>
        <w:widowControl w:val="0"/>
        <w:tabs>
          <w:tab w:val="clear" w:pos="567"/>
        </w:tabs>
        <w:spacing w:line="240" w:lineRule="auto"/>
        <w:rPr>
          <w:noProof/>
          <w:szCs w:val="22"/>
          <w:shd w:val="clear" w:color="auto" w:fill="CCCCCC"/>
          <w:lang w:val="sv-SE"/>
        </w:rPr>
      </w:pPr>
    </w:p>
    <w:p w14:paraId="42E47A21" w14:textId="77777777" w:rsidR="00AD7816" w:rsidRPr="001412A8" w:rsidRDefault="00AD7816" w:rsidP="00463647">
      <w:pPr>
        <w:widowControl w:val="0"/>
        <w:tabs>
          <w:tab w:val="clear" w:pos="567"/>
        </w:tabs>
        <w:spacing w:line="240" w:lineRule="auto"/>
        <w:rPr>
          <w:noProof/>
          <w:lang w:val="sv-SE"/>
        </w:rPr>
      </w:pPr>
    </w:p>
    <w:p w14:paraId="522E1DD4" w14:textId="77777777" w:rsidR="00AD7816" w:rsidRPr="001412A8" w:rsidRDefault="00AD7816" w:rsidP="00FB5960">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lang w:val="sv-SE"/>
        </w:rPr>
      </w:pPr>
      <w:r w:rsidRPr="001412A8">
        <w:rPr>
          <w:b/>
          <w:noProof/>
          <w:lang w:val="sv-SE"/>
        </w:rPr>
        <w:t>18.</w:t>
      </w:r>
      <w:r w:rsidRPr="001412A8">
        <w:rPr>
          <w:b/>
          <w:noProof/>
          <w:lang w:val="sv-SE"/>
        </w:rPr>
        <w:tab/>
        <w:t>UNIK IDENTITETSBETECKNING – I ETT FORMAT LÄSBART FÖR MÄNSKLIGT ÖGA</w:t>
      </w:r>
    </w:p>
    <w:p w14:paraId="4E3B1FB0" w14:textId="77777777" w:rsidR="00AD7816" w:rsidRPr="001412A8" w:rsidRDefault="00AD7816" w:rsidP="00FB5960">
      <w:pPr>
        <w:keepNext/>
        <w:widowControl w:val="0"/>
        <w:tabs>
          <w:tab w:val="clear" w:pos="567"/>
        </w:tabs>
        <w:spacing w:line="240" w:lineRule="auto"/>
        <w:rPr>
          <w:noProof/>
          <w:lang w:val="sv-SE"/>
        </w:rPr>
      </w:pPr>
    </w:p>
    <w:p w14:paraId="4D3B7C54" w14:textId="77777777" w:rsidR="00AD7816" w:rsidRPr="003A5CA4" w:rsidRDefault="00AD7816" w:rsidP="00FB5960">
      <w:pPr>
        <w:keepNext/>
        <w:widowControl w:val="0"/>
        <w:tabs>
          <w:tab w:val="clear" w:pos="567"/>
        </w:tabs>
        <w:spacing w:line="240" w:lineRule="auto"/>
        <w:rPr>
          <w:szCs w:val="22"/>
          <w:lang w:val="de-CH"/>
        </w:rPr>
      </w:pPr>
      <w:r w:rsidRPr="003A5CA4">
        <w:rPr>
          <w:szCs w:val="22"/>
          <w:lang w:val="de-CH"/>
        </w:rPr>
        <w:t>PC:</w:t>
      </w:r>
    </w:p>
    <w:p w14:paraId="7E1D70BD" w14:textId="77777777" w:rsidR="00AD7816" w:rsidRPr="003A5CA4" w:rsidRDefault="00AD7816" w:rsidP="00FB5960">
      <w:pPr>
        <w:keepNext/>
        <w:widowControl w:val="0"/>
        <w:tabs>
          <w:tab w:val="clear" w:pos="567"/>
        </w:tabs>
        <w:spacing w:line="240" w:lineRule="auto"/>
        <w:rPr>
          <w:szCs w:val="22"/>
          <w:lang w:val="de-CH"/>
        </w:rPr>
      </w:pPr>
      <w:r w:rsidRPr="003A5CA4">
        <w:rPr>
          <w:szCs w:val="22"/>
          <w:lang w:val="de-CH"/>
        </w:rPr>
        <w:t>SN:</w:t>
      </w:r>
    </w:p>
    <w:p w14:paraId="4A7AF4C7" w14:textId="77777777" w:rsidR="00AD7816" w:rsidRPr="00186A5E" w:rsidRDefault="00AD7816" w:rsidP="00463647">
      <w:pPr>
        <w:widowControl w:val="0"/>
        <w:tabs>
          <w:tab w:val="clear" w:pos="567"/>
        </w:tabs>
        <w:spacing w:line="240" w:lineRule="auto"/>
        <w:rPr>
          <w:color w:val="000000"/>
          <w:szCs w:val="22"/>
          <w:lang w:val="sv-SE"/>
        </w:rPr>
      </w:pPr>
      <w:r w:rsidRPr="003A5CA4">
        <w:rPr>
          <w:szCs w:val="22"/>
          <w:lang w:val="de-CH"/>
        </w:rPr>
        <w:t>NN:</w:t>
      </w:r>
    </w:p>
    <w:p w14:paraId="6A0D4258"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br w:type="page"/>
      </w:r>
    </w:p>
    <w:p w14:paraId="19B711D2" w14:textId="77777777" w:rsidR="00FB5960" w:rsidRPr="00FB5960" w:rsidRDefault="00FB5960" w:rsidP="00FB5960">
      <w:pPr>
        <w:widowControl w:val="0"/>
        <w:suppressAutoHyphens/>
        <w:spacing w:line="240" w:lineRule="auto"/>
        <w:rPr>
          <w:color w:val="000000"/>
          <w:szCs w:val="22"/>
          <w:lang w:val="sv-SE"/>
        </w:rPr>
      </w:pPr>
    </w:p>
    <w:p w14:paraId="1F3375B0"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outlineLvl w:val="0"/>
        <w:rPr>
          <w:b/>
          <w:color w:val="000000"/>
          <w:szCs w:val="22"/>
          <w:lang w:val="sv-SE"/>
        </w:rPr>
      </w:pPr>
      <w:r w:rsidRPr="000E7AE9">
        <w:rPr>
          <w:b/>
          <w:color w:val="000000"/>
          <w:szCs w:val="22"/>
          <w:lang w:val="sv-SE"/>
        </w:rPr>
        <w:t>UPPGIFTER SOM SKA FINNAS PÅ BLISTER ELLER STRIPS</w:t>
      </w:r>
    </w:p>
    <w:p w14:paraId="1436B6F5"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lang w:val="sv-SE"/>
        </w:rPr>
      </w:pPr>
    </w:p>
    <w:p w14:paraId="12159C90"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lang w:val="sv-SE"/>
        </w:rPr>
      </w:pPr>
      <w:r w:rsidRPr="000E7AE9">
        <w:rPr>
          <w:b/>
          <w:color w:val="000000"/>
          <w:szCs w:val="22"/>
          <w:lang w:val="sv-SE"/>
        </w:rPr>
        <w:t>BLISTER</w:t>
      </w:r>
    </w:p>
    <w:p w14:paraId="622405B2" w14:textId="77777777" w:rsidR="00CE607D" w:rsidRPr="000E7AE9" w:rsidRDefault="00CE607D" w:rsidP="00463647">
      <w:pPr>
        <w:widowControl w:val="0"/>
        <w:suppressAutoHyphens/>
        <w:spacing w:line="240" w:lineRule="auto"/>
        <w:rPr>
          <w:color w:val="000000"/>
          <w:szCs w:val="22"/>
          <w:lang w:val="sv-SE"/>
        </w:rPr>
      </w:pPr>
    </w:p>
    <w:p w14:paraId="1AFB5F26" w14:textId="77777777" w:rsidR="00CE607D" w:rsidRPr="000E7AE9" w:rsidRDefault="00CE607D" w:rsidP="00463647">
      <w:pPr>
        <w:widowControl w:val="0"/>
        <w:suppressAutoHyphens/>
        <w:spacing w:line="240" w:lineRule="auto"/>
        <w:rPr>
          <w:color w:val="000000"/>
          <w:szCs w:val="22"/>
          <w:lang w:val="sv-SE"/>
        </w:rPr>
      </w:pPr>
    </w:p>
    <w:p w14:paraId="387DF458"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w:t>
      </w:r>
      <w:r w:rsidRPr="000E7AE9">
        <w:rPr>
          <w:b/>
          <w:color w:val="000000"/>
          <w:szCs w:val="22"/>
          <w:lang w:val="sv-SE"/>
        </w:rPr>
        <w:tab/>
        <w:t>LÄKEMEDLETS NAMN</w:t>
      </w:r>
    </w:p>
    <w:p w14:paraId="5313AF01" w14:textId="77777777" w:rsidR="00CE607D" w:rsidRPr="000E7AE9" w:rsidRDefault="00CE607D" w:rsidP="00463647">
      <w:pPr>
        <w:widowControl w:val="0"/>
        <w:suppressAutoHyphens/>
        <w:spacing w:line="240" w:lineRule="auto"/>
        <w:rPr>
          <w:color w:val="000000"/>
          <w:szCs w:val="22"/>
          <w:lang w:val="sv-SE"/>
        </w:rPr>
      </w:pPr>
    </w:p>
    <w:p w14:paraId="352DADCE" w14:textId="77777777" w:rsidR="00CE607D" w:rsidRPr="000E7AE9" w:rsidRDefault="00CE607D" w:rsidP="00463647">
      <w:pPr>
        <w:widowControl w:val="0"/>
        <w:spacing w:line="240" w:lineRule="auto"/>
        <w:ind w:left="567" w:hanging="567"/>
        <w:outlineLvl w:val="0"/>
        <w:rPr>
          <w:color w:val="000000"/>
          <w:szCs w:val="22"/>
          <w:lang w:val="sv-SE"/>
        </w:rPr>
      </w:pPr>
      <w:r w:rsidRPr="000E7AE9">
        <w:rPr>
          <w:color w:val="000000"/>
          <w:szCs w:val="22"/>
          <w:lang w:val="sv-SE"/>
        </w:rPr>
        <w:t>Glivec 100 mg tabletter</w:t>
      </w:r>
    </w:p>
    <w:p w14:paraId="347175A7" w14:textId="77777777" w:rsidR="00CE607D" w:rsidRPr="000E7AE9" w:rsidRDefault="001412A8" w:rsidP="00463647">
      <w:pPr>
        <w:widowControl w:val="0"/>
        <w:spacing w:line="240" w:lineRule="auto"/>
        <w:ind w:left="567" w:hanging="567"/>
        <w:outlineLvl w:val="0"/>
        <w:rPr>
          <w:color w:val="000000"/>
          <w:szCs w:val="22"/>
          <w:lang w:val="sv-SE"/>
        </w:rPr>
      </w:pPr>
      <w:r>
        <w:rPr>
          <w:color w:val="000000"/>
          <w:szCs w:val="22"/>
          <w:lang w:val="sv-SE"/>
        </w:rPr>
        <w:t>i</w:t>
      </w:r>
      <w:r w:rsidR="00CE607D" w:rsidRPr="000E7AE9">
        <w:rPr>
          <w:color w:val="000000"/>
          <w:szCs w:val="22"/>
          <w:lang w:val="sv-SE"/>
        </w:rPr>
        <w:t>matinib</w:t>
      </w:r>
    </w:p>
    <w:p w14:paraId="7FBB5BE2" w14:textId="77777777" w:rsidR="00CE607D" w:rsidRPr="000E7AE9" w:rsidRDefault="00CE607D" w:rsidP="00463647">
      <w:pPr>
        <w:widowControl w:val="0"/>
        <w:suppressAutoHyphens/>
        <w:spacing w:line="240" w:lineRule="auto"/>
        <w:rPr>
          <w:color w:val="000000"/>
          <w:szCs w:val="22"/>
          <w:lang w:val="sv-SE"/>
        </w:rPr>
      </w:pPr>
    </w:p>
    <w:p w14:paraId="51C0F399" w14:textId="77777777" w:rsidR="00CE607D" w:rsidRPr="000E7AE9" w:rsidRDefault="00CE607D" w:rsidP="00463647">
      <w:pPr>
        <w:widowControl w:val="0"/>
        <w:suppressAutoHyphens/>
        <w:spacing w:line="240" w:lineRule="auto"/>
        <w:rPr>
          <w:color w:val="000000"/>
          <w:szCs w:val="22"/>
          <w:lang w:val="sv-SE"/>
        </w:rPr>
      </w:pPr>
    </w:p>
    <w:p w14:paraId="724E1037"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2.</w:t>
      </w:r>
      <w:r w:rsidRPr="000E7AE9">
        <w:rPr>
          <w:b/>
          <w:color w:val="000000"/>
          <w:szCs w:val="22"/>
          <w:lang w:val="sv-SE"/>
        </w:rPr>
        <w:tab/>
        <w:t>INNEHAVARE AV GODKÄNNANDE FÖR FÖRSÄLJNING</w:t>
      </w:r>
    </w:p>
    <w:p w14:paraId="37D113CE" w14:textId="77777777" w:rsidR="00CE607D" w:rsidRPr="000E7AE9" w:rsidRDefault="00CE607D" w:rsidP="00463647">
      <w:pPr>
        <w:widowControl w:val="0"/>
        <w:suppressAutoHyphens/>
        <w:spacing w:line="240" w:lineRule="auto"/>
        <w:rPr>
          <w:color w:val="000000"/>
          <w:szCs w:val="22"/>
          <w:lang w:val="sv-SE"/>
        </w:rPr>
      </w:pPr>
    </w:p>
    <w:p w14:paraId="6AF18932"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t>Novartis Europharm Limited</w:t>
      </w:r>
    </w:p>
    <w:p w14:paraId="4F292851" w14:textId="77777777" w:rsidR="00CE607D" w:rsidRPr="000E7AE9" w:rsidRDefault="00CE607D" w:rsidP="00463647">
      <w:pPr>
        <w:widowControl w:val="0"/>
        <w:suppressAutoHyphens/>
        <w:spacing w:line="240" w:lineRule="auto"/>
        <w:rPr>
          <w:color w:val="000000"/>
          <w:szCs w:val="22"/>
          <w:lang w:val="sv-SE"/>
        </w:rPr>
      </w:pPr>
    </w:p>
    <w:p w14:paraId="78FC8DA7" w14:textId="77777777" w:rsidR="00CE607D" w:rsidRPr="000E7AE9" w:rsidRDefault="00CE607D" w:rsidP="00463647">
      <w:pPr>
        <w:widowControl w:val="0"/>
        <w:suppressAutoHyphens/>
        <w:spacing w:line="240" w:lineRule="auto"/>
        <w:rPr>
          <w:color w:val="000000"/>
          <w:szCs w:val="22"/>
          <w:lang w:val="sv-SE"/>
        </w:rPr>
      </w:pPr>
    </w:p>
    <w:p w14:paraId="0BD344E5"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3.</w:t>
      </w:r>
      <w:r w:rsidRPr="000E7AE9">
        <w:rPr>
          <w:b/>
          <w:color w:val="000000"/>
          <w:szCs w:val="22"/>
          <w:lang w:val="sv-SE"/>
        </w:rPr>
        <w:tab/>
        <w:t>UTGÅNGSDATUM</w:t>
      </w:r>
    </w:p>
    <w:p w14:paraId="4306B72B" w14:textId="77777777" w:rsidR="00CE607D" w:rsidRPr="000E7AE9" w:rsidRDefault="00CE607D" w:rsidP="00463647">
      <w:pPr>
        <w:widowControl w:val="0"/>
        <w:suppressAutoHyphens/>
        <w:spacing w:line="240" w:lineRule="auto"/>
        <w:ind w:left="567" w:hanging="567"/>
        <w:rPr>
          <w:color w:val="000000"/>
          <w:szCs w:val="22"/>
          <w:lang w:val="sv-SE"/>
        </w:rPr>
      </w:pPr>
    </w:p>
    <w:p w14:paraId="73ADCC60" w14:textId="77777777" w:rsidR="00CE607D" w:rsidRPr="000E7AE9" w:rsidRDefault="00CE607D" w:rsidP="00463647">
      <w:pPr>
        <w:pStyle w:val="EndnoteText"/>
        <w:widowControl w:val="0"/>
        <w:tabs>
          <w:tab w:val="clear" w:pos="567"/>
        </w:tabs>
        <w:outlineLvl w:val="0"/>
        <w:rPr>
          <w:color w:val="000000"/>
          <w:szCs w:val="22"/>
          <w:lang w:val="sv-SE"/>
        </w:rPr>
      </w:pPr>
      <w:r w:rsidRPr="000E7AE9">
        <w:rPr>
          <w:color w:val="000000"/>
          <w:szCs w:val="22"/>
          <w:lang w:val="sv-SE"/>
        </w:rPr>
        <w:t>EXP</w:t>
      </w:r>
    </w:p>
    <w:p w14:paraId="6D868452" w14:textId="77777777" w:rsidR="00CE607D" w:rsidRPr="000E7AE9" w:rsidRDefault="00CE607D" w:rsidP="00463647">
      <w:pPr>
        <w:widowControl w:val="0"/>
        <w:suppressAutoHyphens/>
        <w:spacing w:line="240" w:lineRule="auto"/>
        <w:rPr>
          <w:color w:val="000000"/>
          <w:szCs w:val="22"/>
          <w:lang w:val="sv-SE"/>
        </w:rPr>
      </w:pPr>
    </w:p>
    <w:p w14:paraId="5C8F2AF5" w14:textId="77777777" w:rsidR="00CE607D" w:rsidRPr="000E7AE9" w:rsidRDefault="00CE607D" w:rsidP="00463647">
      <w:pPr>
        <w:widowControl w:val="0"/>
        <w:suppressAutoHyphens/>
        <w:spacing w:line="240" w:lineRule="auto"/>
        <w:rPr>
          <w:color w:val="000000"/>
          <w:szCs w:val="22"/>
          <w:lang w:val="sv-SE"/>
        </w:rPr>
      </w:pPr>
    </w:p>
    <w:p w14:paraId="7B6FEBDE"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4.</w:t>
      </w:r>
      <w:r w:rsidRPr="000E7AE9">
        <w:rPr>
          <w:b/>
          <w:color w:val="000000"/>
          <w:szCs w:val="22"/>
          <w:lang w:val="sv-SE"/>
        </w:rPr>
        <w:tab/>
      </w:r>
      <w:r>
        <w:rPr>
          <w:b/>
          <w:color w:val="000000"/>
          <w:szCs w:val="22"/>
          <w:lang w:val="sv-SE"/>
        </w:rPr>
        <w:t>TILLVERKNINGSSATS</w:t>
      </w:r>
      <w:r w:rsidRPr="000E7AE9">
        <w:rPr>
          <w:b/>
          <w:color w:val="000000"/>
          <w:szCs w:val="22"/>
          <w:lang w:val="sv-SE"/>
        </w:rPr>
        <w:t>NUMMER</w:t>
      </w:r>
    </w:p>
    <w:p w14:paraId="0FB88EF3" w14:textId="77777777" w:rsidR="00CE607D" w:rsidRPr="000E7AE9" w:rsidRDefault="00CE607D" w:rsidP="00463647">
      <w:pPr>
        <w:widowControl w:val="0"/>
        <w:suppressAutoHyphens/>
        <w:spacing w:line="240" w:lineRule="auto"/>
        <w:rPr>
          <w:color w:val="000000"/>
          <w:szCs w:val="22"/>
          <w:lang w:val="sv-SE"/>
        </w:rPr>
      </w:pPr>
    </w:p>
    <w:p w14:paraId="3650B7F3" w14:textId="77777777" w:rsidR="00CE607D" w:rsidRPr="000E7AE9" w:rsidRDefault="00CE607D" w:rsidP="00463647">
      <w:pPr>
        <w:pStyle w:val="EndnoteText"/>
        <w:widowControl w:val="0"/>
        <w:tabs>
          <w:tab w:val="clear" w:pos="567"/>
        </w:tabs>
        <w:outlineLvl w:val="0"/>
        <w:rPr>
          <w:color w:val="000000"/>
          <w:szCs w:val="22"/>
          <w:lang w:val="sv-SE"/>
        </w:rPr>
      </w:pPr>
      <w:r w:rsidRPr="000E7AE9">
        <w:rPr>
          <w:color w:val="000000"/>
          <w:szCs w:val="22"/>
          <w:lang w:val="sv-SE"/>
        </w:rPr>
        <w:t>Lot</w:t>
      </w:r>
    </w:p>
    <w:p w14:paraId="51ADBD8B" w14:textId="77777777" w:rsidR="00CE607D" w:rsidRDefault="00CE607D" w:rsidP="00463647">
      <w:pPr>
        <w:widowControl w:val="0"/>
        <w:tabs>
          <w:tab w:val="clear" w:pos="567"/>
        </w:tabs>
        <w:spacing w:line="240" w:lineRule="auto"/>
        <w:rPr>
          <w:color w:val="000000"/>
          <w:szCs w:val="22"/>
          <w:lang w:val="sv-SE"/>
        </w:rPr>
      </w:pPr>
    </w:p>
    <w:p w14:paraId="114D564A" w14:textId="77777777" w:rsidR="00CE607D" w:rsidRPr="00CE607D" w:rsidRDefault="00CE607D" w:rsidP="00463647">
      <w:pPr>
        <w:widowControl w:val="0"/>
        <w:tabs>
          <w:tab w:val="clear" w:pos="567"/>
        </w:tabs>
        <w:spacing w:line="240" w:lineRule="auto"/>
        <w:rPr>
          <w:color w:val="000000"/>
          <w:szCs w:val="22"/>
          <w:lang w:val="sv-SE"/>
        </w:rPr>
      </w:pPr>
    </w:p>
    <w:p w14:paraId="5EF411B9" w14:textId="77777777" w:rsidR="00CE607D" w:rsidRPr="00CE607D" w:rsidRDefault="00CE607D" w:rsidP="00463647">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lang w:val="sv-SE"/>
        </w:rPr>
      </w:pPr>
      <w:r w:rsidRPr="00CE607D">
        <w:rPr>
          <w:b/>
          <w:noProof/>
          <w:lang w:val="sv-SE"/>
        </w:rPr>
        <w:t>5.</w:t>
      </w:r>
      <w:r w:rsidRPr="00CE607D">
        <w:rPr>
          <w:b/>
          <w:noProof/>
          <w:lang w:val="sv-SE"/>
        </w:rPr>
        <w:tab/>
        <w:t>ÖVRIGT</w:t>
      </w:r>
    </w:p>
    <w:p w14:paraId="5458D2ED" w14:textId="77777777" w:rsidR="00CE607D" w:rsidRDefault="00CE607D" w:rsidP="00463647">
      <w:pPr>
        <w:widowControl w:val="0"/>
        <w:shd w:val="clear" w:color="auto" w:fill="FFFFFF"/>
        <w:suppressAutoHyphens/>
        <w:spacing w:line="240" w:lineRule="auto"/>
        <w:rPr>
          <w:color w:val="000000"/>
          <w:szCs w:val="22"/>
          <w:lang w:val="sv-SE"/>
        </w:rPr>
      </w:pPr>
    </w:p>
    <w:p w14:paraId="6EA0BD70" w14:textId="77777777" w:rsidR="00CE607D" w:rsidRPr="000E7AE9" w:rsidRDefault="00CE607D" w:rsidP="00463647">
      <w:pPr>
        <w:widowControl w:val="0"/>
        <w:shd w:val="clear" w:color="auto" w:fill="FFFFFF"/>
        <w:suppressAutoHyphens/>
        <w:spacing w:line="240" w:lineRule="auto"/>
        <w:rPr>
          <w:color w:val="000000"/>
          <w:szCs w:val="22"/>
          <w:lang w:val="sv-SE"/>
        </w:rPr>
      </w:pPr>
      <w:r w:rsidRPr="000E7AE9">
        <w:rPr>
          <w:color w:val="000000"/>
          <w:szCs w:val="22"/>
          <w:lang w:val="sv-SE"/>
        </w:rPr>
        <w:br w:type="page"/>
      </w:r>
    </w:p>
    <w:p w14:paraId="27906EBF" w14:textId="77777777" w:rsidR="00FB5960" w:rsidRPr="00FB5960" w:rsidRDefault="00FB5960" w:rsidP="00FB5960">
      <w:pPr>
        <w:widowControl w:val="0"/>
        <w:suppressAutoHyphens/>
        <w:spacing w:line="240" w:lineRule="auto"/>
        <w:rPr>
          <w:color w:val="000000"/>
          <w:szCs w:val="22"/>
          <w:lang w:val="sv-SE"/>
        </w:rPr>
      </w:pPr>
    </w:p>
    <w:p w14:paraId="6AF54F01"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hd w:val="clear" w:color="auto" w:fill="FFFFFF"/>
        <w:suppressAutoHyphens/>
        <w:spacing w:line="240" w:lineRule="auto"/>
        <w:rPr>
          <w:color w:val="000000"/>
          <w:szCs w:val="22"/>
          <w:lang w:val="sv-SE"/>
        </w:rPr>
      </w:pPr>
      <w:r w:rsidRPr="000E7AE9">
        <w:rPr>
          <w:b/>
          <w:color w:val="000000"/>
          <w:szCs w:val="22"/>
          <w:lang w:val="sv-SE"/>
        </w:rPr>
        <w:t>UPPGIFTER SOM SKA FINNAS PÅ YTTRE FÖRPACKNINGEN</w:t>
      </w:r>
    </w:p>
    <w:p w14:paraId="5FE4CD5A"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sv-SE"/>
        </w:rPr>
      </w:pPr>
    </w:p>
    <w:p w14:paraId="67A6D66D"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outlineLvl w:val="0"/>
        <w:rPr>
          <w:b/>
          <w:caps/>
          <w:snapToGrid w:val="0"/>
          <w:color w:val="000000"/>
          <w:szCs w:val="22"/>
          <w:lang w:val="sv-SE"/>
        </w:rPr>
      </w:pPr>
      <w:r w:rsidRPr="000E7AE9">
        <w:rPr>
          <w:b/>
          <w:caps/>
          <w:color w:val="000000"/>
          <w:szCs w:val="22"/>
          <w:lang w:val="sv-SE"/>
        </w:rPr>
        <w:t>kartong</w:t>
      </w:r>
    </w:p>
    <w:p w14:paraId="067D008C" w14:textId="77777777" w:rsidR="00CE607D" w:rsidRPr="000E7AE9" w:rsidRDefault="00CE607D" w:rsidP="00463647">
      <w:pPr>
        <w:widowControl w:val="0"/>
        <w:suppressAutoHyphens/>
        <w:spacing w:line="240" w:lineRule="auto"/>
        <w:rPr>
          <w:color w:val="000000"/>
          <w:szCs w:val="22"/>
          <w:lang w:val="sv-SE"/>
        </w:rPr>
      </w:pPr>
    </w:p>
    <w:p w14:paraId="048AB263" w14:textId="77777777" w:rsidR="00CE607D" w:rsidRPr="000E7AE9" w:rsidRDefault="00CE607D" w:rsidP="00463647">
      <w:pPr>
        <w:widowControl w:val="0"/>
        <w:suppressAutoHyphens/>
        <w:spacing w:line="240" w:lineRule="auto"/>
        <w:rPr>
          <w:color w:val="000000"/>
          <w:szCs w:val="22"/>
          <w:lang w:val="sv-SE"/>
        </w:rPr>
      </w:pPr>
    </w:p>
    <w:p w14:paraId="57EA23EE"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1.</w:t>
      </w:r>
      <w:r w:rsidRPr="000E7AE9">
        <w:rPr>
          <w:b/>
          <w:color w:val="000000"/>
          <w:szCs w:val="22"/>
          <w:lang w:val="sv-SE"/>
        </w:rPr>
        <w:tab/>
        <w:t>LÄKEMEDLETS NAMN</w:t>
      </w:r>
    </w:p>
    <w:p w14:paraId="4C71427E" w14:textId="77777777" w:rsidR="00CE607D" w:rsidRPr="000E7AE9" w:rsidRDefault="00CE607D" w:rsidP="00463647">
      <w:pPr>
        <w:widowControl w:val="0"/>
        <w:suppressAutoHyphens/>
        <w:spacing w:line="240" w:lineRule="auto"/>
        <w:rPr>
          <w:color w:val="000000"/>
          <w:szCs w:val="22"/>
          <w:lang w:val="sv-SE"/>
        </w:rPr>
      </w:pPr>
    </w:p>
    <w:p w14:paraId="3010BE3B"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t>Glivec 400 mg filmdragerade tabletter</w:t>
      </w:r>
    </w:p>
    <w:p w14:paraId="0D5EAAD7" w14:textId="77777777" w:rsidR="00CE607D" w:rsidRPr="000E7AE9" w:rsidRDefault="001412A8" w:rsidP="00463647">
      <w:pPr>
        <w:widowControl w:val="0"/>
        <w:spacing w:line="240" w:lineRule="auto"/>
        <w:outlineLvl w:val="0"/>
        <w:rPr>
          <w:color w:val="000000"/>
          <w:szCs w:val="22"/>
          <w:lang w:val="sv-SE"/>
        </w:rPr>
      </w:pPr>
      <w:r>
        <w:rPr>
          <w:color w:val="000000"/>
          <w:szCs w:val="22"/>
          <w:lang w:val="sv-SE"/>
        </w:rPr>
        <w:t>i</w:t>
      </w:r>
      <w:r w:rsidR="00CE607D" w:rsidRPr="000E7AE9">
        <w:rPr>
          <w:color w:val="000000"/>
          <w:szCs w:val="22"/>
          <w:lang w:val="sv-SE"/>
        </w:rPr>
        <w:t>matinib</w:t>
      </w:r>
    </w:p>
    <w:p w14:paraId="03CC9F93" w14:textId="77777777" w:rsidR="00CE607D" w:rsidRPr="000E7AE9" w:rsidRDefault="00CE607D" w:rsidP="00463647">
      <w:pPr>
        <w:widowControl w:val="0"/>
        <w:suppressAutoHyphens/>
        <w:spacing w:line="240" w:lineRule="auto"/>
        <w:rPr>
          <w:color w:val="000000"/>
          <w:szCs w:val="22"/>
          <w:lang w:val="sv-SE"/>
        </w:rPr>
      </w:pPr>
    </w:p>
    <w:p w14:paraId="5C1276FC" w14:textId="77777777" w:rsidR="00CE607D" w:rsidRPr="000E7AE9" w:rsidRDefault="00CE607D" w:rsidP="00463647">
      <w:pPr>
        <w:widowControl w:val="0"/>
        <w:suppressAutoHyphens/>
        <w:spacing w:line="240" w:lineRule="auto"/>
        <w:rPr>
          <w:color w:val="000000"/>
          <w:szCs w:val="22"/>
          <w:lang w:val="sv-SE"/>
        </w:rPr>
      </w:pPr>
    </w:p>
    <w:p w14:paraId="4B6B7E4F"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2.</w:t>
      </w:r>
      <w:r w:rsidRPr="000E7AE9">
        <w:rPr>
          <w:b/>
          <w:color w:val="000000"/>
          <w:szCs w:val="22"/>
          <w:lang w:val="sv-SE"/>
        </w:rPr>
        <w:tab/>
      </w:r>
      <w:r w:rsidRPr="000E7AE9">
        <w:rPr>
          <w:b/>
          <w:noProof/>
          <w:color w:val="000000"/>
          <w:szCs w:val="22"/>
          <w:lang w:val="sv-SE"/>
        </w:rPr>
        <w:t>DEKLARATION AV AKTIV(A) SUBSTANS(ER)</w:t>
      </w:r>
    </w:p>
    <w:p w14:paraId="75D97197" w14:textId="77777777" w:rsidR="00CE607D" w:rsidRPr="000E7AE9" w:rsidRDefault="00CE607D" w:rsidP="00463647">
      <w:pPr>
        <w:widowControl w:val="0"/>
        <w:suppressAutoHyphens/>
        <w:spacing w:line="240" w:lineRule="auto"/>
        <w:rPr>
          <w:color w:val="000000"/>
          <w:szCs w:val="22"/>
          <w:lang w:val="sv-SE"/>
        </w:rPr>
      </w:pPr>
    </w:p>
    <w:p w14:paraId="31E7A657" w14:textId="77777777" w:rsidR="00CE607D" w:rsidRPr="000E7AE9" w:rsidRDefault="00CE607D" w:rsidP="00463647">
      <w:pPr>
        <w:pStyle w:val="TextChar"/>
        <w:widowControl w:val="0"/>
        <w:spacing w:before="0"/>
        <w:outlineLvl w:val="0"/>
        <w:rPr>
          <w:color w:val="000000"/>
          <w:sz w:val="22"/>
          <w:szCs w:val="22"/>
          <w:lang w:val="sv-SE"/>
        </w:rPr>
      </w:pPr>
      <w:r w:rsidRPr="000E7AE9">
        <w:rPr>
          <w:color w:val="000000"/>
          <w:sz w:val="22"/>
          <w:szCs w:val="22"/>
          <w:lang w:val="sv-SE"/>
        </w:rPr>
        <w:t>Varje filmdragerad tablett innehåller 400 mg imatinib (som mesylat).</w:t>
      </w:r>
    </w:p>
    <w:p w14:paraId="1EE53472" w14:textId="77777777" w:rsidR="00CE607D" w:rsidRPr="000E7AE9" w:rsidRDefault="00CE607D" w:rsidP="00463647">
      <w:pPr>
        <w:widowControl w:val="0"/>
        <w:tabs>
          <w:tab w:val="left" w:pos="1560"/>
        </w:tabs>
        <w:suppressAutoHyphens/>
        <w:spacing w:line="240" w:lineRule="auto"/>
        <w:rPr>
          <w:color w:val="000000"/>
          <w:szCs w:val="22"/>
          <w:lang w:val="sv-SE"/>
        </w:rPr>
      </w:pPr>
    </w:p>
    <w:p w14:paraId="5A19AEE9" w14:textId="77777777" w:rsidR="00CE607D" w:rsidRPr="000E7AE9" w:rsidRDefault="00CE607D" w:rsidP="00463647">
      <w:pPr>
        <w:widowControl w:val="0"/>
        <w:tabs>
          <w:tab w:val="left" w:pos="1560"/>
        </w:tabs>
        <w:suppressAutoHyphens/>
        <w:spacing w:line="240" w:lineRule="auto"/>
        <w:rPr>
          <w:color w:val="000000"/>
          <w:szCs w:val="22"/>
          <w:lang w:val="sv-SE"/>
        </w:rPr>
      </w:pPr>
    </w:p>
    <w:p w14:paraId="26581503"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tabs>
          <w:tab w:val="left" w:pos="1560"/>
        </w:tabs>
        <w:suppressAutoHyphens/>
        <w:spacing w:line="240" w:lineRule="auto"/>
        <w:ind w:left="567" w:hanging="567"/>
        <w:rPr>
          <w:color w:val="000000"/>
          <w:szCs w:val="22"/>
          <w:lang w:val="sv-SE"/>
        </w:rPr>
      </w:pPr>
      <w:r w:rsidRPr="000E7AE9">
        <w:rPr>
          <w:b/>
          <w:color w:val="000000"/>
          <w:szCs w:val="22"/>
          <w:lang w:val="sv-SE"/>
        </w:rPr>
        <w:t>3.</w:t>
      </w:r>
      <w:r w:rsidRPr="000E7AE9">
        <w:rPr>
          <w:b/>
          <w:color w:val="000000"/>
          <w:szCs w:val="22"/>
          <w:lang w:val="sv-SE"/>
        </w:rPr>
        <w:tab/>
        <w:t>FÖRTECKNING ÖVER HJÄLPÄMNEN</w:t>
      </w:r>
    </w:p>
    <w:p w14:paraId="1C2ACAF1" w14:textId="77777777" w:rsidR="00CE607D" w:rsidRPr="000E7AE9" w:rsidRDefault="00CE607D" w:rsidP="00463647">
      <w:pPr>
        <w:widowControl w:val="0"/>
        <w:tabs>
          <w:tab w:val="left" w:pos="1560"/>
        </w:tabs>
        <w:suppressAutoHyphens/>
        <w:spacing w:line="240" w:lineRule="auto"/>
        <w:rPr>
          <w:color w:val="000000"/>
          <w:szCs w:val="22"/>
          <w:lang w:val="sv-SE"/>
        </w:rPr>
      </w:pPr>
    </w:p>
    <w:p w14:paraId="30B83187" w14:textId="77777777" w:rsidR="00CE607D" w:rsidRPr="000E7AE9" w:rsidRDefault="00CE607D" w:rsidP="00463647">
      <w:pPr>
        <w:widowControl w:val="0"/>
        <w:tabs>
          <w:tab w:val="left" w:pos="1560"/>
        </w:tabs>
        <w:suppressAutoHyphens/>
        <w:spacing w:line="240" w:lineRule="auto"/>
        <w:rPr>
          <w:color w:val="000000"/>
          <w:szCs w:val="22"/>
          <w:lang w:val="sv-SE"/>
        </w:rPr>
      </w:pPr>
    </w:p>
    <w:p w14:paraId="2550E7CE"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tabs>
          <w:tab w:val="left" w:pos="1560"/>
        </w:tabs>
        <w:suppressAutoHyphens/>
        <w:spacing w:line="240" w:lineRule="auto"/>
        <w:ind w:left="567" w:hanging="567"/>
        <w:rPr>
          <w:color w:val="000000"/>
          <w:szCs w:val="22"/>
          <w:lang w:val="sv-SE"/>
        </w:rPr>
      </w:pPr>
      <w:r w:rsidRPr="000E7AE9">
        <w:rPr>
          <w:b/>
          <w:color w:val="000000"/>
          <w:szCs w:val="22"/>
          <w:lang w:val="sv-SE"/>
        </w:rPr>
        <w:t>4.</w:t>
      </w:r>
      <w:r w:rsidRPr="000E7AE9">
        <w:rPr>
          <w:b/>
          <w:color w:val="000000"/>
          <w:szCs w:val="22"/>
          <w:lang w:val="sv-SE"/>
        </w:rPr>
        <w:tab/>
        <w:t>LÄKEMEDELSFORM OCH FÖRPACKNINGSSTORLEK</w:t>
      </w:r>
    </w:p>
    <w:p w14:paraId="2BD9828F" w14:textId="77777777" w:rsidR="00CE607D" w:rsidRPr="000E7AE9" w:rsidRDefault="00CE607D" w:rsidP="00463647">
      <w:pPr>
        <w:widowControl w:val="0"/>
        <w:tabs>
          <w:tab w:val="left" w:pos="1560"/>
        </w:tabs>
        <w:suppressAutoHyphens/>
        <w:spacing w:line="240" w:lineRule="auto"/>
        <w:rPr>
          <w:color w:val="000000"/>
          <w:szCs w:val="22"/>
          <w:lang w:val="sv-SE"/>
        </w:rPr>
      </w:pPr>
    </w:p>
    <w:p w14:paraId="52726EAE" w14:textId="77777777" w:rsidR="00CE607D" w:rsidRPr="000E7AE9" w:rsidRDefault="00CE607D" w:rsidP="00463647">
      <w:pPr>
        <w:pStyle w:val="EndnoteText"/>
        <w:widowControl w:val="0"/>
        <w:rPr>
          <w:color w:val="000000"/>
          <w:szCs w:val="22"/>
          <w:lang w:val="sv-SE"/>
        </w:rPr>
      </w:pPr>
      <w:r w:rsidRPr="000E7AE9">
        <w:rPr>
          <w:color w:val="000000"/>
          <w:szCs w:val="22"/>
          <w:lang w:val="sv-SE"/>
        </w:rPr>
        <w:t>10 filmdragerade tabletter</w:t>
      </w:r>
    </w:p>
    <w:p w14:paraId="0B0CF509" w14:textId="77777777" w:rsidR="00CE607D" w:rsidRPr="000E7AE9" w:rsidRDefault="00CE607D" w:rsidP="00463647">
      <w:pPr>
        <w:widowControl w:val="0"/>
        <w:suppressAutoHyphens/>
        <w:spacing w:line="240" w:lineRule="auto"/>
        <w:rPr>
          <w:color w:val="000000"/>
          <w:szCs w:val="22"/>
          <w:shd w:val="clear" w:color="auto" w:fill="D9D9D9"/>
          <w:lang w:val="sv-SE"/>
        </w:rPr>
      </w:pPr>
      <w:r w:rsidRPr="000E7AE9">
        <w:rPr>
          <w:color w:val="000000"/>
          <w:szCs w:val="22"/>
          <w:shd w:val="clear" w:color="auto" w:fill="D9D9D9"/>
          <w:lang w:val="sv-SE"/>
        </w:rPr>
        <w:t>30 filmdragerade tabletter</w:t>
      </w:r>
    </w:p>
    <w:p w14:paraId="0B211C5C" w14:textId="77777777" w:rsidR="00CE607D" w:rsidRPr="000E7AE9" w:rsidRDefault="00CE607D" w:rsidP="00463647">
      <w:pPr>
        <w:widowControl w:val="0"/>
        <w:suppressAutoHyphens/>
        <w:spacing w:line="240" w:lineRule="auto"/>
        <w:rPr>
          <w:color w:val="000000"/>
          <w:szCs w:val="22"/>
          <w:shd w:val="clear" w:color="auto" w:fill="D9D9D9"/>
          <w:lang w:val="sv-SE"/>
        </w:rPr>
      </w:pPr>
      <w:r w:rsidRPr="000E7AE9">
        <w:rPr>
          <w:color w:val="000000"/>
          <w:szCs w:val="22"/>
          <w:shd w:val="clear" w:color="auto" w:fill="D9D9D9"/>
          <w:lang w:val="sv-SE"/>
        </w:rPr>
        <w:t>90 filmdragerade tabletter</w:t>
      </w:r>
    </w:p>
    <w:p w14:paraId="1049B0D8" w14:textId="77777777" w:rsidR="00CE607D" w:rsidRPr="000E7AE9" w:rsidRDefault="00CE607D" w:rsidP="00463647">
      <w:pPr>
        <w:widowControl w:val="0"/>
        <w:suppressAutoHyphens/>
        <w:spacing w:line="240" w:lineRule="auto"/>
        <w:rPr>
          <w:color w:val="000000"/>
          <w:szCs w:val="22"/>
          <w:lang w:val="sv-SE"/>
        </w:rPr>
      </w:pPr>
    </w:p>
    <w:p w14:paraId="76120384" w14:textId="77777777" w:rsidR="00CE607D" w:rsidRPr="000E7AE9" w:rsidRDefault="00CE607D" w:rsidP="00463647">
      <w:pPr>
        <w:widowControl w:val="0"/>
        <w:suppressAutoHyphens/>
        <w:spacing w:line="240" w:lineRule="auto"/>
        <w:rPr>
          <w:color w:val="000000"/>
          <w:szCs w:val="22"/>
          <w:lang w:val="sv-SE"/>
        </w:rPr>
      </w:pPr>
    </w:p>
    <w:p w14:paraId="2C1DCFDF"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5.</w:t>
      </w:r>
      <w:r w:rsidRPr="000E7AE9">
        <w:rPr>
          <w:b/>
          <w:color w:val="000000"/>
          <w:szCs w:val="22"/>
          <w:lang w:val="sv-SE"/>
        </w:rPr>
        <w:tab/>
        <w:t>ADMINISTRERINGSSÄTT OCH ADMINISTRERINGSVÄG</w:t>
      </w:r>
    </w:p>
    <w:p w14:paraId="0EBC6DAA" w14:textId="77777777" w:rsidR="00CE607D" w:rsidRPr="000E7AE9" w:rsidRDefault="00CE607D" w:rsidP="00463647">
      <w:pPr>
        <w:widowControl w:val="0"/>
        <w:suppressAutoHyphens/>
        <w:spacing w:line="240" w:lineRule="auto"/>
        <w:rPr>
          <w:color w:val="000000"/>
          <w:szCs w:val="22"/>
          <w:lang w:val="sv-SE"/>
        </w:rPr>
      </w:pPr>
    </w:p>
    <w:p w14:paraId="6DC7C974" w14:textId="77777777" w:rsidR="00CE607D" w:rsidRPr="000E7AE9" w:rsidRDefault="00CE607D" w:rsidP="00463647">
      <w:pPr>
        <w:pStyle w:val="EndnoteText"/>
        <w:widowControl w:val="0"/>
        <w:tabs>
          <w:tab w:val="clear" w:pos="567"/>
        </w:tabs>
        <w:outlineLvl w:val="0"/>
        <w:rPr>
          <w:color w:val="000000"/>
          <w:szCs w:val="22"/>
          <w:lang w:val="sv-SE"/>
        </w:rPr>
      </w:pPr>
      <w:r w:rsidRPr="000E7AE9">
        <w:rPr>
          <w:color w:val="000000"/>
          <w:szCs w:val="22"/>
          <w:lang w:val="sv-SE"/>
        </w:rPr>
        <w:t>Oral användning. Läs bipacksedeln före användning.</w:t>
      </w:r>
    </w:p>
    <w:p w14:paraId="248857E9" w14:textId="77777777" w:rsidR="00CE607D" w:rsidRPr="000E7AE9" w:rsidRDefault="00CE607D" w:rsidP="00463647">
      <w:pPr>
        <w:widowControl w:val="0"/>
        <w:suppressAutoHyphens/>
        <w:spacing w:line="240" w:lineRule="auto"/>
        <w:rPr>
          <w:color w:val="000000"/>
          <w:szCs w:val="22"/>
          <w:lang w:val="sv-SE"/>
        </w:rPr>
      </w:pPr>
    </w:p>
    <w:p w14:paraId="1DA1475C" w14:textId="77777777" w:rsidR="00CE607D" w:rsidRPr="000E7AE9" w:rsidRDefault="00CE607D" w:rsidP="00463647">
      <w:pPr>
        <w:widowControl w:val="0"/>
        <w:suppressAutoHyphens/>
        <w:spacing w:line="240" w:lineRule="auto"/>
        <w:rPr>
          <w:color w:val="000000"/>
          <w:szCs w:val="22"/>
          <w:lang w:val="sv-SE"/>
        </w:rPr>
      </w:pPr>
    </w:p>
    <w:p w14:paraId="4F3B535C"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6.</w:t>
      </w:r>
      <w:r w:rsidRPr="000E7AE9">
        <w:rPr>
          <w:b/>
          <w:color w:val="000000"/>
          <w:szCs w:val="22"/>
          <w:lang w:val="sv-SE"/>
        </w:rPr>
        <w:tab/>
      </w:r>
      <w:r w:rsidRPr="000E7AE9">
        <w:rPr>
          <w:b/>
          <w:noProof/>
          <w:color w:val="000000"/>
          <w:szCs w:val="22"/>
          <w:lang w:val="sv-SE"/>
        </w:rPr>
        <w:t>SÄRSKILD VARNING OM ATT LÄKEMEDLET MÅSTE FÖRVARAS UTOM SYN- OCH RÄCKHÅLL FÖR BARN</w:t>
      </w:r>
    </w:p>
    <w:p w14:paraId="31F9E071" w14:textId="77777777" w:rsidR="00CE607D" w:rsidRPr="000E7AE9" w:rsidRDefault="00CE607D" w:rsidP="00463647">
      <w:pPr>
        <w:widowControl w:val="0"/>
        <w:suppressAutoHyphens/>
        <w:spacing w:line="240" w:lineRule="auto"/>
        <w:rPr>
          <w:color w:val="000000"/>
          <w:szCs w:val="22"/>
          <w:lang w:val="sv-SE"/>
        </w:rPr>
      </w:pPr>
    </w:p>
    <w:p w14:paraId="5A2417BB"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t>Förvaras utom syn- och räckhåll för barn.</w:t>
      </w:r>
    </w:p>
    <w:p w14:paraId="35AF421E" w14:textId="77777777" w:rsidR="00CE607D" w:rsidRPr="000E7AE9" w:rsidRDefault="00CE607D" w:rsidP="00463647">
      <w:pPr>
        <w:widowControl w:val="0"/>
        <w:suppressAutoHyphens/>
        <w:spacing w:line="240" w:lineRule="auto"/>
        <w:rPr>
          <w:color w:val="000000"/>
          <w:szCs w:val="22"/>
          <w:lang w:val="sv-SE"/>
        </w:rPr>
      </w:pPr>
    </w:p>
    <w:p w14:paraId="1F8842EE" w14:textId="77777777" w:rsidR="00CE607D" w:rsidRPr="000E7AE9" w:rsidRDefault="00CE607D" w:rsidP="00463647">
      <w:pPr>
        <w:widowControl w:val="0"/>
        <w:suppressAutoHyphens/>
        <w:spacing w:line="240" w:lineRule="auto"/>
        <w:rPr>
          <w:color w:val="000000"/>
          <w:szCs w:val="22"/>
          <w:lang w:val="sv-SE"/>
        </w:rPr>
      </w:pPr>
    </w:p>
    <w:p w14:paraId="497C699F"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7.</w:t>
      </w:r>
      <w:r w:rsidRPr="000E7AE9">
        <w:rPr>
          <w:b/>
          <w:color w:val="000000"/>
          <w:szCs w:val="22"/>
          <w:lang w:val="sv-SE"/>
        </w:rPr>
        <w:tab/>
        <w:t>ÖVRIGA SÄRSKILDA VARNINGAR OM SÅ ÄR NÖDVÄNDIGT</w:t>
      </w:r>
    </w:p>
    <w:p w14:paraId="44ECC557" w14:textId="77777777" w:rsidR="00CE607D" w:rsidRPr="000E7AE9" w:rsidRDefault="00CE607D" w:rsidP="00463647">
      <w:pPr>
        <w:widowControl w:val="0"/>
        <w:suppressAutoHyphens/>
        <w:spacing w:line="240" w:lineRule="auto"/>
        <w:rPr>
          <w:color w:val="000000"/>
          <w:szCs w:val="22"/>
          <w:lang w:val="sv-SE"/>
        </w:rPr>
      </w:pPr>
    </w:p>
    <w:p w14:paraId="4A5B6682" w14:textId="77777777" w:rsidR="00CE607D" w:rsidRPr="000E7AE9" w:rsidRDefault="00CE607D" w:rsidP="00463647">
      <w:pPr>
        <w:pStyle w:val="EndnoteText"/>
        <w:widowControl w:val="0"/>
        <w:tabs>
          <w:tab w:val="clear" w:pos="567"/>
        </w:tabs>
        <w:outlineLvl w:val="0"/>
        <w:rPr>
          <w:color w:val="000000"/>
          <w:szCs w:val="22"/>
          <w:lang w:val="sv-SE"/>
        </w:rPr>
      </w:pPr>
      <w:r w:rsidRPr="000E7AE9">
        <w:rPr>
          <w:color w:val="000000"/>
          <w:szCs w:val="22"/>
          <w:lang w:val="sv-SE"/>
        </w:rPr>
        <w:t>Använd endast enligt läkares anvisningar.</w:t>
      </w:r>
    </w:p>
    <w:p w14:paraId="2F786324" w14:textId="77777777" w:rsidR="00CE607D" w:rsidRPr="000E7AE9" w:rsidRDefault="00CE607D" w:rsidP="00463647">
      <w:pPr>
        <w:widowControl w:val="0"/>
        <w:suppressAutoHyphens/>
        <w:spacing w:line="240" w:lineRule="auto"/>
        <w:rPr>
          <w:color w:val="000000"/>
          <w:szCs w:val="22"/>
          <w:lang w:val="sv-SE"/>
        </w:rPr>
      </w:pPr>
    </w:p>
    <w:p w14:paraId="388034B8" w14:textId="77777777" w:rsidR="00CE607D" w:rsidRPr="000E7AE9" w:rsidRDefault="00CE607D" w:rsidP="00463647">
      <w:pPr>
        <w:widowControl w:val="0"/>
        <w:suppressAutoHyphens/>
        <w:spacing w:line="240" w:lineRule="auto"/>
        <w:rPr>
          <w:color w:val="000000"/>
          <w:szCs w:val="22"/>
          <w:lang w:val="sv-SE"/>
        </w:rPr>
      </w:pPr>
    </w:p>
    <w:p w14:paraId="29734C1D"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sv-SE"/>
        </w:rPr>
      </w:pPr>
      <w:r w:rsidRPr="000E7AE9">
        <w:rPr>
          <w:b/>
          <w:color w:val="000000"/>
          <w:szCs w:val="22"/>
          <w:lang w:val="sv-SE"/>
        </w:rPr>
        <w:t>8.</w:t>
      </w:r>
      <w:r w:rsidRPr="000E7AE9">
        <w:rPr>
          <w:b/>
          <w:color w:val="000000"/>
          <w:szCs w:val="22"/>
          <w:lang w:val="sv-SE"/>
        </w:rPr>
        <w:tab/>
        <w:t>UTGÅNGSDATUM</w:t>
      </w:r>
    </w:p>
    <w:p w14:paraId="473BC323" w14:textId="77777777" w:rsidR="00CE607D" w:rsidRPr="000E7AE9" w:rsidRDefault="00CE607D" w:rsidP="00463647">
      <w:pPr>
        <w:widowControl w:val="0"/>
        <w:suppressAutoHyphens/>
        <w:spacing w:line="240" w:lineRule="auto"/>
        <w:rPr>
          <w:color w:val="000000"/>
          <w:szCs w:val="22"/>
          <w:lang w:val="sv-SE"/>
        </w:rPr>
      </w:pPr>
    </w:p>
    <w:p w14:paraId="5AB9DDF2" w14:textId="77777777" w:rsidR="00CE607D" w:rsidRPr="000E7AE9" w:rsidRDefault="00A009DC" w:rsidP="00463647">
      <w:pPr>
        <w:pStyle w:val="EndnoteText"/>
        <w:widowControl w:val="0"/>
        <w:tabs>
          <w:tab w:val="clear" w:pos="567"/>
        </w:tabs>
        <w:outlineLvl w:val="0"/>
        <w:rPr>
          <w:color w:val="000000"/>
          <w:szCs w:val="22"/>
          <w:lang w:val="sv-SE"/>
        </w:rPr>
      </w:pPr>
      <w:r>
        <w:rPr>
          <w:color w:val="000000"/>
          <w:szCs w:val="22"/>
          <w:lang w:val="sv-SE"/>
        </w:rPr>
        <w:t>EXP</w:t>
      </w:r>
    </w:p>
    <w:p w14:paraId="27846AA7" w14:textId="77777777" w:rsidR="00CE607D" w:rsidRPr="000E7AE9" w:rsidRDefault="00CE607D" w:rsidP="00463647">
      <w:pPr>
        <w:widowControl w:val="0"/>
        <w:suppressAutoHyphens/>
        <w:spacing w:line="240" w:lineRule="auto"/>
        <w:rPr>
          <w:color w:val="000000"/>
          <w:szCs w:val="22"/>
          <w:lang w:val="sv-SE"/>
        </w:rPr>
      </w:pPr>
    </w:p>
    <w:p w14:paraId="1DFC4510" w14:textId="77777777" w:rsidR="00CE607D" w:rsidRPr="000E7AE9" w:rsidRDefault="00CE607D" w:rsidP="00463647">
      <w:pPr>
        <w:widowControl w:val="0"/>
        <w:suppressAutoHyphens/>
        <w:spacing w:line="240" w:lineRule="auto"/>
        <w:rPr>
          <w:color w:val="000000"/>
          <w:szCs w:val="22"/>
          <w:lang w:val="sv-SE"/>
        </w:rPr>
      </w:pPr>
    </w:p>
    <w:p w14:paraId="71F239B9"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9.</w:t>
      </w:r>
      <w:r w:rsidRPr="000E7AE9">
        <w:rPr>
          <w:b/>
          <w:color w:val="000000"/>
          <w:szCs w:val="22"/>
          <w:lang w:val="sv-SE"/>
        </w:rPr>
        <w:tab/>
        <w:t>SÄRSKILDA FÖRVARINGSANVISNINGAR</w:t>
      </w:r>
    </w:p>
    <w:p w14:paraId="749D4FE9" w14:textId="77777777" w:rsidR="00CE607D" w:rsidRPr="000E7AE9" w:rsidRDefault="00CE607D" w:rsidP="00463647">
      <w:pPr>
        <w:widowControl w:val="0"/>
        <w:suppressAutoHyphens/>
        <w:spacing w:line="240" w:lineRule="auto"/>
        <w:rPr>
          <w:color w:val="000000"/>
          <w:szCs w:val="22"/>
          <w:lang w:val="sv-SE"/>
        </w:rPr>
      </w:pPr>
    </w:p>
    <w:p w14:paraId="520F9874" w14:textId="77777777" w:rsidR="00CE607D" w:rsidRPr="000E7AE9" w:rsidRDefault="00CE607D" w:rsidP="00463647">
      <w:pPr>
        <w:pStyle w:val="TextChar"/>
        <w:widowControl w:val="0"/>
        <w:spacing w:before="0"/>
        <w:outlineLvl w:val="0"/>
        <w:rPr>
          <w:color w:val="000000"/>
          <w:sz w:val="22"/>
          <w:szCs w:val="22"/>
          <w:lang w:val="sv-SE"/>
        </w:rPr>
      </w:pPr>
      <w:r w:rsidRPr="000E7AE9">
        <w:rPr>
          <w:color w:val="000000"/>
          <w:sz w:val="22"/>
          <w:szCs w:val="22"/>
          <w:lang w:val="sv-SE"/>
        </w:rPr>
        <w:t>Förvaras vid högst 30 </w:t>
      </w:r>
      <w:r w:rsidRPr="000E7AE9">
        <w:rPr>
          <w:color w:val="000000"/>
          <w:sz w:val="22"/>
          <w:szCs w:val="22"/>
          <w:lang w:val="sv-SE"/>
        </w:rPr>
        <w:sym w:font="Symbol" w:char="F0B0"/>
      </w:r>
      <w:r w:rsidRPr="000E7AE9">
        <w:rPr>
          <w:color w:val="000000"/>
          <w:sz w:val="22"/>
          <w:szCs w:val="22"/>
          <w:lang w:val="sv-SE"/>
        </w:rPr>
        <w:t>C. Förvaras i originalförpackningen. Fuktkänsligt.</w:t>
      </w:r>
    </w:p>
    <w:p w14:paraId="3B5868E4" w14:textId="77777777" w:rsidR="00CE607D" w:rsidRPr="000E7AE9" w:rsidRDefault="00CE607D" w:rsidP="00463647">
      <w:pPr>
        <w:widowControl w:val="0"/>
        <w:suppressAutoHyphens/>
        <w:spacing w:line="240" w:lineRule="auto"/>
        <w:rPr>
          <w:color w:val="000000"/>
          <w:szCs w:val="22"/>
          <w:lang w:val="sv-SE"/>
        </w:rPr>
      </w:pPr>
    </w:p>
    <w:p w14:paraId="49BCC8FF" w14:textId="77777777" w:rsidR="00CE607D" w:rsidRPr="000E7AE9" w:rsidRDefault="00CE607D" w:rsidP="00463647">
      <w:pPr>
        <w:widowControl w:val="0"/>
        <w:suppressAutoHyphens/>
        <w:spacing w:line="240" w:lineRule="auto"/>
        <w:rPr>
          <w:color w:val="000000"/>
          <w:szCs w:val="22"/>
          <w:lang w:val="sv-SE"/>
        </w:rPr>
      </w:pPr>
    </w:p>
    <w:p w14:paraId="6A77B421" w14:textId="77777777" w:rsidR="00CE607D" w:rsidRPr="000E7AE9" w:rsidRDefault="00CE607D" w:rsidP="00FB5960">
      <w:pPr>
        <w:keepNext/>
        <w:keepLines/>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lastRenderedPageBreak/>
        <w:t>10.</w:t>
      </w:r>
      <w:r w:rsidRPr="000E7AE9">
        <w:rPr>
          <w:b/>
          <w:color w:val="000000"/>
          <w:szCs w:val="22"/>
          <w:lang w:val="sv-SE"/>
        </w:rPr>
        <w:tab/>
        <w:t>SÄRSKILDA FÖRSIKTIGHETSÅTGÄRDER FÖR DESTRUKTION AV EJ ANVÄNT LÄKEMEDEL OCH AVFALL I FÖREKOMMANDE FALL</w:t>
      </w:r>
    </w:p>
    <w:p w14:paraId="0D46397F" w14:textId="77777777" w:rsidR="00CE607D" w:rsidRPr="000E7AE9" w:rsidRDefault="00CE607D" w:rsidP="00463647">
      <w:pPr>
        <w:widowControl w:val="0"/>
        <w:suppressAutoHyphens/>
        <w:spacing w:line="240" w:lineRule="auto"/>
        <w:ind w:left="567" w:hanging="567"/>
        <w:rPr>
          <w:color w:val="000000"/>
          <w:szCs w:val="22"/>
          <w:lang w:val="sv-SE"/>
        </w:rPr>
      </w:pPr>
    </w:p>
    <w:p w14:paraId="5A187901" w14:textId="77777777" w:rsidR="00CE607D" w:rsidRPr="000E7AE9" w:rsidRDefault="00CE607D" w:rsidP="00463647">
      <w:pPr>
        <w:widowControl w:val="0"/>
        <w:suppressAutoHyphens/>
        <w:spacing w:line="240" w:lineRule="auto"/>
        <w:ind w:left="567" w:hanging="567"/>
        <w:rPr>
          <w:color w:val="000000"/>
          <w:szCs w:val="22"/>
          <w:lang w:val="sv-SE"/>
        </w:rPr>
      </w:pPr>
    </w:p>
    <w:p w14:paraId="77E6FA38" w14:textId="77777777" w:rsidR="00CE607D" w:rsidRPr="000E7AE9" w:rsidRDefault="00CE607D" w:rsidP="00FB5960">
      <w:pPr>
        <w:keepNext/>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11.</w:t>
      </w:r>
      <w:r w:rsidRPr="000E7AE9">
        <w:rPr>
          <w:b/>
          <w:color w:val="000000"/>
          <w:szCs w:val="22"/>
          <w:lang w:val="sv-SE"/>
        </w:rPr>
        <w:tab/>
        <w:t>INNEHAVARE AV GODKÄNNANDE FÖR FÖRSÄLJNING (NAMN OCH ADRESS)</w:t>
      </w:r>
    </w:p>
    <w:p w14:paraId="731A34E5" w14:textId="77777777" w:rsidR="00CE607D" w:rsidRPr="000E7AE9" w:rsidRDefault="00CE607D" w:rsidP="00FB5960">
      <w:pPr>
        <w:keepNext/>
        <w:widowControl w:val="0"/>
        <w:suppressAutoHyphens/>
        <w:spacing w:line="240" w:lineRule="auto"/>
        <w:ind w:left="567" w:hanging="567"/>
        <w:rPr>
          <w:color w:val="000000"/>
          <w:szCs w:val="22"/>
          <w:lang w:val="sv-SE"/>
        </w:rPr>
      </w:pPr>
    </w:p>
    <w:p w14:paraId="4F6C2D73" w14:textId="77777777" w:rsidR="00CE607D" w:rsidRPr="007C7ADA" w:rsidRDefault="00CE607D" w:rsidP="00FB5960">
      <w:pPr>
        <w:pStyle w:val="EndnoteText"/>
        <w:keepNext/>
        <w:widowControl w:val="0"/>
        <w:tabs>
          <w:tab w:val="clear" w:pos="567"/>
        </w:tabs>
        <w:outlineLvl w:val="0"/>
        <w:rPr>
          <w:color w:val="000000"/>
          <w:szCs w:val="22"/>
          <w:lang w:val="en-US"/>
        </w:rPr>
      </w:pPr>
      <w:r w:rsidRPr="007C7ADA">
        <w:rPr>
          <w:color w:val="000000"/>
          <w:szCs w:val="22"/>
          <w:lang w:val="en-US"/>
        </w:rPr>
        <w:t>Novartis Europharm Limited</w:t>
      </w:r>
    </w:p>
    <w:p w14:paraId="04188327" w14:textId="77777777" w:rsidR="00A57EF9" w:rsidRPr="00EB33FE" w:rsidRDefault="00A57EF9" w:rsidP="00FB5960">
      <w:pPr>
        <w:keepNext/>
        <w:widowControl w:val="0"/>
        <w:spacing w:line="240" w:lineRule="auto"/>
        <w:rPr>
          <w:color w:val="000000"/>
        </w:rPr>
      </w:pPr>
      <w:r w:rsidRPr="00EB33FE">
        <w:rPr>
          <w:color w:val="000000"/>
        </w:rPr>
        <w:t>Vista Building</w:t>
      </w:r>
    </w:p>
    <w:p w14:paraId="3B6C11A3" w14:textId="77777777" w:rsidR="00A57EF9" w:rsidRPr="00EB33FE" w:rsidRDefault="00A57EF9" w:rsidP="00FB5960">
      <w:pPr>
        <w:keepNext/>
        <w:widowControl w:val="0"/>
        <w:spacing w:line="240" w:lineRule="auto"/>
        <w:rPr>
          <w:color w:val="000000"/>
        </w:rPr>
      </w:pPr>
      <w:r w:rsidRPr="00EB33FE">
        <w:rPr>
          <w:color w:val="000000"/>
        </w:rPr>
        <w:t>Elm Park, Merrion Road</w:t>
      </w:r>
    </w:p>
    <w:p w14:paraId="3BED62F9" w14:textId="77777777" w:rsidR="00A57EF9" w:rsidRPr="00B10EAC" w:rsidRDefault="00A57EF9" w:rsidP="00FB5960">
      <w:pPr>
        <w:keepNext/>
        <w:widowControl w:val="0"/>
        <w:spacing w:line="240" w:lineRule="auto"/>
        <w:rPr>
          <w:color w:val="000000"/>
          <w:lang w:val="sv-SE"/>
        </w:rPr>
      </w:pPr>
      <w:r w:rsidRPr="00B10EAC">
        <w:rPr>
          <w:color w:val="000000"/>
          <w:lang w:val="sv-SE"/>
        </w:rPr>
        <w:t>Dublin 4</w:t>
      </w:r>
    </w:p>
    <w:p w14:paraId="1CFAAC3F" w14:textId="77777777" w:rsidR="00A57EF9" w:rsidRPr="00B10EAC" w:rsidRDefault="00A57EF9" w:rsidP="00463647">
      <w:pPr>
        <w:widowControl w:val="0"/>
        <w:spacing w:line="240" w:lineRule="auto"/>
        <w:rPr>
          <w:color w:val="000000"/>
          <w:lang w:val="sv-SE"/>
        </w:rPr>
      </w:pPr>
      <w:r w:rsidRPr="00B10EAC">
        <w:rPr>
          <w:color w:val="000000"/>
          <w:lang w:val="sv-SE"/>
        </w:rPr>
        <w:t>Irland</w:t>
      </w:r>
    </w:p>
    <w:p w14:paraId="57AEB2CB" w14:textId="77777777" w:rsidR="00CE607D" w:rsidRPr="000E7AE9" w:rsidRDefault="00CE607D" w:rsidP="00463647">
      <w:pPr>
        <w:widowControl w:val="0"/>
        <w:suppressAutoHyphens/>
        <w:spacing w:line="240" w:lineRule="auto"/>
        <w:ind w:left="567" w:hanging="567"/>
        <w:rPr>
          <w:color w:val="000000"/>
          <w:szCs w:val="22"/>
          <w:lang w:val="sv-SE"/>
        </w:rPr>
      </w:pPr>
    </w:p>
    <w:p w14:paraId="640E01A4" w14:textId="77777777" w:rsidR="00CE607D" w:rsidRPr="000E7AE9" w:rsidRDefault="00CE607D" w:rsidP="00463647">
      <w:pPr>
        <w:widowControl w:val="0"/>
        <w:suppressAutoHyphens/>
        <w:spacing w:line="240" w:lineRule="auto"/>
        <w:ind w:left="567" w:hanging="567"/>
        <w:rPr>
          <w:color w:val="000000"/>
          <w:szCs w:val="22"/>
          <w:lang w:val="sv-SE"/>
        </w:rPr>
      </w:pPr>
    </w:p>
    <w:p w14:paraId="0861E000"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12.</w:t>
      </w:r>
      <w:r w:rsidRPr="000E7AE9">
        <w:rPr>
          <w:b/>
          <w:color w:val="000000"/>
          <w:szCs w:val="22"/>
          <w:lang w:val="sv-SE"/>
        </w:rPr>
        <w:tab/>
        <w:t>NUMMER PÅ GODKÄNNANDE FÖR FÖRSÄLJNING</w:t>
      </w:r>
    </w:p>
    <w:p w14:paraId="2DDB174C" w14:textId="77777777" w:rsidR="00CE607D" w:rsidRPr="000E7AE9" w:rsidRDefault="00CE607D" w:rsidP="00463647">
      <w:pPr>
        <w:widowControl w:val="0"/>
        <w:suppressAutoHyphens/>
        <w:spacing w:line="240" w:lineRule="auto"/>
        <w:ind w:left="567" w:hanging="567"/>
        <w:rPr>
          <w:color w:val="000000"/>
          <w:szCs w:val="22"/>
          <w:lang w:val="sv-SE"/>
        </w:rPr>
      </w:pPr>
    </w:p>
    <w:p w14:paraId="49199A65"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0E7AE9">
        <w:rPr>
          <w:color w:val="000000"/>
          <w:szCs w:val="22"/>
          <w:lang w:val="sv-SE"/>
        </w:rPr>
        <w:t>EU/1/01/198/009</w:t>
      </w:r>
      <w:r w:rsidRPr="000E7AE9">
        <w:rPr>
          <w:color w:val="000000"/>
          <w:szCs w:val="22"/>
          <w:lang w:val="sv-SE"/>
        </w:rPr>
        <w:tab/>
      </w:r>
      <w:r w:rsidRPr="009761A6">
        <w:rPr>
          <w:color w:val="000000"/>
          <w:szCs w:val="22"/>
          <w:shd w:val="clear" w:color="auto" w:fill="D9D9D9"/>
          <w:lang w:val="sv-SE"/>
        </w:rPr>
        <w:t>10 tabletter</w:t>
      </w:r>
    </w:p>
    <w:p w14:paraId="76450215"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EU/1/01/198/010</w:t>
      </w:r>
      <w:r w:rsidRPr="009761A6">
        <w:rPr>
          <w:color w:val="000000"/>
          <w:szCs w:val="22"/>
          <w:shd w:val="clear" w:color="auto" w:fill="D9D9D9"/>
          <w:lang w:val="sv-SE"/>
        </w:rPr>
        <w:tab/>
        <w:t>30 tabletter</w:t>
      </w:r>
    </w:p>
    <w:p w14:paraId="506DE753" w14:textId="77777777" w:rsidR="00CE607D" w:rsidRPr="009761A6" w:rsidRDefault="00CE607D" w:rsidP="00463647">
      <w:pPr>
        <w:widowControl w:val="0"/>
        <w:tabs>
          <w:tab w:val="clear" w:pos="567"/>
          <w:tab w:val="left" w:pos="2268"/>
        </w:tabs>
        <w:suppressAutoHyphens/>
        <w:spacing w:line="240" w:lineRule="auto"/>
        <w:rPr>
          <w:color w:val="000000"/>
          <w:szCs w:val="22"/>
          <w:shd w:val="clear" w:color="auto" w:fill="D9D9D9"/>
          <w:lang w:val="sv-SE"/>
        </w:rPr>
      </w:pPr>
      <w:r w:rsidRPr="009761A6">
        <w:rPr>
          <w:color w:val="000000"/>
          <w:szCs w:val="22"/>
          <w:shd w:val="clear" w:color="auto" w:fill="D9D9D9"/>
          <w:lang w:val="sv-SE"/>
        </w:rPr>
        <w:t>EU/1/01/198/013</w:t>
      </w:r>
      <w:r w:rsidRPr="009761A6">
        <w:rPr>
          <w:color w:val="000000"/>
          <w:szCs w:val="22"/>
          <w:shd w:val="clear" w:color="auto" w:fill="D9D9D9"/>
          <w:lang w:val="sv-SE"/>
        </w:rPr>
        <w:tab/>
        <w:t>90 tabletter</w:t>
      </w:r>
    </w:p>
    <w:p w14:paraId="23503332" w14:textId="77777777" w:rsidR="00CE607D" w:rsidRPr="000E7AE9" w:rsidRDefault="00CE607D" w:rsidP="00463647">
      <w:pPr>
        <w:widowControl w:val="0"/>
        <w:spacing w:line="240" w:lineRule="auto"/>
        <w:outlineLvl w:val="0"/>
        <w:rPr>
          <w:color w:val="000000"/>
          <w:szCs w:val="22"/>
          <w:lang w:val="sv-SE"/>
        </w:rPr>
      </w:pPr>
    </w:p>
    <w:p w14:paraId="56C8C90C" w14:textId="77777777" w:rsidR="00CE607D" w:rsidRPr="000E7AE9" w:rsidRDefault="00CE607D" w:rsidP="00463647">
      <w:pPr>
        <w:widowControl w:val="0"/>
        <w:suppressAutoHyphens/>
        <w:spacing w:line="240" w:lineRule="auto"/>
        <w:rPr>
          <w:color w:val="000000"/>
          <w:szCs w:val="22"/>
          <w:lang w:val="sv-SE"/>
        </w:rPr>
      </w:pPr>
    </w:p>
    <w:p w14:paraId="6FD5C0ED"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13.</w:t>
      </w:r>
      <w:r w:rsidRPr="000E7AE9">
        <w:rPr>
          <w:b/>
          <w:color w:val="000000"/>
          <w:szCs w:val="22"/>
          <w:lang w:val="sv-SE"/>
        </w:rPr>
        <w:tab/>
      </w:r>
      <w:r>
        <w:rPr>
          <w:b/>
          <w:color w:val="000000"/>
          <w:szCs w:val="22"/>
          <w:lang w:val="sv-SE"/>
        </w:rPr>
        <w:t>TILLVERKNINGSSATS</w:t>
      </w:r>
      <w:r w:rsidRPr="000E7AE9">
        <w:rPr>
          <w:b/>
          <w:color w:val="000000"/>
          <w:szCs w:val="22"/>
          <w:lang w:val="sv-SE"/>
        </w:rPr>
        <w:t>NUMMER</w:t>
      </w:r>
    </w:p>
    <w:p w14:paraId="76572FB1" w14:textId="77777777" w:rsidR="00CE607D" w:rsidRPr="000E7AE9" w:rsidRDefault="00CE607D" w:rsidP="00463647">
      <w:pPr>
        <w:widowControl w:val="0"/>
        <w:suppressAutoHyphens/>
        <w:spacing w:line="240" w:lineRule="auto"/>
        <w:rPr>
          <w:color w:val="000000"/>
          <w:szCs w:val="22"/>
          <w:lang w:val="sv-SE"/>
        </w:rPr>
      </w:pPr>
    </w:p>
    <w:p w14:paraId="09CD9336"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t>Lot</w:t>
      </w:r>
    </w:p>
    <w:p w14:paraId="2E95467A" w14:textId="77777777" w:rsidR="00CE607D" w:rsidRPr="000E7AE9" w:rsidRDefault="00CE607D" w:rsidP="00463647">
      <w:pPr>
        <w:widowControl w:val="0"/>
        <w:suppressAutoHyphens/>
        <w:spacing w:line="240" w:lineRule="auto"/>
        <w:rPr>
          <w:color w:val="000000"/>
          <w:szCs w:val="22"/>
          <w:lang w:val="sv-SE"/>
        </w:rPr>
      </w:pPr>
    </w:p>
    <w:p w14:paraId="2FBD7137" w14:textId="77777777" w:rsidR="00CE607D" w:rsidRPr="000E7AE9" w:rsidRDefault="00CE607D" w:rsidP="00463647">
      <w:pPr>
        <w:widowControl w:val="0"/>
        <w:suppressAutoHyphens/>
        <w:spacing w:line="240" w:lineRule="auto"/>
        <w:rPr>
          <w:color w:val="000000"/>
          <w:szCs w:val="22"/>
          <w:lang w:val="sv-SE"/>
        </w:rPr>
      </w:pPr>
    </w:p>
    <w:p w14:paraId="11AD1BFB"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14.</w:t>
      </w:r>
      <w:r w:rsidRPr="000E7AE9">
        <w:rPr>
          <w:b/>
          <w:color w:val="000000"/>
          <w:szCs w:val="22"/>
          <w:lang w:val="sv-SE"/>
        </w:rPr>
        <w:tab/>
        <w:t>ALLMÄN KLASSIFICERING FÖR FÖRSKRIVNING</w:t>
      </w:r>
    </w:p>
    <w:p w14:paraId="39172D39" w14:textId="77777777" w:rsidR="00CE607D" w:rsidRPr="000E7AE9" w:rsidRDefault="00CE607D" w:rsidP="00463647">
      <w:pPr>
        <w:widowControl w:val="0"/>
        <w:suppressAutoHyphens/>
        <w:spacing w:line="240" w:lineRule="auto"/>
        <w:rPr>
          <w:color w:val="000000"/>
          <w:szCs w:val="22"/>
          <w:lang w:val="sv-SE"/>
        </w:rPr>
      </w:pPr>
    </w:p>
    <w:p w14:paraId="492EB0A8" w14:textId="77777777" w:rsidR="00CE607D" w:rsidRPr="000E7AE9" w:rsidRDefault="00CE607D" w:rsidP="00463647">
      <w:pPr>
        <w:widowControl w:val="0"/>
        <w:suppressAutoHyphens/>
        <w:spacing w:line="240" w:lineRule="auto"/>
        <w:rPr>
          <w:color w:val="000000"/>
          <w:szCs w:val="22"/>
          <w:lang w:val="sv-SE"/>
        </w:rPr>
      </w:pPr>
    </w:p>
    <w:p w14:paraId="1F3C0BC7"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15.</w:t>
      </w:r>
      <w:r w:rsidRPr="000E7AE9">
        <w:rPr>
          <w:b/>
          <w:color w:val="000000"/>
          <w:szCs w:val="22"/>
          <w:lang w:val="sv-SE"/>
        </w:rPr>
        <w:tab/>
        <w:t>BRUKSANVISNING</w:t>
      </w:r>
    </w:p>
    <w:p w14:paraId="5D9C969A" w14:textId="77777777" w:rsidR="00CE607D" w:rsidRPr="000E7AE9" w:rsidRDefault="00CE607D" w:rsidP="00463647">
      <w:pPr>
        <w:widowControl w:val="0"/>
        <w:spacing w:line="240" w:lineRule="auto"/>
        <w:outlineLvl w:val="0"/>
        <w:rPr>
          <w:color w:val="000000"/>
          <w:szCs w:val="22"/>
          <w:lang w:val="sv-SE"/>
        </w:rPr>
      </w:pPr>
    </w:p>
    <w:p w14:paraId="5B4A6C75" w14:textId="77777777" w:rsidR="00CE607D" w:rsidRPr="000E7AE9" w:rsidRDefault="00CE607D" w:rsidP="00463647">
      <w:pPr>
        <w:widowControl w:val="0"/>
        <w:spacing w:line="240" w:lineRule="auto"/>
        <w:outlineLvl w:val="0"/>
        <w:rPr>
          <w:color w:val="000000"/>
          <w:szCs w:val="22"/>
          <w:lang w:val="sv-SE"/>
        </w:rPr>
      </w:pPr>
    </w:p>
    <w:p w14:paraId="512FAE87" w14:textId="77777777" w:rsidR="00CE607D" w:rsidRPr="007C7ADA" w:rsidRDefault="00CE607D" w:rsidP="00463647">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v-SE"/>
        </w:rPr>
      </w:pPr>
      <w:r w:rsidRPr="007C7ADA">
        <w:rPr>
          <w:b/>
          <w:color w:val="000000"/>
          <w:szCs w:val="22"/>
          <w:lang w:val="sv-SE"/>
        </w:rPr>
        <w:t>16.</w:t>
      </w:r>
      <w:r w:rsidRPr="007C7ADA">
        <w:rPr>
          <w:b/>
          <w:color w:val="000000"/>
          <w:szCs w:val="22"/>
          <w:lang w:val="sv-SE"/>
        </w:rPr>
        <w:tab/>
        <w:t>INFORMATION I PUNKTSKRIFT</w:t>
      </w:r>
    </w:p>
    <w:p w14:paraId="2D474BB5" w14:textId="77777777" w:rsidR="00CE607D" w:rsidRPr="007C7ADA" w:rsidRDefault="00CE607D" w:rsidP="00463647">
      <w:pPr>
        <w:widowControl w:val="0"/>
        <w:tabs>
          <w:tab w:val="clear" w:pos="567"/>
        </w:tabs>
        <w:spacing w:line="240" w:lineRule="auto"/>
        <w:rPr>
          <w:color w:val="000000"/>
          <w:szCs w:val="22"/>
          <w:u w:val="single"/>
          <w:lang w:val="sv-SE"/>
        </w:rPr>
      </w:pPr>
    </w:p>
    <w:p w14:paraId="2330305A" w14:textId="77777777" w:rsidR="00CE607D" w:rsidRPr="007C7ADA" w:rsidRDefault="00CE607D" w:rsidP="00463647">
      <w:pPr>
        <w:widowControl w:val="0"/>
        <w:tabs>
          <w:tab w:val="clear" w:pos="567"/>
        </w:tabs>
        <w:spacing w:line="240" w:lineRule="auto"/>
        <w:rPr>
          <w:color w:val="000000"/>
          <w:szCs w:val="22"/>
          <w:lang w:val="sv-SE"/>
        </w:rPr>
      </w:pPr>
      <w:r w:rsidRPr="007C7ADA">
        <w:rPr>
          <w:color w:val="000000"/>
          <w:szCs w:val="22"/>
          <w:lang w:val="sv-SE"/>
        </w:rPr>
        <w:t>Glivec 400 mg</w:t>
      </w:r>
    </w:p>
    <w:p w14:paraId="0ABBBF1F" w14:textId="77777777" w:rsidR="00CE607D" w:rsidRPr="000E7AE9" w:rsidRDefault="00CE607D" w:rsidP="00463647">
      <w:pPr>
        <w:widowControl w:val="0"/>
        <w:spacing w:line="240" w:lineRule="auto"/>
        <w:outlineLvl w:val="0"/>
        <w:rPr>
          <w:color w:val="000000"/>
          <w:szCs w:val="22"/>
          <w:lang w:val="sv-SE"/>
        </w:rPr>
      </w:pPr>
    </w:p>
    <w:p w14:paraId="5F9FB43E" w14:textId="77777777" w:rsidR="00CE607D" w:rsidRPr="000E7AE9" w:rsidRDefault="00CE607D" w:rsidP="00463647">
      <w:pPr>
        <w:widowControl w:val="0"/>
        <w:spacing w:line="240" w:lineRule="auto"/>
        <w:outlineLvl w:val="0"/>
        <w:rPr>
          <w:color w:val="000000"/>
          <w:szCs w:val="22"/>
          <w:lang w:val="sv-SE"/>
        </w:rPr>
      </w:pPr>
    </w:p>
    <w:p w14:paraId="0CD2A045" w14:textId="77777777" w:rsidR="00AD7816" w:rsidRPr="001412A8" w:rsidRDefault="00AD7816" w:rsidP="0046364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lang w:val="sv-SE"/>
        </w:rPr>
      </w:pPr>
      <w:r w:rsidRPr="001412A8">
        <w:rPr>
          <w:b/>
          <w:noProof/>
          <w:lang w:val="sv-SE"/>
        </w:rPr>
        <w:t>17.</w:t>
      </w:r>
      <w:r w:rsidRPr="001412A8">
        <w:rPr>
          <w:b/>
          <w:noProof/>
          <w:lang w:val="sv-SE"/>
        </w:rPr>
        <w:tab/>
        <w:t>UNIK IDENTITETSBETECKNING – TVÅDIMENSIONELL STRECKKOD</w:t>
      </w:r>
    </w:p>
    <w:p w14:paraId="075B2035" w14:textId="77777777" w:rsidR="00AD7816" w:rsidRPr="001412A8" w:rsidRDefault="00AD7816" w:rsidP="00463647">
      <w:pPr>
        <w:widowControl w:val="0"/>
        <w:tabs>
          <w:tab w:val="clear" w:pos="567"/>
        </w:tabs>
        <w:spacing w:line="240" w:lineRule="auto"/>
        <w:rPr>
          <w:noProof/>
          <w:lang w:val="sv-SE"/>
        </w:rPr>
      </w:pPr>
    </w:p>
    <w:p w14:paraId="4DEF3A04" w14:textId="77777777" w:rsidR="00AD7816" w:rsidRPr="001412A8" w:rsidRDefault="00AD7816" w:rsidP="00463647">
      <w:pPr>
        <w:widowControl w:val="0"/>
        <w:tabs>
          <w:tab w:val="clear" w:pos="567"/>
        </w:tabs>
        <w:spacing w:line="240" w:lineRule="auto"/>
        <w:rPr>
          <w:noProof/>
          <w:szCs w:val="22"/>
          <w:shd w:val="pct15" w:color="auto" w:fill="auto"/>
          <w:lang w:val="sv-SE"/>
        </w:rPr>
      </w:pPr>
      <w:r w:rsidRPr="001412A8">
        <w:rPr>
          <w:noProof/>
          <w:szCs w:val="22"/>
          <w:shd w:val="pct15" w:color="auto" w:fill="auto"/>
          <w:lang w:val="sv-SE"/>
        </w:rPr>
        <w:t>Tvådimensionell streckkod som innehåller den unika identitetsbeteckningen.</w:t>
      </w:r>
    </w:p>
    <w:p w14:paraId="6D917E19" w14:textId="77777777" w:rsidR="00AD7816" w:rsidRPr="001412A8" w:rsidRDefault="00AD7816" w:rsidP="00463647">
      <w:pPr>
        <w:widowControl w:val="0"/>
        <w:tabs>
          <w:tab w:val="clear" w:pos="567"/>
        </w:tabs>
        <w:spacing w:line="240" w:lineRule="auto"/>
        <w:rPr>
          <w:noProof/>
          <w:szCs w:val="22"/>
          <w:shd w:val="clear" w:color="auto" w:fill="CCCCCC"/>
          <w:lang w:val="sv-SE"/>
        </w:rPr>
      </w:pPr>
    </w:p>
    <w:p w14:paraId="019F6C56" w14:textId="77777777" w:rsidR="00AD7816" w:rsidRPr="001412A8" w:rsidRDefault="00AD7816" w:rsidP="00463647">
      <w:pPr>
        <w:widowControl w:val="0"/>
        <w:tabs>
          <w:tab w:val="clear" w:pos="567"/>
        </w:tabs>
        <w:spacing w:line="240" w:lineRule="auto"/>
        <w:rPr>
          <w:noProof/>
          <w:lang w:val="sv-SE"/>
        </w:rPr>
      </w:pPr>
    </w:p>
    <w:p w14:paraId="5C0BDE68" w14:textId="77777777" w:rsidR="00AD7816" w:rsidRPr="001412A8" w:rsidRDefault="00AD7816" w:rsidP="00FB5960">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lang w:val="sv-SE"/>
        </w:rPr>
      </w:pPr>
      <w:r w:rsidRPr="001412A8">
        <w:rPr>
          <w:b/>
          <w:noProof/>
          <w:lang w:val="sv-SE"/>
        </w:rPr>
        <w:t>18.</w:t>
      </w:r>
      <w:r w:rsidRPr="001412A8">
        <w:rPr>
          <w:b/>
          <w:noProof/>
          <w:lang w:val="sv-SE"/>
        </w:rPr>
        <w:tab/>
        <w:t>UNIK IDENTITETSBETECKNING – I ETT FORMAT LÄSBART FÖR MÄNSKLIGT ÖGA</w:t>
      </w:r>
    </w:p>
    <w:p w14:paraId="4E601A57" w14:textId="77777777" w:rsidR="00AD7816" w:rsidRPr="001412A8" w:rsidRDefault="00AD7816" w:rsidP="00FB5960">
      <w:pPr>
        <w:keepNext/>
        <w:widowControl w:val="0"/>
        <w:tabs>
          <w:tab w:val="clear" w:pos="567"/>
        </w:tabs>
        <w:spacing w:line="240" w:lineRule="auto"/>
        <w:rPr>
          <w:noProof/>
          <w:lang w:val="sv-SE"/>
        </w:rPr>
      </w:pPr>
    </w:p>
    <w:p w14:paraId="57DF69C0" w14:textId="77777777" w:rsidR="00AD7816" w:rsidRPr="003A5CA4" w:rsidRDefault="00AD7816" w:rsidP="00FB5960">
      <w:pPr>
        <w:keepNext/>
        <w:widowControl w:val="0"/>
        <w:tabs>
          <w:tab w:val="clear" w:pos="567"/>
        </w:tabs>
        <w:spacing w:line="240" w:lineRule="auto"/>
        <w:rPr>
          <w:szCs w:val="22"/>
          <w:lang w:val="de-CH"/>
        </w:rPr>
      </w:pPr>
      <w:r w:rsidRPr="003A5CA4">
        <w:rPr>
          <w:szCs w:val="22"/>
          <w:lang w:val="de-CH"/>
        </w:rPr>
        <w:t>PC:</w:t>
      </w:r>
    </w:p>
    <w:p w14:paraId="30E8C50A" w14:textId="77777777" w:rsidR="00AD7816" w:rsidRPr="003A5CA4" w:rsidRDefault="00AD7816" w:rsidP="00FB5960">
      <w:pPr>
        <w:keepNext/>
        <w:widowControl w:val="0"/>
        <w:tabs>
          <w:tab w:val="clear" w:pos="567"/>
        </w:tabs>
        <w:spacing w:line="240" w:lineRule="auto"/>
        <w:rPr>
          <w:szCs w:val="22"/>
          <w:lang w:val="de-CH"/>
        </w:rPr>
      </w:pPr>
      <w:r w:rsidRPr="003A5CA4">
        <w:rPr>
          <w:szCs w:val="22"/>
          <w:lang w:val="de-CH"/>
        </w:rPr>
        <w:t>SN:</w:t>
      </w:r>
    </w:p>
    <w:p w14:paraId="6CDBE5C0" w14:textId="77777777" w:rsidR="00AD7816" w:rsidRPr="00186A5E" w:rsidRDefault="00AD7816" w:rsidP="00463647">
      <w:pPr>
        <w:widowControl w:val="0"/>
        <w:tabs>
          <w:tab w:val="clear" w:pos="567"/>
        </w:tabs>
        <w:spacing w:line="240" w:lineRule="auto"/>
        <w:rPr>
          <w:color w:val="000000"/>
          <w:szCs w:val="22"/>
          <w:lang w:val="sv-SE"/>
        </w:rPr>
      </w:pPr>
      <w:r w:rsidRPr="003A5CA4">
        <w:rPr>
          <w:szCs w:val="22"/>
          <w:lang w:val="de-CH"/>
        </w:rPr>
        <w:t>NN:</w:t>
      </w:r>
    </w:p>
    <w:p w14:paraId="4B09DDC7"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br w:type="page"/>
      </w:r>
    </w:p>
    <w:p w14:paraId="548DEBD7" w14:textId="77777777" w:rsidR="00FB5960" w:rsidRPr="00FB5960" w:rsidRDefault="00FB5960" w:rsidP="00FB5960">
      <w:pPr>
        <w:widowControl w:val="0"/>
        <w:suppressAutoHyphens/>
        <w:spacing w:line="240" w:lineRule="auto"/>
        <w:rPr>
          <w:color w:val="000000"/>
          <w:szCs w:val="22"/>
          <w:lang w:val="sv-SE"/>
        </w:rPr>
      </w:pPr>
    </w:p>
    <w:p w14:paraId="639D7B0F"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outlineLvl w:val="0"/>
        <w:rPr>
          <w:b/>
          <w:color w:val="000000"/>
          <w:szCs w:val="22"/>
          <w:lang w:val="sv-SE"/>
        </w:rPr>
      </w:pPr>
      <w:r w:rsidRPr="000E7AE9">
        <w:rPr>
          <w:b/>
          <w:color w:val="000000"/>
          <w:szCs w:val="22"/>
          <w:lang w:val="sv-SE"/>
        </w:rPr>
        <w:t>UPPGIFTER SOM SKA FINNAS PÅ BLISTER ELLER STRIPS</w:t>
      </w:r>
    </w:p>
    <w:p w14:paraId="2B86D421"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lang w:val="sv-SE"/>
        </w:rPr>
      </w:pPr>
    </w:p>
    <w:p w14:paraId="6E84BC1E"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pacing w:line="240" w:lineRule="auto"/>
        <w:outlineLvl w:val="0"/>
        <w:rPr>
          <w:color w:val="000000"/>
          <w:szCs w:val="22"/>
          <w:lang w:val="sv-SE"/>
        </w:rPr>
      </w:pPr>
      <w:r w:rsidRPr="000E7AE9">
        <w:rPr>
          <w:b/>
          <w:color w:val="000000"/>
          <w:szCs w:val="22"/>
          <w:lang w:val="sv-SE"/>
        </w:rPr>
        <w:t>BLISTER</w:t>
      </w:r>
    </w:p>
    <w:p w14:paraId="7531CBB2" w14:textId="77777777" w:rsidR="00CE607D" w:rsidRPr="000E7AE9" w:rsidRDefault="00CE607D" w:rsidP="00463647">
      <w:pPr>
        <w:widowControl w:val="0"/>
        <w:suppressAutoHyphens/>
        <w:spacing w:line="240" w:lineRule="auto"/>
        <w:rPr>
          <w:color w:val="000000"/>
          <w:szCs w:val="22"/>
          <w:lang w:val="sv-SE"/>
        </w:rPr>
      </w:pPr>
    </w:p>
    <w:p w14:paraId="12607529" w14:textId="77777777" w:rsidR="00CE607D" w:rsidRPr="000E7AE9" w:rsidRDefault="00CE607D" w:rsidP="00463647">
      <w:pPr>
        <w:widowControl w:val="0"/>
        <w:suppressAutoHyphens/>
        <w:spacing w:line="240" w:lineRule="auto"/>
        <w:rPr>
          <w:color w:val="000000"/>
          <w:szCs w:val="22"/>
          <w:lang w:val="sv-SE"/>
        </w:rPr>
      </w:pPr>
    </w:p>
    <w:p w14:paraId="197B655D"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sv-SE"/>
        </w:rPr>
      </w:pPr>
      <w:r w:rsidRPr="000E7AE9">
        <w:rPr>
          <w:b/>
          <w:color w:val="000000"/>
          <w:szCs w:val="22"/>
          <w:lang w:val="sv-SE"/>
        </w:rPr>
        <w:t>1.</w:t>
      </w:r>
      <w:r w:rsidRPr="000E7AE9">
        <w:rPr>
          <w:b/>
          <w:color w:val="000000"/>
          <w:szCs w:val="22"/>
          <w:lang w:val="sv-SE"/>
        </w:rPr>
        <w:tab/>
        <w:t>LÄKEMEDLETS NAMN</w:t>
      </w:r>
    </w:p>
    <w:p w14:paraId="2DEC4E7E" w14:textId="77777777" w:rsidR="00CE607D" w:rsidRPr="000E7AE9" w:rsidRDefault="00CE607D" w:rsidP="00463647">
      <w:pPr>
        <w:widowControl w:val="0"/>
        <w:suppressAutoHyphens/>
        <w:spacing w:line="240" w:lineRule="auto"/>
        <w:rPr>
          <w:color w:val="000000"/>
          <w:szCs w:val="22"/>
          <w:lang w:val="sv-SE"/>
        </w:rPr>
      </w:pPr>
    </w:p>
    <w:p w14:paraId="5D8C09F8" w14:textId="77777777" w:rsidR="00CE607D" w:rsidRPr="000E7AE9" w:rsidRDefault="00CE607D" w:rsidP="00463647">
      <w:pPr>
        <w:widowControl w:val="0"/>
        <w:spacing w:line="240" w:lineRule="auto"/>
        <w:ind w:left="567" w:hanging="567"/>
        <w:outlineLvl w:val="0"/>
        <w:rPr>
          <w:color w:val="000000"/>
          <w:szCs w:val="22"/>
          <w:lang w:val="sv-SE"/>
        </w:rPr>
      </w:pPr>
      <w:r w:rsidRPr="000E7AE9">
        <w:rPr>
          <w:color w:val="000000"/>
          <w:szCs w:val="22"/>
          <w:lang w:val="sv-SE"/>
        </w:rPr>
        <w:t>Glivec 400 mg tabletter</w:t>
      </w:r>
    </w:p>
    <w:p w14:paraId="606752E6" w14:textId="77777777" w:rsidR="00CE607D" w:rsidRPr="000E7AE9" w:rsidRDefault="001412A8" w:rsidP="00463647">
      <w:pPr>
        <w:widowControl w:val="0"/>
        <w:spacing w:line="240" w:lineRule="auto"/>
        <w:outlineLvl w:val="0"/>
        <w:rPr>
          <w:color w:val="000000"/>
          <w:szCs w:val="22"/>
          <w:lang w:val="sv-SE"/>
        </w:rPr>
      </w:pPr>
      <w:r>
        <w:rPr>
          <w:color w:val="000000"/>
          <w:szCs w:val="22"/>
          <w:lang w:val="sv-SE"/>
        </w:rPr>
        <w:t>i</w:t>
      </w:r>
      <w:r w:rsidR="00CE607D" w:rsidRPr="000E7AE9">
        <w:rPr>
          <w:color w:val="000000"/>
          <w:szCs w:val="22"/>
          <w:lang w:val="sv-SE"/>
        </w:rPr>
        <w:t>matinib</w:t>
      </w:r>
    </w:p>
    <w:p w14:paraId="76E4194B" w14:textId="77777777" w:rsidR="00CE607D" w:rsidRPr="000E7AE9" w:rsidRDefault="00CE607D" w:rsidP="00463647">
      <w:pPr>
        <w:widowControl w:val="0"/>
        <w:suppressAutoHyphens/>
        <w:spacing w:line="240" w:lineRule="auto"/>
        <w:rPr>
          <w:color w:val="000000"/>
          <w:szCs w:val="22"/>
          <w:lang w:val="sv-SE"/>
        </w:rPr>
      </w:pPr>
    </w:p>
    <w:p w14:paraId="27AB46FC" w14:textId="77777777" w:rsidR="00CE607D" w:rsidRPr="000E7AE9" w:rsidRDefault="00CE607D" w:rsidP="00463647">
      <w:pPr>
        <w:widowControl w:val="0"/>
        <w:suppressAutoHyphens/>
        <w:spacing w:line="240" w:lineRule="auto"/>
        <w:rPr>
          <w:color w:val="000000"/>
          <w:szCs w:val="22"/>
          <w:lang w:val="sv-SE"/>
        </w:rPr>
      </w:pPr>
    </w:p>
    <w:p w14:paraId="70CF0B62"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2.</w:t>
      </w:r>
      <w:r w:rsidRPr="000E7AE9">
        <w:rPr>
          <w:b/>
          <w:color w:val="000000"/>
          <w:szCs w:val="22"/>
          <w:lang w:val="sv-SE"/>
        </w:rPr>
        <w:tab/>
        <w:t>INNEHAVARE AV GODKÄNNANDE FÖR FÖRSÄLJNING</w:t>
      </w:r>
    </w:p>
    <w:p w14:paraId="51F4A6A3" w14:textId="77777777" w:rsidR="00CE607D" w:rsidRPr="000E7AE9" w:rsidRDefault="00CE607D" w:rsidP="00463647">
      <w:pPr>
        <w:widowControl w:val="0"/>
        <w:suppressAutoHyphens/>
        <w:spacing w:line="240" w:lineRule="auto"/>
        <w:rPr>
          <w:color w:val="000000"/>
          <w:szCs w:val="22"/>
          <w:lang w:val="sv-SE"/>
        </w:rPr>
      </w:pPr>
    </w:p>
    <w:p w14:paraId="31A994C1" w14:textId="77777777" w:rsidR="00CE607D" w:rsidRPr="000E7AE9" w:rsidRDefault="00CE607D" w:rsidP="00463647">
      <w:pPr>
        <w:widowControl w:val="0"/>
        <w:spacing w:line="240" w:lineRule="auto"/>
        <w:outlineLvl w:val="0"/>
        <w:rPr>
          <w:color w:val="000000"/>
          <w:szCs w:val="22"/>
          <w:lang w:val="sv-SE"/>
        </w:rPr>
      </w:pPr>
      <w:r w:rsidRPr="000E7AE9">
        <w:rPr>
          <w:color w:val="000000"/>
          <w:szCs w:val="22"/>
          <w:lang w:val="sv-SE"/>
        </w:rPr>
        <w:t>Novartis Europharm Limited</w:t>
      </w:r>
    </w:p>
    <w:p w14:paraId="51BC8C46" w14:textId="77777777" w:rsidR="00CE607D" w:rsidRPr="000E7AE9" w:rsidRDefault="00CE607D" w:rsidP="00463647">
      <w:pPr>
        <w:widowControl w:val="0"/>
        <w:suppressAutoHyphens/>
        <w:spacing w:line="240" w:lineRule="auto"/>
        <w:rPr>
          <w:color w:val="000000"/>
          <w:szCs w:val="22"/>
          <w:lang w:val="sv-SE"/>
        </w:rPr>
      </w:pPr>
    </w:p>
    <w:p w14:paraId="495E434E" w14:textId="77777777" w:rsidR="00CE607D" w:rsidRPr="000E7AE9" w:rsidRDefault="00CE607D" w:rsidP="00463647">
      <w:pPr>
        <w:widowControl w:val="0"/>
        <w:suppressAutoHyphens/>
        <w:spacing w:line="240" w:lineRule="auto"/>
        <w:rPr>
          <w:color w:val="000000"/>
          <w:szCs w:val="22"/>
          <w:lang w:val="sv-SE"/>
        </w:rPr>
      </w:pPr>
    </w:p>
    <w:p w14:paraId="4048D410"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3.</w:t>
      </w:r>
      <w:r w:rsidRPr="000E7AE9">
        <w:rPr>
          <w:b/>
          <w:color w:val="000000"/>
          <w:szCs w:val="22"/>
          <w:lang w:val="sv-SE"/>
        </w:rPr>
        <w:tab/>
        <w:t>UTGÅNGSDATUM</w:t>
      </w:r>
    </w:p>
    <w:p w14:paraId="44FC43A7" w14:textId="77777777" w:rsidR="00CE607D" w:rsidRPr="000E7AE9" w:rsidRDefault="00CE607D" w:rsidP="00463647">
      <w:pPr>
        <w:widowControl w:val="0"/>
        <w:suppressAutoHyphens/>
        <w:spacing w:line="240" w:lineRule="auto"/>
        <w:ind w:left="567" w:hanging="567"/>
        <w:rPr>
          <w:color w:val="000000"/>
          <w:szCs w:val="22"/>
          <w:lang w:val="sv-SE"/>
        </w:rPr>
      </w:pPr>
    </w:p>
    <w:p w14:paraId="1CBC2F58" w14:textId="77777777" w:rsidR="00CE607D" w:rsidRPr="000E7AE9" w:rsidRDefault="00CE607D" w:rsidP="00463647">
      <w:pPr>
        <w:pStyle w:val="EndnoteText"/>
        <w:widowControl w:val="0"/>
        <w:tabs>
          <w:tab w:val="clear" w:pos="567"/>
        </w:tabs>
        <w:outlineLvl w:val="0"/>
        <w:rPr>
          <w:color w:val="000000"/>
          <w:szCs w:val="22"/>
          <w:lang w:val="sv-SE"/>
        </w:rPr>
      </w:pPr>
      <w:r w:rsidRPr="000E7AE9">
        <w:rPr>
          <w:color w:val="000000"/>
          <w:szCs w:val="22"/>
          <w:lang w:val="sv-SE"/>
        </w:rPr>
        <w:t>EXP</w:t>
      </w:r>
    </w:p>
    <w:p w14:paraId="7A70F5FE" w14:textId="77777777" w:rsidR="00CE607D" w:rsidRPr="000E7AE9" w:rsidRDefault="00CE607D" w:rsidP="00463647">
      <w:pPr>
        <w:widowControl w:val="0"/>
        <w:suppressAutoHyphens/>
        <w:spacing w:line="240" w:lineRule="auto"/>
        <w:rPr>
          <w:color w:val="000000"/>
          <w:szCs w:val="22"/>
          <w:lang w:val="sv-SE"/>
        </w:rPr>
      </w:pPr>
    </w:p>
    <w:p w14:paraId="5A9A05DC" w14:textId="77777777" w:rsidR="00CE607D" w:rsidRPr="000E7AE9" w:rsidRDefault="00CE607D" w:rsidP="00463647">
      <w:pPr>
        <w:widowControl w:val="0"/>
        <w:suppressAutoHyphens/>
        <w:spacing w:line="240" w:lineRule="auto"/>
        <w:rPr>
          <w:color w:val="000000"/>
          <w:szCs w:val="22"/>
          <w:lang w:val="sv-SE"/>
        </w:rPr>
      </w:pPr>
    </w:p>
    <w:p w14:paraId="61DFBB09" w14:textId="77777777" w:rsidR="00CE607D" w:rsidRPr="000E7AE9" w:rsidRDefault="00CE607D" w:rsidP="00463647">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sv-SE"/>
        </w:rPr>
      </w:pPr>
      <w:r w:rsidRPr="000E7AE9">
        <w:rPr>
          <w:b/>
          <w:color w:val="000000"/>
          <w:szCs w:val="22"/>
          <w:lang w:val="sv-SE"/>
        </w:rPr>
        <w:t>4.</w:t>
      </w:r>
      <w:r w:rsidRPr="000E7AE9">
        <w:rPr>
          <w:b/>
          <w:color w:val="000000"/>
          <w:szCs w:val="22"/>
          <w:lang w:val="sv-SE"/>
        </w:rPr>
        <w:tab/>
      </w:r>
      <w:r>
        <w:rPr>
          <w:b/>
          <w:color w:val="000000"/>
          <w:szCs w:val="22"/>
          <w:lang w:val="sv-SE"/>
        </w:rPr>
        <w:t>TILLVERKNINGSSATS</w:t>
      </w:r>
      <w:r w:rsidRPr="000E7AE9">
        <w:rPr>
          <w:b/>
          <w:color w:val="000000"/>
          <w:szCs w:val="22"/>
          <w:lang w:val="sv-SE"/>
        </w:rPr>
        <w:t>NUMMER</w:t>
      </w:r>
    </w:p>
    <w:p w14:paraId="5F173A9C" w14:textId="77777777" w:rsidR="00CE607D" w:rsidRPr="000E7AE9" w:rsidRDefault="00CE607D" w:rsidP="00463647">
      <w:pPr>
        <w:widowControl w:val="0"/>
        <w:suppressAutoHyphens/>
        <w:spacing w:line="240" w:lineRule="auto"/>
        <w:rPr>
          <w:color w:val="000000"/>
          <w:szCs w:val="22"/>
          <w:lang w:val="sv-SE"/>
        </w:rPr>
      </w:pPr>
    </w:p>
    <w:p w14:paraId="1930538F" w14:textId="77777777" w:rsidR="00CE607D" w:rsidRPr="000E7AE9" w:rsidRDefault="00CE607D" w:rsidP="00463647">
      <w:pPr>
        <w:pStyle w:val="EndnoteText"/>
        <w:widowControl w:val="0"/>
        <w:tabs>
          <w:tab w:val="clear" w:pos="567"/>
        </w:tabs>
        <w:outlineLvl w:val="0"/>
        <w:rPr>
          <w:color w:val="000000"/>
          <w:szCs w:val="22"/>
          <w:lang w:val="sv-SE"/>
        </w:rPr>
      </w:pPr>
      <w:r w:rsidRPr="000E7AE9">
        <w:rPr>
          <w:color w:val="000000"/>
          <w:szCs w:val="22"/>
          <w:lang w:val="sv-SE"/>
        </w:rPr>
        <w:t>Lot</w:t>
      </w:r>
    </w:p>
    <w:p w14:paraId="6E02431A" w14:textId="77777777" w:rsidR="00CE607D" w:rsidRDefault="00CE607D" w:rsidP="00463647">
      <w:pPr>
        <w:widowControl w:val="0"/>
        <w:tabs>
          <w:tab w:val="clear" w:pos="567"/>
        </w:tabs>
        <w:spacing w:line="240" w:lineRule="auto"/>
        <w:rPr>
          <w:color w:val="000000"/>
          <w:szCs w:val="22"/>
          <w:lang w:val="sv-SE"/>
        </w:rPr>
      </w:pPr>
    </w:p>
    <w:p w14:paraId="67D53873" w14:textId="77777777" w:rsidR="00CE607D" w:rsidRPr="00471521" w:rsidRDefault="00CE607D" w:rsidP="00463647">
      <w:pPr>
        <w:widowControl w:val="0"/>
        <w:tabs>
          <w:tab w:val="clear" w:pos="567"/>
        </w:tabs>
        <w:spacing w:line="240" w:lineRule="auto"/>
        <w:rPr>
          <w:color w:val="000000"/>
          <w:szCs w:val="22"/>
          <w:lang w:val="sv-SE"/>
        </w:rPr>
      </w:pPr>
    </w:p>
    <w:p w14:paraId="79E3854A" w14:textId="77777777" w:rsidR="00CE607D" w:rsidRPr="00471521" w:rsidRDefault="00CE607D" w:rsidP="00463647">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lang w:val="sv-SE"/>
        </w:rPr>
      </w:pPr>
      <w:r w:rsidRPr="00471521">
        <w:rPr>
          <w:b/>
          <w:noProof/>
          <w:lang w:val="sv-SE"/>
        </w:rPr>
        <w:t>5.</w:t>
      </w:r>
      <w:r w:rsidRPr="00471521">
        <w:rPr>
          <w:b/>
          <w:noProof/>
          <w:lang w:val="sv-SE"/>
        </w:rPr>
        <w:tab/>
        <w:t>ÖVRIGT</w:t>
      </w:r>
    </w:p>
    <w:p w14:paraId="287D6F35" w14:textId="77777777" w:rsidR="00CE607D" w:rsidRDefault="00CE607D" w:rsidP="00463647">
      <w:pPr>
        <w:pStyle w:val="EndnoteText"/>
        <w:widowControl w:val="0"/>
        <w:tabs>
          <w:tab w:val="clear" w:pos="567"/>
        </w:tabs>
        <w:rPr>
          <w:color w:val="000000"/>
          <w:szCs w:val="22"/>
          <w:lang w:val="sv-SE"/>
        </w:rPr>
      </w:pPr>
    </w:p>
    <w:p w14:paraId="6F1FF986" w14:textId="77777777" w:rsidR="00CE607D" w:rsidRPr="000E7AE9" w:rsidRDefault="00CE607D" w:rsidP="00463647">
      <w:pPr>
        <w:pStyle w:val="EndnoteText"/>
        <w:widowControl w:val="0"/>
        <w:tabs>
          <w:tab w:val="clear" w:pos="567"/>
        </w:tabs>
        <w:rPr>
          <w:color w:val="000000"/>
          <w:szCs w:val="22"/>
          <w:lang w:val="sv-SE"/>
        </w:rPr>
      </w:pPr>
      <w:r w:rsidRPr="000E7AE9">
        <w:rPr>
          <w:color w:val="000000"/>
          <w:szCs w:val="22"/>
          <w:lang w:val="sv-SE"/>
        </w:rPr>
        <w:br w:type="page"/>
      </w:r>
    </w:p>
    <w:p w14:paraId="38B48F81" w14:textId="77777777" w:rsidR="00CE607D" w:rsidRPr="000E7AE9" w:rsidRDefault="00CE607D" w:rsidP="00463647">
      <w:pPr>
        <w:widowControl w:val="0"/>
        <w:tabs>
          <w:tab w:val="clear" w:pos="567"/>
        </w:tabs>
        <w:spacing w:line="240" w:lineRule="auto"/>
        <w:rPr>
          <w:color w:val="000000"/>
          <w:szCs w:val="22"/>
          <w:lang w:val="sv-SE"/>
        </w:rPr>
      </w:pPr>
    </w:p>
    <w:p w14:paraId="01F20B3A" w14:textId="77777777" w:rsidR="00CE607D" w:rsidRPr="000E7AE9" w:rsidRDefault="00CE607D" w:rsidP="00463647">
      <w:pPr>
        <w:widowControl w:val="0"/>
        <w:tabs>
          <w:tab w:val="clear" w:pos="567"/>
        </w:tabs>
        <w:spacing w:line="240" w:lineRule="auto"/>
        <w:rPr>
          <w:color w:val="000000"/>
          <w:szCs w:val="22"/>
          <w:lang w:val="sv-SE"/>
        </w:rPr>
      </w:pPr>
    </w:p>
    <w:p w14:paraId="3DA56EDC" w14:textId="77777777" w:rsidR="00CE607D" w:rsidRPr="000E7AE9" w:rsidRDefault="00CE607D" w:rsidP="00463647">
      <w:pPr>
        <w:widowControl w:val="0"/>
        <w:tabs>
          <w:tab w:val="clear" w:pos="567"/>
        </w:tabs>
        <w:spacing w:line="240" w:lineRule="auto"/>
        <w:rPr>
          <w:color w:val="000000"/>
          <w:szCs w:val="22"/>
          <w:lang w:val="sv-SE"/>
        </w:rPr>
      </w:pPr>
    </w:p>
    <w:p w14:paraId="0E9AD002" w14:textId="77777777" w:rsidR="00CE607D" w:rsidRPr="000E7AE9" w:rsidRDefault="00CE607D" w:rsidP="00463647">
      <w:pPr>
        <w:widowControl w:val="0"/>
        <w:tabs>
          <w:tab w:val="clear" w:pos="567"/>
        </w:tabs>
        <w:spacing w:line="240" w:lineRule="auto"/>
        <w:rPr>
          <w:color w:val="000000"/>
          <w:szCs w:val="22"/>
          <w:lang w:val="sv-SE"/>
        </w:rPr>
      </w:pPr>
    </w:p>
    <w:p w14:paraId="642A9E49" w14:textId="77777777" w:rsidR="00CE607D" w:rsidRPr="000E7AE9" w:rsidRDefault="00CE607D" w:rsidP="00463647">
      <w:pPr>
        <w:widowControl w:val="0"/>
        <w:tabs>
          <w:tab w:val="clear" w:pos="567"/>
        </w:tabs>
        <w:spacing w:line="240" w:lineRule="auto"/>
        <w:rPr>
          <w:color w:val="000000"/>
          <w:szCs w:val="22"/>
          <w:lang w:val="sv-SE"/>
        </w:rPr>
      </w:pPr>
    </w:p>
    <w:p w14:paraId="52075440" w14:textId="77777777" w:rsidR="00CE607D" w:rsidRPr="000E7AE9" w:rsidRDefault="00CE607D" w:rsidP="00463647">
      <w:pPr>
        <w:widowControl w:val="0"/>
        <w:tabs>
          <w:tab w:val="clear" w:pos="567"/>
        </w:tabs>
        <w:spacing w:line="240" w:lineRule="auto"/>
        <w:rPr>
          <w:color w:val="000000"/>
          <w:szCs w:val="22"/>
          <w:lang w:val="sv-SE"/>
        </w:rPr>
      </w:pPr>
    </w:p>
    <w:p w14:paraId="7E37ED25" w14:textId="77777777" w:rsidR="00CE607D" w:rsidRPr="000E7AE9" w:rsidRDefault="00CE607D" w:rsidP="00463647">
      <w:pPr>
        <w:widowControl w:val="0"/>
        <w:tabs>
          <w:tab w:val="clear" w:pos="567"/>
        </w:tabs>
        <w:spacing w:line="240" w:lineRule="auto"/>
        <w:rPr>
          <w:color w:val="000000"/>
          <w:szCs w:val="22"/>
          <w:lang w:val="sv-SE"/>
        </w:rPr>
      </w:pPr>
    </w:p>
    <w:p w14:paraId="429192BC" w14:textId="77777777" w:rsidR="00CE607D" w:rsidRPr="000E7AE9" w:rsidRDefault="00CE607D" w:rsidP="00463647">
      <w:pPr>
        <w:widowControl w:val="0"/>
        <w:tabs>
          <w:tab w:val="clear" w:pos="567"/>
        </w:tabs>
        <w:spacing w:line="240" w:lineRule="auto"/>
        <w:rPr>
          <w:color w:val="000000"/>
          <w:szCs w:val="22"/>
          <w:lang w:val="sv-SE"/>
        </w:rPr>
      </w:pPr>
    </w:p>
    <w:p w14:paraId="65B71E85" w14:textId="77777777" w:rsidR="00CE607D" w:rsidRPr="000E7AE9" w:rsidRDefault="00CE607D" w:rsidP="00463647">
      <w:pPr>
        <w:widowControl w:val="0"/>
        <w:tabs>
          <w:tab w:val="clear" w:pos="567"/>
        </w:tabs>
        <w:spacing w:line="240" w:lineRule="auto"/>
        <w:rPr>
          <w:color w:val="000000"/>
          <w:szCs w:val="22"/>
          <w:lang w:val="sv-SE"/>
        </w:rPr>
      </w:pPr>
    </w:p>
    <w:p w14:paraId="3D1AC78E" w14:textId="77777777" w:rsidR="00CE607D" w:rsidRPr="000E7AE9" w:rsidRDefault="00CE607D" w:rsidP="00463647">
      <w:pPr>
        <w:widowControl w:val="0"/>
        <w:tabs>
          <w:tab w:val="clear" w:pos="567"/>
        </w:tabs>
        <w:spacing w:line="240" w:lineRule="auto"/>
        <w:rPr>
          <w:color w:val="000000"/>
          <w:szCs w:val="22"/>
          <w:lang w:val="sv-SE"/>
        </w:rPr>
      </w:pPr>
    </w:p>
    <w:p w14:paraId="47667A5D" w14:textId="77777777" w:rsidR="00CE607D" w:rsidRPr="000E7AE9" w:rsidRDefault="00CE607D" w:rsidP="00463647">
      <w:pPr>
        <w:widowControl w:val="0"/>
        <w:tabs>
          <w:tab w:val="clear" w:pos="567"/>
        </w:tabs>
        <w:spacing w:line="240" w:lineRule="auto"/>
        <w:rPr>
          <w:color w:val="000000"/>
          <w:szCs w:val="22"/>
          <w:lang w:val="sv-SE"/>
        </w:rPr>
      </w:pPr>
    </w:p>
    <w:p w14:paraId="41710B37" w14:textId="77777777" w:rsidR="00CE607D" w:rsidRPr="000E7AE9" w:rsidRDefault="00CE607D" w:rsidP="00463647">
      <w:pPr>
        <w:widowControl w:val="0"/>
        <w:tabs>
          <w:tab w:val="clear" w:pos="567"/>
        </w:tabs>
        <w:spacing w:line="240" w:lineRule="auto"/>
        <w:rPr>
          <w:color w:val="000000"/>
          <w:szCs w:val="22"/>
          <w:lang w:val="sv-SE"/>
        </w:rPr>
      </w:pPr>
    </w:p>
    <w:p w14:paraId="28C8171F" w14:textId="77777777" w:rsidR="00CE607D" w:rsidRPr="000E7AE9" w:rsidRDefault="00CE607D" w:rsidP="00463647">
      <w:pPr>
        <w:widowControl w:val="0"/>
        <w:tabs>
          <w:tab w:val="clear" w:pos="567"/>
        </w:tabs>
        <w:spacing w:line="240" w:lineRule="auto"/>
        <w:rPr>
          <w:color w:val="000000"/>
          <w:szCs w:val="22"/>
          <w:lang w:val="sv-SE"/>
        </w:rPr>
      </w:pPr>
    </w:p>
    <w:p w14:paraId="1F2BC772" w14:textId="77777777" w:rsidR="00CE607D" w:rsidRPr="000E7AE9" w:rsidRDefault="00CE607D" w:rsidP="00463647">
      <w:pPr>
        <w:widowControl w:val="0"/>
        <w:tabs>
          <w:tab w:val="clear" w:pos="567"/>
        </w:tabs>
        <w:spacing w:line="240" w:lineRule="auto"/>
        <w:rPr>
          <w:color w:val="000000"/>
          <w:szCs w:val="22"/>
          <w:lang w:val="sv-SE"/>
        </w:rPr>
      </w:pPr>
    </w:p>
    <w:p w14:paraId="6D8F2951" w14:textId="77777777" w:rsidR="00CE607D" w:rsidRPr="000E7AE9" w:rsidRDefault="00CE607D" w:rsidP="00463647">
      <w:pPr>
        <w:widowControl w:val="0"/>
        <w:tabs>
          <w:tab w:val="clear" w:pos="567"/>
        </w:tabs>
        <w:spacing w:line="240" w:lineRule="auto"/>
        <w:rPr>
          <w:color w:val="000000"/>
          <w:szCs w:val="22"/>
          <w:lang w:val="sv-SE"/>
        </w:rPr>
      </w:pPr>
    </w:p>
    <w:p w14:paraId="2830FE84" w14:textId="77777777" w:rsidR="00CE607D" w:rsidRPr="000E7AE9" w:rsidRDefault="00CE607D" w:rsidP="00463647">
      <w:pPr>
        <w:widowControl w:val="0"/>
        <w:tabs>
          <w:tab w:val="clear" w:pos="567"/>
        </w:tabs>
        <w:spacing w:line="240" w:lineRule="auto"/>
        <w:rPr>
          <w:color w:val="000000"/>
          <w:szCs w:val="22"/>
          <w:lang w:val="sv-SE"/>
        </w:rPr>
      </w:pPr>
    </w:p>
    <w:p w14:paraId="7AA0CB9E" w14:textId="77777777" w:rsidR="00CE607D" w:rsidRPr="000E7AE9" w:rsidRDefault="00CE607D" w:rsidP="00463647">
      <w:pPr>
        <w:widowControl w:val="0"/>
        <w:tabs>
          <w:tab w:val="clear" w:pos="567"/>
        </w:tabs>
        <w:spacing w:line="240" w:lineRule="auto"/>
        <w:rPr>
          <w:color w:val="000000"/>
          <w:szCs w:val="22"/>
          <w:lang w:val="sv-SE"/>
        </w:rPr>
      </w:pPr>
    </w:p>
    <w:p w14:paraId="05B0590C" w14:textId="77777777" w:rsidR="00CE607D" w:rsidRPr="000E7AE9" w:rsidRDefault="00CE607D" w:rsidP="00463647">
      <w:pPr>
        <w:widowControl w:val="0"/>
        <w:tabs>
          <w:tab w:val="clear" w:pos="567"/>
        </w:tabs>
        <w:spacing w:line="240" w:lineRule="auto"/>
        <w:rPr>
          <w:color w:val="000000"/>
          <w:szCs w:val="22"/>
          <w:lang w:val="sv-SE"/>
        </w:rPr>
      </w:pPr>
    </w:p>
    <w:p w14:paraId="5954E385" w14:textId="77777777" w:rsidR="00CE607D" w:rsidRPr="000E7AE9" w:rsidRDefault="00CE607D" w:rsidP="00463647">
      <w:pPr>
        <w:widowControl w:val="0"/>
        <w:tabs>
          <w:tab w:val="clear" w:pos="567"/>
        </w:tabs>
        <w:spacing w:line="240" w:lineRule="auto"/>
        <w:rPr>
          <w:color w:val="000000"/>
          <w:szCs w:val="22"/>
          <w:lang w:val="sv-SE"/>
        </w:rPr>
      </w:pPr>
    </w:p>
    <w:p w14:paraId="28A94E11" w14:textId="77777777" w:rsidR="00CE607D" w:rsidRPr="000E7AE9" w:rsidRDefault="00CE607D" w:rsidP="00463647">
      <w:pPr>
        <w:widowControl w:val="0"/>
        <w:tabs>
          <w:tab w:val="clear" w:pos="567"/>
        </w:tabs>
        <w:spacing w:line="240" w:lineRule="auto"/>
        <w:rPr>
          <w:color w:val="000000"/>
          <w:szCs w:val="22"/>
          <w:lang w:val="sv-SE"/>
        </w:rPr>
      </w:pPr>
    </w:p>
    <w:p w14:paraId="0224B979" w14:textId="77777777" w:rsidR="00CE607D" w:rsidRDefault="00CE607D" w:rsidP="00463647">
      <w:pPr>
        <w:widowControl w:val="0"/>
        <w:tabs>
          <w:tab w:val="clear" w:pos="567"/>
        </w:tabs>
        <w:spacing w:line="240" w:lineRule="auto"/>
        <w:rPr>
          <w:color w:val="000000"/>
          <w:szCs w:val="22"/>
          <w:lang w:val="sv-SE"/>
        </w:rPr>
      </w:pPr>
    </w:p>
    <w:p w14:paraId="55EBFB85" w14:textId="77777777" w:rsidR="00FB5960" w:rsidRPr="000E7AE9" w:rsidRDefault="00FB5960" w:rsidP="00463647">
      <w:pPr>
        <w:widowControl w:val="0"/>
        <w:tabs>
          <w:tab w:val="clear" w:pos="567"/>
        </w:tabs>
        <w:spacing w:line="240" w:lineRule="auto"/>
        <w:rPr>
          <w:color w:val="000000"/>
          <w:szCs w:val="22"/>
          <w:lang w:val="sv-SE"/>
        </w:rPr>
      </w:pPr>
    </w:p>
    <w:p w14:paraId="591D0FBC" w14:textId="77777777" w:rsidR="00CE607D" w:rsidRPr="000E7AE9" w:rsidRDefault="00CE607D" w:rsidP="00463647">
      <w:pPr>
        <w:widowControl w:val="0"/>
        <w:tabs>
          <w:tab w:val="clear" w:pos="567"/>
        </w:tabs>
        <w:spacing w:line="240" w:lineRule="auto"/>
        <w:rPr>
          <w:color w:val="000000"/>
          <w:szCs w:val="22"/>
          <w:lang w:val="sv-SE"/>
        </w:rPr>
      </w:pPr>
    </w:p>
    <w:p w14:paraId="4AF177C9" w14:textId="77777777" w:rsidR="00CE607D" w:rsidRPr="000E7AE9" w:rsidRDefault="00CE607D" w:rsidP="00463647">
      <w:pPr>
        <w:widowControl w:val="0"/>
        <w:tabs>
          <w:tab w:val="clear" w:pos="567"/>
        </w:tabs>
        <w:spacing w:line="240" w:lineRule="auto"/>
        <w:jc w:val="center"/>
        <w:rPr>
          <w:color w:val="000000"/>
          <w:szCs w:val="22"/>
          <w:lang w:val="sv-SE"/>
        </w:rPr>
      </w:pPr>
      <w:r w:rsidRPr="000E7AE9">
        <w:rPr>
          <w:b/>
          <w:color w:val="000000"/>
          <w:szCs w:val="22"/>
          <w:lang w:val="sv-SE"/>
        </w:rPr>
        <w:t>B. BIPACKSEDEL</w:t>
      </w:r>
    </w:p>
    <w:p w14:paraId="054D6FEE" w14:textId="77777777" w:rsidR="00CE607D" w:rsidRPr="000E7AE9" w:rsidRDefault="00CE607D" w:rsidP="00463647">
      <w:pPr>
        <w:widowControl w:val="0"/>
        <w:tabs>
          <w:tab w:val="clear" w:pos="567"/>
        </w:tabs>
        <w:spacing w:line="240" w:lineRule="auto"/>
        <w:jc w:val="center"/>
        <w:rPr>
          <w:color w:val="000000"/>
          <w:szCs w:val="22"/>
          <w:lang w:val="sv-SE"/>
        </w:rPr>
      </w:pPr>
      <w:r w:rsidRPr="000E7AE9">
        <w:rPr>
          <w:color w:val="000000"/>
          <w:szCs w:val="22"/>
          <w:lang w:val="sv-SE"/>
        </w:rPr>
        <w:br w:type="page"/>
      </w:r>
      <w:r w:rsidR="005B1EFF">
        <w:rPr>
          <w:b/>
          <w:color w:val="000000"/>
          <w:szCs w:val="22"/>
          <w:lang w:val="sv-SE"/>
        </w:rPr>
        <w:lastRenderedPageBreak/>
        <w:t>Bipacksedel: Information till användaren</w:t>
      </w:r>
    </w:p>
    <w:p w14:paraId="06CBA135" w14:textId="77777777" w:rsidR="00CE607D" w:rsidRPr="000E7AE9" w:rsidRDefault="00CE607D" w:rsidP="00463647">
      <w:pPr>
        <w:widowControl w:val="0"/>
        <w:tabs>
          <w:tab w:val="clear" w:pos="567"/>
        </w:tabs>
        <w:spacing w:line="240" w:lineRule="auto"/>
        <w:jc w:val="center"/>
        <w:rPr>
          <w:color w:val="000000"/>
          <w:szCs w:val="22"/>
          <w:lang w:val="sv-SE"/>
        </w:rPr>
      </w:pPr>
    </w:p>
    <w:p w14:paraId="4CF41404" w14:textId="77777777" w:rsidR="00CE607D" w:rsidRPr="000E7AE9" w:rsidRDefault="00CE607D" w:rsidP="00463647">
      <w:pPr>
        <w:widowControl w:val="0"/>
        <w:tabs>
          <w:tab w:val="clear" w:pos="567"/>
        </w:tabs>
        <w:spacing w:line="240" w:lineRule="auto"/>
        <w:jc w:val="center"/>
        <w:rPr>
          <w:color w:val="000000"/>
          <w:szCs w:val="22"/>
          <w:lang w:val="sv-SE"/>
        </w:rPr>
      </w:pPr>
      <w:r w:rsidRPr="000E7AE9">
        <w:rPr>
          <w:b/>
          <w:color w:val="000000"/>
          <w:szCs w:val="22"/>
          <w:lang w:val="sv-SE"/>
        </w:rPr>
        <w:t>Glivec 100 mg hårda kapslar</w:t>
      </w:r>
    </w:p>
    <w:p w14:paraId="4AB0CC46" w14:textId="77777777" w:rsidR="00CE607D" w:rsidRPr="000E7AE9" w:rsidRDefault="001412A8" w:rsidP="00463647">
      <w:pPr>
        <w:widowControl w:val="0"/>
        <w:tabs>
          <w:tab w:val="clear" w:pos="567"/>
        </w:tabs>
        <w:spacing w:line="240" w:lineRule="auto"/>
        <w:jc w:val="center"/>
        <w:rPr>
          <w:color w:val="000000"/>
          <w:szCs w:val="22"/>
          <w:lang w:val="sv-SE"/>
        </w:rPr>
      </w:pPr>
      <w:r>
        <w:rPr>
          <w:color w:val="000000"/>
          <w:szCs w:val="22"/>
          <w:lang w:val="sv-SE"/>
        </w:rPr>
        <w:t>i</w:t>
      </w:r>
      <w:r w:rsidR="00CE607D" w:rsidRPr="000E7AE9">
        <w:rPr>
          <w:color w:val="000000"/>
          <w:szCs w:val="22"/>
          <w:lang w:val="sv-SE"/>
        </w:rPr>
        <w:t>matinib</w:t>
      </w:r>
    </w:p>
    <w:p w14:paraId="7B9965B4" w14:textId="77777777" w:rsidR="00CE607D" w:rsidRDefault="00CE607D" w:rsidP="00463647">
      <w:pPr>
        <w:pStyle w:val="EndnoteText"/>
        <w:widowControl w:val="0"/>
        <w:tabs>
          <w:tab w:val="clear" w:pos="567"/>
        </w:tabs>
        <w:rPr>
          <w:color w:val="000000"/>
          <w:szCs w:val="22"/>
          <w:lang w:val="sv-SE"/>
        </w:rPr>
      </w:pPr>
    </w:p>
    <w:p w14:paraId="46DFA725" w14:textId="77777777" w:rsidR="00AE00E2" w:rsidRPr="00AB1764" w:rsidRDefault="000B798D" w:rsidP="00463647">
      <w:pPr>
        <w:widowControl w:val="0"/>
        <w:spacing w:line="240" w:lineRule="auto"/>
        <w:rPr>
          <w:szCs w:val="22"/>
          <w:lang w:val="sv-SE"/>
        </w:rPr>
      </w:pPr>
      <w:r w:rsidRPr="0096596E">
        <w:rPr>
          <w:noProof/>
          <w:lang w:val="en-US"/>
        </w:rPr>
        <w:drawing>
          <wp:inline distT="0" distB="0" distL="0" distR="0" wp14:anchorId="04D2F191" wp14:editId="2B89FA67">
            <wp:extent cx="198120" cy="17780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177800"/>
                    </a:xfrm>
                    <a:prstGeom prst="rect">
                      <a:avLst/>
                    </a:prstGeom>
                    <a:noFill/>
                    <a:ln>
                      <a:noFill/>
                    </a:ln>
                  </pic:spPr>
                </pic:pic>
              </a:graphicData>
            </a:graphic>
          </wp:inline>
        </w:drawing>
      </w:r>
      <w:r w:rsidR="00AE00E2" w:rsidRPr="00AB1764">
        <w:rPr>
          <w:noProof/>
          <w:szCs w:val="22"/>
          <w:lang w:val="sv-SE"/>
        </w:rPr>
        <w:t>Detta läkemedel är föremål för utökad övervakning.</w:t>
      </w:r>
      <w:r w:rsidR="00AE00E2" w:rsidRPr="00AB1764">
        <w:rPr>
          <w:szCs w:val="22"/>
          <w:lang w:val="sv-SE"/>
        </w:rPr>
        <w:t xml:space="preserve"> </w:t>
      </w:r>
      <w:r w:rsidR="00AE00E2" w:rsidRPr="00AB1764">
        <w:rPr>
          <w:noProof/>
          <w:szCs w:val="22"/>
          <w:lang w:val="sv-SE"/>
        </w:rPr>
        <w:t>Detta kommer att göra det möjligt att snabbt identifiera ny säkerhetsinformation.</w:t>
      </w:r>
      <w:r w:rsidR="00AE00E2" w:rsidRPr="00AB1764">
        <w:rPr>
          <w:szCs w:val="22"/>
          <w:lang w:val="sv-SE"/>
        </w:rPr>
        <w:t xml:space="preserve"> </w:t>
      </w:r>
      <w:r w:rsidR="00AE00E2" w:rsidRPr="00AB1764">
        <w:rPr>
          <w:noProof/>
          <w:szCs w:val="22"/>
          <w:lang w:val="sv-SE"/>
        </w:rPr>
        <w:t>Du kan hjälpa till genom att rapportera de biverkningar du eventuellt får.</w:t>
      </w:r>
      <w:r w:rsidR="00AE00E2" w:rsidRPr="00AB1764">
        <w:rPr>
          <w:szCs w:val="22"/>
          <w:lang w:val="sv-SE"/>
        </w:rPr>
        <w:t xml:space="preserve"> </w:t>
      </w:r>
      <w:r w:rsidR="00AE00E2" w:rsidRPr="00AB1764">
        <w:rPr>
          <w:noProof/>
          <w:szCs w:val="22"/>
          <w:lang w:val="sv-SE"/>
        </w:rPr>
        <w:t>Information om hur du rapporterar biverkningar finns i slutet av avsnitt</w:t>
      </w:r>
      <w:r w:rsidR="00AE00E2">
        <w:rPr>
          <w:noProof/>
          <w:szCs w:val="22"/>
          <w:lang w:val="sv-SE"/>
        </w:rPr>
        <w:t> </w:t>
      </w:r>
      <w:r w:rsidR="00AE00E2" w:rsidRPr="00AB1764">
        <w:rPr>
          <w:noProof/>
          <w:szCs w:val="22"/>
          <w:lang w:val="sv-SE"/>
        </w:rPr>
        <w:t>4.</w:t>
      </w:r>
    </w:p>
    <w:p w14:paraId="0D1C20EB" w14:textId="77777777" w:rsidR="00AE00E2" w:rsidRPr="000E7AE9" w:rsidRDefault="00AE00E2" w:rsidP="00463647">
      <w:pPr>
        <w:pStyle w:val="EndnoteText"/>
        <w:widowControl w:val="0"/>
        <w:tabs>
          <w:tab w:val="clear" w:pos="567"/>
        </w:tabs>
        <w:rPr>
          <w:color w:val="000000"/>
          <w:szCs w:val="22"/>
          <w:lang w:val="sv-SE"/>
        </w:rPr>
      </w:pPr>
    </w:p>
    <w:p w14:paraId="0B278F1F" w14:textId="77777777" w:rsidR="00AB699C" w:rsidRPr="000E7AE9" w:rsidRDefault="00AB699C" w:rsidP="00463647">
      <w:pPr>
        <w:widowControl w:val="0"/>
        <w:tabs>
          <w:tab w:val="clear" w:pos="567"/>
        </w:tabs>
        <w:spacing w:line="240" w:lineRule="auto"/>
        <w:ind w:right="-2"/>
        <w:rPr>
          <w:color w:val="000000"/>
          <w:szCs w:val="22"/>
          <w:lang w:val="sv-SE"/>
        </w:rPr>
      </w:pPr>
      <w:r w:rsidRPr="000E7AE9">
        <w:rPr>
          <w:b/>
          <w:color w:val="000000"/>
          <w:szCs w:val="22"/>
          <w:lang w:val="sv-SE"/>
        </w:rPr>
        <w:t>Läs noga igenom denna bipacksedel innan du börjar ta detta läkemedel.</w:t>
      </w:r>
      <w:r>
        <w:rPr>
          <w:b/>
          <w:color w:val="000000"/>
          <w:szCs w:val="22"/>
          <w:lang w:val="sv-SE"/>
        </w:rPr>
        <w:t xml:space="preserve"> Den innehåller information som är viktig för dig.</w:t>
      </w:r>
    </w:p>
    <w:p w14:paraId="07AA5123" w14:textId="77777777" w:rsidR="00AB699C" w:rsidRPr="000E7AE9" w:rsidRDefault="00AB699C"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 xml:space="preserve">Spara denna </w:t>
      </w:r>
      <w:r>
        <w:rPr>
          <w:color w:val="000000"/>
          <w:szCs w:val="22"/>
          <w:lang w:val="sv-SE"/>
        </w:rPr>
        <w:t>information</w:t>
      </w:r>
      <w:r w:rsidRPr="000E7AE9">
        <w:rPr>
          <w:color w:val="000000"/>
          <w:szCs w:val="22"/>
          <w:lang w:val="sv-SE"/>
        </w:rPr>
        <w:t>, du kan behöva läsa den igen.</w:t>
      </w:r>
    </w:p>
    <w:p w14:paraId="2BF75A06" w14:textId="77777777" w:rsidR="00AB699C" w:rsidRPr="000E7AE9" w:rsidRDefault="00AB699C"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Om du har ytterligare frågor vänd dig till läkare</w:t>
      </w:r>
      <w:r>
        <w:rPr>
          <w:color w:val="000000"/>
          <w:szCs w:val="22"/>
          <w:lang w:val="sv-SE"/>
        </w:rPr>
        <w:t>,</w:t>
      </w:r>
      <w:r w:rsidRPr="000E7AE9">
        <w:rPr>
          <w:color w:val="000000"/>
          <w:szCs w:val="22"/>
          <w:lang w:val="sv-SE"/>
        </w:rPr>
        <w:t xml:space="preserve"> apotekspersonal</w:t>
      </w:r>
      <w:r>
        <w:rPr>
          <w:color w:val="000000"/>
          <w:szCs w:val="22"/>
          <w:lang w:val="sv-SE"/>
        </w:rPr>
        <w:t xml:space="preserve"> eller sjuksköterska</w:t>
      </w:r>
      <w:r w:rsidRPr="000E7AE9">
        <w:rPr>
          <w:color w:val="000000"/>
          <w:szCs w:val="22"/>
          <w:lang w:val="sv-SE"/>
        </w:rPr>
        <w:t>.</w:t>
      </w:r>
    </w:p>
    <w:p w14:paraId="4B455565" w14:textId="77777777" w:rsidR="00AB699C" w:rsidRPr="000E7AE9" w:rsidRDefault="00AB699C"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 xml:space="preserve">Detta läkemedel har ordinerats </w:t>
      </w:r>
      <w:r>
        <w:rPr>
          <w:color w:val="000000"/>
          <w:szCs w:val="22"/>
          <w:lang w:val="sv-SE"/>
        </w:rPr>
        <w:t xml:space="preserve">enbart </w:t>
      </w:r>
      <w:r w:rsidRPr="000E7AE9">
        <w:rPr>
          <w:color w:val="000000"/>
          <w:szCs w:val="22"/>
          <w:lang w:val="sv-SE"/>
        </w:rPr>
        <w:t xml:space="preserve">åt dig. Ge det inte till andra. Det kan skada dem, även om de uppvisar </w:t>
      </w:r>
      <w:r>
        <w:rPr>
          <w:color w:val="000000"/>
          <w:szCs w:val="22"/>
          <w:lang w:val="sv-SE"/>
        </w:rPr>
        <w:t>sjukdomstecken</w:t>
      </w:r>
      <w:r w:rsidRPr="000E7AE9">
        <w:rPr>
          <w:color w:val="000000"/>
          <w:szCs w:val="22"/>
          <w:lang w:val="sv-SE"/>
        </w:rPr>
        <w:t xml:space="preserve"> som liknar dina.</w:t>
      </w:r>
    </w:p>
    <w:p w14:paraId="3DE9ECE4" w14:textId="77777777" w:rsidR="00AB699C" w:rsidRPr="000E7AE9" w:rsidRDefault="00AB699C"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noProof/>
          <w:color w:val="000000"/>
          <w:szCs w:val="22"/>
          <w:lang w:val="sv-SE"/>
        </w:rPr>
        <w:t xml:space="preserve">Om </w:t>
      </w:r>
      <w:r>
        <w:rPr>
          <w:noProof/>
          <w:color w:val="000000"/>
          <w:szCs w:val="22"/>
          <w:lang w:val="sv-SE"/>
        </w:rPr>
        <w:t xml:space="preserve">du får </w:t>
      </w:r>
      <w:r w:rsidRPr="000E7AE9">
        <w:rPr>
          <w:noProof/>
          <w:color w:val="000000"/>
          <w:szCs w:val="22"/>
          <w:lang w:val="sv-SE"/>
        </w:rPr>
        <w:t>biverkningar</w:t>
      </w:r>
      <w:r>
        <w:rPr>
          <w:noProof/>
          <w:color w:val="000000"/>
          <w:szCs w:val="22"/>
          <w:lang w:val="sv-SE"/>
        </w:rPr>
        <w:t xml:space="preserve">, tala med </w:t>
      </w:r>
      <w:r w:rsidRPr="000E7AE9">
        <w:rPr>
          <w:noProof/>
          <w:color w:val="000000"/>
          <w:szCs w:val="22"/>
          <w:lang w:val="sv-SE"/>
        </w:rPr>
        <w:t>läkare</w:t>
      </w:r>
      <w:r>
        <w:rPr>
          <w:noProof/>
          <w:color w:val="000000"/>
          <w:szCs w:val="22"/>
          <w:lang w:val="sv-SE"/>
        </w:rPr>
        <w:t>,</w:t>
      </w:r>
      <w:r w:rsidRPr="000E7AE9">
        <w:rPr>
          <w:noProof/>
          <w:color w:val="000000"/>
          <w:szCs w:val="22"/>
          <w:lang w:val="sv-SE"/>
        </w:rPr>
        <w:t xml:space="preserve"> apotekspersonal</w:t>
      </w:r>
      <w:r>
        <w:rPr>
          <w:noProof/>
          <w:color w:val="000000"/>
          <w:szCs w:val="22"/>
          <w:lang w:val="sv-SE"/>
        </w:rPr>
        <w:t xml:space="preserve"> eller sjuksköterska. Detta gäller även eventuella biverkningar som inte nämns i denna information</w:t>
      </w:r>
      <w:r w:rsidRPr="000E7AE9">
        <w:rPr>
          <w:noProof/>
          <w:color w:val="000000"/>
          <w:szCs w:val="22"/>
          <w:lang w:val="sv-SE"/>
        </w:rPr>
        <w:t>.</w:t>
      </w:r>
      <w:r w:rsidR="006460C9">
        <w:rPr>
          <w:noProof/>
          <w:color w:val="000000"/>
          <w:szCs w:val="22"/>
          <w:lang w:val="sv-SE"/>
        </w:rPr>
        <w:t xml:space="preserve"> Se avsnitt 4.</w:t>
      </w:r>
    </w:p>
    <w:p w14:paraId="5231C191" w14:textId="77777777" w:rsidR="00AB699C" w:rsidRPr="000E7AE9" w:rsidRDefault="00AB699C" w:rsidP="00463647">
      <w:pPr>
        <w:widowControl w:val="0"/>
        <w:tabs>
          <w:tab w:val="clear" w:pos="567"/>
          <w:tab w:val="left" w:pos="2625"/>
        </w:tabs>
        <w:spacing w:line="240" w:lineRule="auto"/>
        <w:rPr>
          <w:color w:val="000000"/>
          <w:szCs w:val="22"/>
          <w:lang w:val="sv-SE"/>
        </w:rPr>
      </w:pPr>
    </w:p>
    <w:p w14:paraId="59DBB03D" w14:textId="77777777" w:rsidR="00AB699C" w:rsidRPr="000E7AE9" w:rsidRDefault="00AB699C" w:rsidP="00463647">
      <w:pPr>
        <w:widowControl w:val="0"/>
        <w:tabs>
          <w:tab w:val="clear" w:pos="567"/>
        </w:tabs>
        <w:spacing w:line="240" w:lineRule="auto"/>
        <w:rPr>
          <w:color w:val="000000"/>
          <w:szCs w:val="22"/>
          <w:lang w:val="sv-SE"/>
        </w:rPr>
      </w:pPr>
    </w:p>
    <w:p w14:paraId="5C0508D2" w14:textId="77777777" w:rsidR="00AB699C" w:rsidRPr="000E7AE9" w:rsidRDefault="00AB699C" w:rsidP="009E09A2">
      <w:pPr>
        <w:keepNext/>
        <w:widowControl w:val="0"/>
        <w:numPr>
          <w:ilvl w:val="12"/>
          <w:numId w:val="0"/>
        </w:numPr>
        <w:spacing w:line="240" w:lineRule="auto"/>
        <w:ind w:right="-2"/>
        <w:rPr>
          <w:noProof/>
          <w:color w:val="000000"/>
          <w:szCs w:val="22"/>
          <w:lang w:val="sv-SE"/>
        </w:rPr>
      </w:pPr>
      <w:r w:rsidRPr="000E7AE9">
        <w:rPr>
          <w:b/>
          <w:noProof/>
          <w:color w:val="000000"/>
          <w:szCs w:val="22"/>
          <w:lang w:val="sv-SE"/>
        </w:rPr>
        <w:t>I denna bipacksedel finn</w:t>
      </w:r>
      <w:r w:rsidR="006460C9">
        <w:rPr>
          <w:b/>
          <w:noProof/>
          <w:color w:val="000000"/>
          <w:szCs w:val="22"/>
          <w:lang w:val="sv-SE"/>
        </w:rPr>
        <w:t>s</w:t>
      </w:r>
      <w:r w:rsidRPr="000E7AE9">
        <w:rPr>
          <w:b/>
          <w:noProof/>
          <w:color w:val="000000"/>
          <w:szCs w:val="22"/>
          <w:lang w:val="sv-SE"/>
        </w:rPr>
        <w:t xml:space="preserve"> information om</w:t>
      </w:r>
      <w:r>
        <w:rPr>
          <w:b/>
          <w:noProof/>
          <w:color w:val="000000"/>
          <w:szCs w:val="22"/>
          <w:lang w:val="sv-SE"/>
        </w:rPr>
        <w:t xml:space="preserve"> följande</w:t>
      </w:r>
      <w:r w:rsidRPr="000E7AE9">
        <w:rPr>
          <w:noProof/>
          <w:color w:val="000000"/>
          <w:szCs w:val="22"/>
          <w:lang w:val="sv-SE"/>
        </w:rPr>
        <w:t>:</w:t>
      </w:r>
    </w:p>
    <w:p w14:paraId="4830595F" w14:textId="77777777" w:rsidR="00AB699C" w:rsidRPr="000E7AE9" w:rsidRDefault="00AB699C" w:rsidP="009E09A2">
      <w:pPr>
        <w:keepNext/>
        <w:widowControl w:val="0"/>
        <w:numPr>
          <w:ilvl w:val="12"/>
          <w:numId w:val="0"/>
        </w:numPr>
        <w:tabs>
          <w:tab w:val="clear" w:pos="567"/>
        </w:tabs>
        <w:spacing w:line="240" w:lineRule="auto"/>
        <w:ind w:right="-29"/>
        <w:rPr>
          <w:color w:val="000000"/>
          <w:szCs w:val="22"/>
          <w:lang w:val="sv-SE"/>
        </w:rPr>
      </w:pPr>
      <w:r w:rsidRPr="000E7AE9">
        <w:rPr>
          <w:color w:val="000000"/>
          <w:szCs w:val="22"/>
          <w:lang w:val="sv-SE"/>
        </w:rPr>
        <w:t>1.</w:t>
      </w:r>
      <w:r w:rsidRPr="000E7AE9">
        <w:rPr>
          <w:color w:val="000000"/>
          <w:szCs w:val="22"/>
          <w:lang w:val="sv-SE"/>
        </w:rPr>
        <w:tab/>
        <w:t>Vad Glivec är och vad det används för</w:t>
      </w:r>
    </w:p>
    <w:p w14:paraId="01E17FBC" w14:textId="77777777" w:rsidR="00AB699C" w:rsidRPr="000E7AE9" w:rsidRDefault="00AB699C" w:rsidP="009E09A2">
      <w:pPr>
        <w:keepNext/>
        <w:widowControl w:val="0"/>
        <w:numPr>
          <w:ilvl w:val="12"/>
          <w:numId w:val="0"/>
        </w:numPr>
        <w:tabs>
          <w:tab w:val="clear" w:pos="567"/>
        </w:tabs>
        <w:spacing w:line="240" w:lineRule="auto"/>
        <w:ind w:right="-29"/>
        <w:rPr>
          <w:color w:val="000000"/>
          <w:szCs w:val="22"/>
          <w:lang w:val="sv-SE"/>
        </w:rPr>
      </w:pPr>
      <w:r w:rsidRPr="000E7AE9">
        <w:rPr>
          <w:color w:val="000000"/>
          <w:szCs w:val="22"/>
          <w:lang w:val="sv-SE"/>
        </w:rPr>
        <w:t>2.</w:t>
      </w:r>
      <w:r w:rsidRPr="000E7AE9">
        <w:rPr>
          <w:color w:val="000000"/>
          <w:szCs w:val="22"/>
          <w:lang w:val="sv-SE"/>
        </w:rPr>
        <w:tab/>
      </w:r>
      <w:r>
        <w:rPr>
          <w:color w:val="000000"/>
          <w:szCs w:val="22"/>
          <w:lang w:val="sv-SE"/>
        </w:rPr>
        <w:t>Vad du behöver veta i</w:t>
      </w:r>
      <w:r w:rsidRPr="000E7AE9">
        <w:rPr>
          <w:color w:val="000000"/>
          <w:szCs w:val="22"/>
          <w:lang w:val="sv-SE"/>
        </w:rPr>
        <w:t>nnan du tar Glivec</w:t>
      </w:r>
    </w:p>
    <w:p w14:paraId="42EE0A31" w14:textId="77777777" w:rsidR="00AB699C" w:rsidRPr="000E7AE9" w:rsidRDefault="00AB699C" w:rsidP="009E09A2">
      <w:pPr>
        <w:keepNext/>
        <w:widowControl w:val="0"/>
        <w:numPr>
          <w:ilvl w:val="12"/>
          <w:numId w:val="0"/>
        </w:numPr>
        <w:tabs>
          <w:tab w:val="clear" w:pos="567"/>
        </w:tabs>
        <w:spacing w:line="240" w:lineRule="auto"/>
        <w:ind w:right="-29"/>
        <w:rPr>
          <w:color w:val="000000"/>
          <w:szCs w:val="22"/>
          <w:lang w:val="sv-SE"/>
        </w:rPr>
      </w:pPr>
      <w:r w:rsidRPr="000E7AE9">
        <w:rPr>
          <w:color w:val="000000"/>
          <w:szCs w:val="22"/>
          <w:lang w:val="sv-SE"/>
        </w:rPr>
        <w:t>3.</w:t>
      </w:r>
      <w:r w:rsidRPr="000E7AE9">
        <w:rPr>
          <w:color w:val="000000"/>
          <w:szCs w:val="22"/>
          <w:lang w:val="sv-SE"/>
        </w:rPr>
        <w:tab/>
        <w:t>Hur du tar Glivec</w:t>
      </w:r>
    </w:p>
    <w:p w14:paraId="4109CACD" w14:textId="77777777" w:rsidR="00AB699C" w:rsidRPr="000E7AE9" w:rsidRDefault="00AB699C" w:rsidP="009E09A2">
      <w:pPr>
        <w:keepNext/>
        <w:widowControl w:val="0"/>
        <w:numPr>
          <w:ilvl w:val="12"/>
          <w:numId w:val="0"/>
        </w:numPr>
        <w:tabs>
          <w:tab w:val="clear" w:pos="567"/>
        </w:tabs>
        <w:spacing w:line="240" w:lineRule="auto"/>
        <w:ind w:right="-29"/>
        <w:rPr>
          <w:color w:val="000000"/>
          <w:szCs w:val="22"/>
          <w:lang w:val="sv-SE"/>
        </w:rPr>
      </w:pPr>
      <w:r w:rsidRPr="000E7AE9">
        <w:rPr>
          <w:color w:val="000000"/>
          <w:szCs w:val="22"/>
          <w:lang w:val="sv-SE"/>
        </w:rPr>
        <w:t>4.</w:t>
      </w:r>
      <w:r w:rsidRPr="000E7AE9">
        <w:rPr>
          <w:color w:val="000000"/>
          <w:szCs w:val="22"/>
          <w:lang w:val="sv-SE"/>
        </w:rPr>
        <w:tab/>
        <w:t>Eventuella biverkningar</w:t>
      </w:r>
    </w:p>
    <w:p w14:paraId="2FB5F284" w14:textId="77777777" w:rsidR="00AB699C" w:rsidRPr="000E7AE9" w:rsidRDefault="00AB699C" w:rsidP="009E09A2">
      <w:pPr>
        <w:keepNext/>
        <w:widowControl w:val="0"/>
        <w:tabs>
          <w:tab w:val="clear" w:pos="567"/>
        </w:tabs>
        <w:spacing w:line="240" w:lineRule="auto"/>
        <w:ind w:right="-29"/>
        <w:rPr>
          <w:color w:val="000000"/>
          <w:szCs w:val="22"/>
          <w:lang w:val="sv-SE"/>
        </w:rPr>
      </w:pPr>
      <w:r w:rsidRPr="000E7AE9">
        <w:rPr>
          <w:color w:val="000000"/>
          <w:szCs w:val="22"/>
          <w:lang w:val="sv-SE"/>
        </w:rPr>
        <w:t>5.</w:t>
      </w:r>
      <w:r w:rsidRPr="000E7AE9">
        <w:rPr>
          <w:color w:val="000000"/>
          <w:szCs w:val="22"/>
          <w:lang w:val="sv-SE"/>
        </w:rPr>
        <w:tab/>
        <w:t>Hur Glivec ska förvaras</w:t>
      </w:r>
    </w:p>
    <w:p w14:paraId="722575D6" w14:textId="77777777" w:rsidR="00AB699C" w:rsidRPr="000E7AE9" w:rsidRDefault="00AB699C" w:rsidP="00463647">
      <w:pPr>
        <w:widowControl w:val="0"/>
        <w:tabs>
          <w:tab w:val="clear" w:pos="567"/>
        </w:tabs>
        <w:spacing w:line="240" w:lineRule="auto"/>
        <w:ind w:right="-29"/>
        <w:rPr>
          <w:color w:val="000000"/>
          <w:szCs w:val="22"/>
          <w:lang w:val="sv-SE"/>
        </w:rPr>
      </w:pPr>
      <w:r w:rsidRPr="000E7AE9">
        <w:rPr>
          <w:color w:val="000000"/>
          <w:szCs w:val="22"/>
          <w:lang w:val="sv-SE"/>
        </w:rPr>
        <w:t>6.</w:t>
      </w:r>
      <w:r w:rsidRPr="000E7AE9">
        <w:rPr>
          <w:color w:val="000000"/>
          <w:szCs w:val="22"/>
          <w:lang w:val="sv-SE"/>
        </w:rPr>
        <w:tab/>
      </w:r>
      <w:r>
        <w:rPr>
          <w:color w:val="000000"/>
          <w:szCs w:val="22"/>
          <w:lang w:val="sv-SE"/>
        </w:rPr>
        <w:t>Förpackningens innehåll och övriga</w:t>
      </w:r>
      <w:r w:rsidRPr="000E7AE9">
        <w:rPr>
          <w:color w:val="000000"/>
          <w:szCs w:val="22"/>
          <w:lang w:val="sv-SE"/>
        </w:rPr>
        <w:t xml:space="preserve"> upplysningar</w:t>
      </w:r>
    </w:p>
    <w:p w14:paraId="22268250"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3A61FC5F"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5C1BA306" w14:textId="77777777" w:rsidR="00AB699C" w:rsidRPr="000E7AE9" w:rsidRDefault="00AB699C" w:rsidP="009E09A2">
      <w:pPr>
        <w:pStyle w:val="Heading4"/>
        <w:widowControl w:val="0"/>
        <w:spacing w:line="240" w:lineRule="auto"/>
        <w:rPr>
          <w:noProof w:val="0"/>
          <w:color w:val="000000"/>
          <w:szCs w:val="22"/>
          <w:lang w:val="sv-SE"/>
        </w:rPr>
      </w:pPr>
      <w:r w:rsidRPr="000E7AE9">
        <w:rPr>
          <w:noProof w:val="0"/>
          <w:color w:val="000000"/>
          <w:szCs w:val="22"/>
          <w:lang w:val="sv-SE"/>
        </w:rPr>
        <w:t>1.</w:t>
      </w:r>
      <w:r>
        <w:rPr>
          <w:noProof w:val="0"/>
          <w:color w:val="000000"/>
          <w:szCs w:val="22"/>
          <w:lang w:val="sv-SE"/>
        </w:rPr>
        <w:tab/>
        <w:t>Vad Glivec är och vad det används för</w:t>
      </w:r>
    </w:p>
    <w:p w14:paraId="2B4A0734" w14:textId="77777777" w:rsidR="00AB699C" w:rsidRPr="000E7AE9" w:rsidRDefault="00AB699C" w:rsidP="009E09A2">
      <w:pPr>
        <w:pStyle w:val="EndnoteText"/>
        <w:keepNext/>
        <w:widowControl w:val="0"/>
        <w:numPr>
          <w:ilvl w:val="12"/>
          <w:numId w:val="0"/>
        </w:numPr>
        <w:tabs>
          <w:tab w:val="clear" w:pos="567"/>
        </w:tabs>
        <w:rPr>
          <w:color w:val="000000"/>
          <w:szCs w:val="22"/>
          <w:lang w:val="sv-SE"/>
        </w:rPr>
      </w:pPr>
    </w:p>
    <w:p w14:paraId="5203308E" w14:textId="77777777" w:rsidR="00AB699C" w:rsidRDefault="00AB699C" w:rsidP="00463647">
      <w:pPr>
        <w:pStyle w:val="TextChar"/>
        <w:widowControl w:val="0"/>
        <w:spacing w:before="0"/>
        <w:jc w:val="left"/>
        <w:rPr>
          <w:color w:val="000000"/>
          <w:sz w:val="22"/>
          <w:szCs w:val="22"/>
          <w:lang w:val="sv-SE"/>
        </w:rPr>
      </w:pPr>
      <w:r>
        <w:rPr>
          <w:color w:val="000000"/>
          <w:sz w:val="22"/>
          <w:szCs w:val="22"/>
          <w:lang w:val="sv-SE"/>
        </w:rPr>
        <w:t>Glivec är ett läkemedel som innehåller en aktiv substans som kallas imatinib. Läkemedlet verkar genom att hämma tillväxten av onormala celler vid sjukdomarna listade nedan. Dessa omfattar vissa typer av cancer.</w:t>
      </w:r>
    </w:p>
    <w:p w14:paraId="5F6A892E" w14:textId="77777777" w:rsidR="00AB699C" w:rsidRDefault="00AB699C" w:rsidP="00463647">
      <w:pPr>
        <w:pStyle w:val="TextChar"/>
        <w:widowControl w:val="0"/>
        <w:spacing w:before="0"/>
        <w:jc w:val="left"/>
        <w:rPr>
          <w:color w:val="000000"/>
          <w:sz w:val="22"/>
          <w:szCs w:val="22"/>
          <w:lang w:val="sv-SE"/>
        </w:rPr>
      </w:pPr>
    </w:p>
    <w:p w14:paraId="151DA280" w14:textId="77777777" w:rsidR="00AB699C" w:rsidRPr="009F6686" w:rsidRDefault="00AB699C" w:rsidP="009E09A2">
      <w:pPr>
        <w:pStyle w:val="TextChar"/>
        <w:keepNext/>
        <w:widowControl w:val="0"/>
        <w:spacing w:before="0"/>
        <w:jc w:val="left"/>
        <w:rPr>
          <w:b/>
          <w:color w:val="000000"/>
          <w:sz w:val="22"/>
          <w:szCs w:val="22"/>
          <w:lang w:val="sv-SE"/>
        </w:rPr>
      </w:pPr>
      <w:r w:rsidRPr="009F6686">
        <w:rPr>
          <w:b/>
          <w:color w:val="000000"/>
          <w:sz w:val="22"/>
          <w:szCs w:val="22"/>
          <w:lang w:val="sv-SE"/>
        </w:rPr>
        <w:t>Glivec är en behandling för vuxna och barn för:</w:t>
      </w:r>
    </w:p>
    <w:p w14:paraId="2CEFB47C" w14:textId="77777777" w:rsidR="00AB699C" w:rsidRDefault="00AB699C" w:rsidP="009E09A2">
      <w:pPr>
        <w:pStyle w:val="TextChar"/>
        <w:keepNext/>
        <w:widowControl w:val="0"/>
        <w:spacing w:before="0"/>
        <w:jc w:val="left"/>
        <w:rPr>
          <w:color w:val="000000"/>
          <w:sz w:val="22"/>
          <w:szCs w:val="22"/>
          <w:lang w:val="sv-SE"/>
        </w:rPr>
      </w:pPr>
    </w:p>
    <w:p w14:paraId="02EBC46E" w14:textId="77777777" w:rsidR="00AB699C"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t>-</w:t>
      </w:r>
      <w:r w:rsidRPr="000E7AE9">
        <w:rPr>
          <w:color w:val="000000"/>
          <w:szCs w:val="22"/>
          <w:lang w:val="sv-SE"/>
        </w:rPr>
        <w:tab/>
      </w:r>
      <w:r w:rsidRPr="009F6686">
        <w:rPr>
          <w:b/>
          <w:color w:val="000000"/>
          <w:sz w:val="22"/>
          <w:szCs w:val="22"/>
          <w:lang w:val="sv-SE"/>
        </w:rPr>
        <w:t>Kronisk myeloisk leukemi (KML).</w:t>
      </w:r>
      <w:r w:rsidRPr="000E7AE9">
        <w:rPr>
          <w:color w:val="000000"/>
          <w:sz w:val="22"/>
          <w:szCs w:val="22"/>
          <w:lang w:val="sv-SE"/>
        </w:rPr>
        <w:t xml:space="preserve"> Leukemi är en cancersjukdom i de vita blodkropparna. Dessa vita blodkroppar hjälper vanligen kroppen att bekämpa infektioner. Kronisk myeloisk leukemi är en form av leukemi där vissa onormala vita blodkroppar (så kallade myeloida celler) börjar tillväxa utom kontroll.</w:t>
      </w:r>
    </w:p>
    <w:p w14:paraId="29DB5919" w14:textId="77777777" w:rsidR="00BF75F9" w:rsidRPr="000E7AE9" w:rsidRDefault="00BF75F9" w:rsidP="00463647">
      <w:pPr>
        <w:pStyle w:val="TextChar"/>
        <w:widowControl w:val="0"/>
        <w:spacing w:before="0"/>
        <w:ind w:left="567" w:hanging="567"/>
        <w:jc w:val="left"/>
        <w:rPr>
          <w:color w:val="000000"/>
          <w:sz w:val="22"/>
          <w:szCs w:val="22"/>
          <w:lang w:val="sv-SE"/>
        </w:rPr>
      </w:pPr>
      <w:r>
        <w:rPr>
          <w:color w:val="000000"/>
          <w:sz w:val="22"/>
          <w:szCs w:val="22"/>
          <w:lang w:val="sv-SE"/>
        </w:rPr>
        <w:t>-</w:t>
      </w:r>
      <w:r>
        <w:rPr>
          <w:color w:val="000000"/>
          <w:sz w:val="22"/>
          <w:szCs w:val="22"/>
          <w:lang w:val="sv-SE"/>
        </w:rPr>
        <w:tab/>
      </w:r>
      <w:r w:rsidRPr="009F6686">
        <w:rPr>
          <w:b/>
          <w:color w:val="000000"/>
          <w:sz w:val="22"/>
          <w:szCs w:val="22"/>
          <w:lang w:val="sv-SE"/>
        </w:rPr>
        <w:t>Philadelphia-kromosom-positiv akut lymfoblastisk leukemi (Ph-positiv ALL).</w:t>
      </w:r>
      <w:r w:rsidRPr="000E7AE9">
        <w:rPr>
          <w:color w:val="000000"/>
          <w:sz w:val="22"/>
          <w:szCs w:val="22"/>
          <w:lang w:val="sv-SE"/>
        </w:rPr>
        <w:t xml:space="preserve"> Leukemi är en cancer i de vita blodkropparna. Dessa vita blodkroppar hjälper normalt kroppen att bekämpa infektion. Akut lymfoblastisk leukemi är en form av leukemi vid vilken vissa onormala, omogna vita blodkroppar (så kallade lymfoblaster) börjar tillväxa utom kontroll. Glivec hämmar tillväxten av dessa celler.</w:t>
      </w:r>
    </w:p>
    <w:p w14:paraId="5EF5E335" w14:textId="77777777" w:rsidR="00AB699C" w:rsidRPr="000E7AE9" w:rsidRDefault="00AB699C" w:rsidP="00463647">
      <w:pPr>
        <w:pStyle w:val="TextChar"/>
        <w:widowControl w:val="0"/>
        <w:spacing w:before="0"/>
        <w:jc w:val="left"/>
        <w:rPr>
          <w:color w:val="000000"/>
          <w:sz w:val="22"/>
          <w:szCs w:val="22"/>
          <w:lang w:val="sv-SE"/>
        </w:rPr>
      </w:pPr>
    </w:p>
    <w:p w14:paraId="1A1A51E8" w14:textId="77777777" w:rsidR="00AB699C" w:rsidRPr="009F6686" w:rsidRDefault="00AB699C" w:rsidP="009E09A2">
      <w:pPr>
        <w:pStyle w:val="TextChar"/>
        <w:keepNext/>
        <w:widowControl w:val="0"/>
        <w:spacing w:before="0"/>
        <w:jc w:val="left"/>
        <w:rPr>
          <w:b/>
          <w:color w:val="000000"/>
          <w:sz w:val="22"/>
          <w:szCs w:val="22"/>
          <w:lang w:val="sv-SE"/>
        </w:rPr>
      </w:pPr>
      <w:r w:rsidRPr="009F6686">
        <w:rPr>
          <w:b/>
          <w:color w:val="000000"/>
          <w:sz w:val="22"/>
          <w:szCs w:val="22"/>
          <w:lang w:val="sv-SE"/>
        </w:rPr>
        <w:t>Glivec är också en behandling för vuxna för:</w:t>
      </w:r>
    </w:p>
    <w:p w14:paraId="7EC4E919" w14:textId="77777777" w:rsidR="00AB699C" w:rsidRPr="000E7AE9" w:rsidRDefault="00AB699C" w:rsidP="009E09A2">
      <w:pPr>
        <w:pStyle w:val="TextChar"/>
        <w:keepNext/>
        <w:widowControl w:val="0"/>
        <w:spacing w:before="0"/>
        <w:jc w:val="left"/>
        <w:rPr>
          <w:color w:val="000000"/>
          <w:sz w:val="22"/>
          <w:szCs w:val="22"/>
          <w:lang w:val="sv-SE"/>
        </w:rPr>
      </w:pPr>
    </w:p>
    <w:p w14:paraId="632F70A5" w14:textId="77777777" w:rsidR="00AB699C" w:rsidRPr="000E7AE9"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t>-</w:t>
      </w:r>
      <w:r w:rsidRPr="000E7AE9">
        <w:rPr>
          <w:color w:val="000000"/>
          <w:szCs w:val="22"/>
          <w:lang w:val="sv-SE"/>
        </w:rPr>
        <w:tab/>
      </w:r>
      <w:r w:rsidRPr="009F6686">
        <w:rPr>
          <w:b/>
          <w:color w:val="000000"/>
          <w:sz w:val="22"/>
          <w:szCs w:val="22"/>
          <w:lang w:val="sv-SE"/>
        </w:rPr>
        <w:t>Myelodysplastiska/myeloproliferativa sjukdomar (MDS/MPD).</w:t>
      </w:r>
      <w:r w:rsidRPr="000E7AE9">
        <w:rPr>
          <w:color w:val="000000"/>
          <w:sz w:val="22"/>
          <w:szCs w:val="22"/>
          <w:lang w:val="sv-SE"/>
        </w:rPr>
        <w:t xml:space="preserve"> Dessa utgör en grupp av blodsjukdomar vid vilka vissa blodceller börjar tillväxa utom kontroll. Glivec hämmar tillväxten av dessa celler hos en viss undergrupp av dessa sjukdomar.</w:t>
      </w:r>
    </w:p>
    <w:p w14:paraId="2E0160DB" w14:textId="77777777" w:rsidR="00AB699C" w:rsidRPr="000E7AE9"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t>-</w:t>
      </w:r>
      <w:r w:rsidRPr="000E7AE9">
        <w:rPr>
          <w:color w:val="000000"/>
          <w:szCs w:val="22"/>
          <w:lang w:val="sv-SE"/>
        </w:rPr>
        <w:tab/>
      </w:r>
      <w:r w:rsidRPr="009F6686">
        <w:rPr>
          <w:b/>
          <w:color w:val="000000"/>
          <w:sz w:val="22"/>
          <w:szCs w:val="22"/>
          <w:lang w:val="sv-SE"/>
        </w:rPr>
        <w:t>Hypereosinofilt syndrom (HES) och/eller kronisk eosinofil leukemi (CEL).</w:t>
      </w:r>
      <w:r w:rsidRPr="000E7AE9">
        <w:rPr>
          <w:color w:val="000000"/>
          <w:sz w:val="22"/>
          <w:szCs w:val="22"/>
          <w:lang w:val="sv-SE"/>
        </w:rPr>
        <w:t xml:space="preserve"> Dessa är blodsjukdomar i vilka vissa blodceller (så kallade eosinofiler) börjar tillväxa utom kontroll. Glivec hämmar tillväxten av dessa celler hos en viss undergrupp av dessa sjukdomar.</w:t>
      </w:r>
    </w:p>
    <w:p w14:paraId="05ED6F27" w14:textId="77777777" w:rsidR="00AB699C" w:rsidRPr="000E7AE9"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t>-</w:t>
      </w:r>
      <w:r w:rsidRPr="000E7AE9">
        <w:rPr>
          <w:color w:val="000000"/>
          <w:szCs w:val="22"/>
          <w:lang w:val="sv-SE"/>
        </w:rPr>
        <w:tab/>
      </w:r>
      <w:r w:rsidRPr="009F6686">
        <w:rPr>
          <w:b/>
          <w:color w:val="000000"/>
          <w:sz w:val="22"/>
          <w:szCs w:val="22"/>
          <w:lang w:val="sv-SE"/>
        </w:rPr>
        <w:t>Gastrointestinala stromacellstumörer (GIST).</w:t>
      </w:r>
      <w:r w:rsidRPr="000E7AE9">
        <w:rPr>
          <w:color w:val="000000"/>
          <w:sz w:val="22"/>
          <w:szCs w:val="22"/>
          <w:lang w:val="sv-SE"/>
        </w:rPr>
        <w:t xml:space="preserve"> GIST är en cancerform i magen och tarmarna. Den uppstår genom okontrollerad tillväxt i stödjevävnaden för dessa organ.</w:t>
      </w:r>
    </w:p>
    <w:p w14:paraId="00CDEA7D" w14:textId="77777777" w:rsidR="00AB699C" w:rsidRPr="000E7AE9"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lastRenderedPageBreak/>
        <w:t>-</w:t>
      </w:r>
      <w:r w:rsidRPr="000E7AE9">
        <w:rPr>
          <w:color w:val="000000"/>
          <w:szCs w:val="22"/>
          <w:lang w:val="sv-SE"/>
        </w:rPr>
        <w:tab/>
      </w:r>
      <w:r w:rsidRPr="009F6686">
        <w:rPr>
          <w:b/>
          <w:color w:val="000000"/>
          <w:sz w:val="22"/>
          <w:szCs w:val="22"/>
          <w:lang w:val="sv-SE"/>
        </w:rPr>
        <w:t>Dermatofibrosarkom protuberans (DFSP).</w:t>
      </w:r>
      <w:r w:rsidRPr="000E7AE9">
        <w:rPr>
          <w:color w:val="000000"/>
          <w:sz w:val="22"/>
          <w:szCs w:val="22"/>
          <w:lang w:val="sv-SE"/>
        </w:rPr>
        <w:t xml:space="preserve"> DFSP är en cancer i vävnaden under huden i vilken vissa celler börjar tillväxa utom kontroll. Glivec hämmar tillväxten av dessa celler.</w:t>
      </w:r>
    </w:p>
    <w:p w14:paraId="76A95D2D" w14:textId="77777777" w:rsidR="00AB699C" w:rsidRDefault="00AB699C" w:rsidP="00463647">
      <w:pPr>
        <w:pStyle w:val="TextChar"/>
        <w:widowControl w:val="0"/>
        <w:spacing w:before="0"/>
        <w:jc w:val="left"/>
        <w:rPr>
          <w:color w:val="000000"/>
          <w:sz w:val="22"/>
          <w:szCs w:val="22"/>
          <w:lang w:val="sv-SE"/>
        </w:rPr>
      </w:pPr>
      <w:r>
        <w:rPr>
          <w:color w:val="000000"/>
          <w:sz w:val="22"/>
          <w:szCs w:val="22"/>
          <w:lang w:val="sv-SE"/>
        </w:rPr>
        <w:t>I resten av denna bipacksedel kommer förkortningarna att användas då man pratar om dessa sjukdomar.</w:t>
      </w:r>
    </w:p>
    <w:p w14:paraId="5A688826" w14:textId="77777777" w:rsidR="00AB699C" w:rsidRPr="000E7AE9" w:rsidRDefault="00AB699C" w:rsidP="00463647">
      <w:pPr>
        <w:pStyle w:val="TextChar"/>
        <w:widowControl w:val="0"/>
        <w:spacing w:before="0"/>
        <w:jc w:val="left"/>
        <w:rPr>
          <w:color w:val="000000"/>
          <w:sz w:val="22"/>
          <w:szCs w:val="22"/>
          <w:lang w:val="sv-SE"/>
        </w:rPr>
      </w:pPr>
    </w:p>
    <w:p w14:paraId="773C0879" w14:textId="77777777" w:rsidR="00AB699C" w:rsidRPr="000E7AE9" w:rsidRDefault="00AB699C" w:rsidP="00463647">
      <w:pPr>
        <w:pStyle w:val="TextChar"/>
        <w:widowControl w:val="0"/>
        <w:spacing w:before="0"/>
        <w:jc w:val="left"/>
        <w:rPr>
          <w:color w:val="000000"/>
          <w:sz w:val="22"/>
          <w:szCs w:val="22"/>
          <w:lang w:val="sv-SE"/>
        </w:rPr>
      </w:pPr>
      <w:r w:rsidRPr="000E7AE9">
        <w:rPr>
          <w:color w:val="000000"/>
          <w:sz w:val="22"/>
          <w:szCs w:val="22"/>
          <w:lang w:val="sv-SE"/>
        </w:rPr>
        <w:t>Fråga din läkare om du har några frågor om hur detta läkemedel verkar eller varför detta läkemedel har skrivits ut till dig.</w:t>
      </w:r>
    </w:p>
    <w:p w14:paraId="551DEEA9"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7859A807"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228FFE32" w14:textId="77777777" w:rsidR="00AB699C" w:rsidRPr="000E7AE9" w:rsidRDefault="00AB699C" w:rsidP="009E09A2">
      <w:pPr>
        <w:pStyle w:val="Heading4"/>
        <w:widowControl w:val="0"/>
        <w:spacing w:line="240" w:lineRule="auto"/>
        <w:rPr>
          <w:noProof w:val="0"/>
          <w:color w:val="000000"/>
          <w:szCs w:val="22"/>
          <w:lang w:val="sv-SE"/>
        </w:rPr>
      </w:pPr>
      <w:r w:rsidRPr="000E7AE9">
        <w:rPr>
          <w:noProof w:val="0"/>
          <w:color w:val="000000"/>
          <w:szCs w:val="22"/>
          <w:lang w:val="sv-SE"/>
        </w:rPr>
        <w:t>2.</w:t>
      </w:r>
      <w:r w:rsidRPr="000E7AE9">
        <w:rPr>
          <w:noProof w:val="0"/>
          <w:color w:val="000000"/>
          <w:szCs w:val="22"/>
          <w:lang w:val="sv-SE"/>
        </w:rPr>
        <w:tab/>
      </w:r>
      <w:r>
        <w:rPr>
          <w:noProof w:val="0"/>
          <w:color w:val="000000"/>
          <w:szCs w:val="22"/>
          <w:lang w:val="sv-SE"/>
        </w:rPr>
        <w:t>Vad du behöver veta innan du tar Glivec</w:t>
      </w:r>
    </w:p>
    <w:p w14:paraId="09177C24" w14:textId="77777777" w:rsidR="00AB699C" w:rsidRPr="000E7AE9" w:rsidRDefault="00AB699C" w:rsidP="009E09A2">
      <w:pPr>
        <w:keepNext/>
        <w:widowControl w:val="0"/>
        <w:numPr>
          <w:ilvl w:val="12"/>
          <w:numId w:val="0"/>
        </w:numPr>
        <w:tabs>
          <w:tab w:val="clear" w:pos="567"/>
        </w:tabs>
        <w:spacing w:line="240" w:lineRule="auto"/>
        <w:ind w:right="-2"/>
        <w:rPr>
          <w:color w:val="000000"/>
          <w:szCs w:val="22"/>
          <w:lang w:val="sv-SE"/>
        </w:rPr>
      </w:pPr>
    </w:p>
    <w:p w14:paraId="6502187D" w14:textId="77777777" w:rsidR="00AB699C" w:rsidRPr="000E7AE9" w:rsidRDefault="00AB699C" w:rsidP="00463647">
      <w:pPr>
        <w:pStyle w:val="TextChar"/>
        <w:widowControl w:val="0"/>
        <w:spacing w:before="0"/>
        <w:jc w:val="left"/>
        <w:rPr>
          <w:color w:val="000000"/>
          <w:sz w:val="22"/>
          <w:szCs w:val="22"/>
          <w:lang w:val="sv-SE"/>
        </w:rPr>
      </w:pPr>
      <w:r w:rsidRPr="000E7AE9">
        <w:rPr>
          <w:color w:val="000000"/>
          <w:sz w:val="22"/>
          <w:szCs w:val="22"/>
          <w:lang w:val="sv-SE"/>
        </w:rPr>
        <w:t>Glivec kommer bara att ordineras till dig av läkare med medicinsk erfarenhet av att behandla olika typer av blodcancer eller solida tumörer.</w:t>
      </w:r>
    </w:p>
    <w:p w14:paraId="1C726215"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p>
    <w:p w14:paraId="6B297DF8"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r w:rsidRPr="000E7AE9">
        <w:rPr>
          <w:color w:val="000000"/>
          <w:szCs w:val="22"/>
          <w:lang w:val="sv-SE"/>
        </w:rPr>
        <w:t>Följ din läkares alla instruktioner noggrant, även om dessa kan avvika från den allmänna informationen i denna bipacksedel.</w:t>
      </w:r>
    </w:p>
    <w:p w14:paraId="31D271BB"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p>
    <w:p w14:paraId="7161D64B" w14:textId="77777777" w:rsidR="00AB699C" w:rsidRPr="000E7AE9" w:rsidRDefault="00AB699C" w:rsidP="009E09A2">
      <w:pPr>
        <w:keepNext/>
        <w:widowControl w:val="0"/>
        <w:numPr>
          <w:ilvl w:val="12"/>
          <w:numId w:val="0"/>
        </w:numPr>
        <w:tabs>
          <w:tab w:val="clear" w:pos="567"/>
        </w:tabs>
        <w:spacing w:line="240" w:lineRule="auto"/>
        <w:rPr>
          <w:color w:val="000000"/>
          <w:szCs w:val="22"/>
          <w:lang w:val="sv-SE"/>
        </w:rPr>
      </w:pPr>
      <w:r w:rsidRPr="000E7AE9">
        <w:rPr>
          <w:b/>
          <w:color w:val="000000"/>
          <w:szCs w:val="22"/>
          <w:lang w:val="sv-SE"/>
        </w:rPr>
        <w:t>Ta inte Glivec:</w:t>
      </w:r>
    </w:p>
    <w:p w14:paraId="5166E066" w14:textId="77777777" w:rsidR="00AB699C" w:rsidRDefault="00AB699C" w:rsidP="00463647">
      <w:pPr>
        <w:widowControl w:val="0"/>
        <w:numPr>
          <w:ilvl w:val="12"/>
          <w:numId w:val="0"/>
        </w:numPr>
        <w:tabs>
          <w:tab w:val="clear" w:pos="567"/>
        </w:tabs>
        <w:spacing w:line="240" w:lineRule="auto"/>
        <w:ind w:left="567" w:right="-2" w:hanging="567"/>
        <w:rPr>
          <w:color w:val="000000"/>
          <w:szCs w:val="22"/>
          <w:lang w:val="sv-SE"/>
        </w:rPr>
      </w:pPr>
      <w:r w:rsidRPr="000E7AE9">
        <w:rPr>
          <w:color w:val="000000"/>
          <w:szCs w:val="22"/>
          <w:lang w:val="sv-SE"/>
        </w:rPr>
        <w:t>-</w:t>
      </w:r>
      <w:r w:rsidRPr="000E7AE9">
        <w:rPr>
          <w:color w:val="000000"/>
          <w:szCs w:val="22"/>
          <w:lang w:val="sv-SE"/>
        </w:rPr>
        <w:tab/>
        <w:t xml:space="preserve">om du är allergisk mot imatinib eller något </w:t>
      </w:r>
      <w:r>
        <w:rPr>
          <w:color w:val="000000"/>
          <w:szCs w:val="22"/>
          <w:lang w:val="sv-SE"/>
        </w:rPr>
        <w:t>annat</w:t>
      </w:r>
      <w:r w:rsidRPr="000E7AE9">
        <w:rPr>
          <w:color w:val="000000"/>
          <w:szCs w:val="22"/>
          <w:lang w:val="sv-SE"/>
        </w:rPr>
        <w:t xml:space="preserve"> innehållsämne i </w:t>
      </w:r>
      <w:r>
        <w:rPr>
          <w:color w:val="000000"/>
          <w:szCs w:val="22"/>
          <w:lang w:val="sv-SE"/>
        </w:rPr>
        <w:t>detta läkemedel</w:t>
      </w:r>
      <w:r w:rsidRPr="000E7AE9">
        <w:rPr>
          <w:color w:val="000000"/>
          <w:szCs w:val="22"/>
          <w:lang w:val="sv-SE"/>
        </w:rPr>
        <w:t xml:space="preserve"> </w:t>
      </w:r>
      <w:r>
        <w:rPr>
          <w:color w:val="000000"/>
          <w:szCs w:val="22"/>
          <w:lang w:val="sv-SE"/>
        </w:rPr>
        <w:t>(</w:t>
      </w:r>
      <w:r w:rsidRPr="000E7AE9">
        <w:rPr>
          <w:color w:val="000000"/>
          <w:szCs w:val="22"/>
          <w:lang w:val="sv-SE"/>
        </w:rPr>
        <w:t xml:space="preserve">anges </w:t>
      </w:r>
      <w:r>
        <w:rPr>
          <w:color w:val="000000"/>
          <w:szCs w:val="22"/>
          <w:lang w:val="sv-SE"/>
        </w:rPr>
        <w:t xml:space="preserve">i </w:t>
      </w:r>
      <w:r w:rsidRPr="000E7AE9">
        <w:rPr>
          <w:color w:val="000000"/>
          <w:szCs w:val="22"/>
          <w:lang w:val="sv-SE"/>
        </w:rPr>
        <w:t>avsnitt 6</w:t>
      </w:r>
      <w:r>
        <w:rPr>
          <w:color w:val="000000"/>
          <w:szCs w:val="22"/>
          <w:lang w:val="sv-SE"/>
        </w:rPr>
        <w:t>)</w:t>
      </w:r>
      <w:r w:rsidRPr="000E7AE9">
        <w:rPr>
          <w:color w:val="000000"/>
          <w:szCs w:val="22"/>
          <w:lang w:val="sv-SE"/>
        </w:rPr>
        <w:t>.</w:t>
      </w:r>
    </w:p>
    <w:p w14:paraId="72BB8B48" w14:textId="77777777" w:rsidR="00AB699C" w:rsidRDefault="00AB699C" w:rsidP="00463647">
      <w:pPr>
        <w:widowControl w:val="0"/>
        <w:numPr>
          <w:ilvl w:val="12"/>
          <w:numId w:val="0"/>
        </w:numPr>
        <w:tabs>
          <w:tab w:val="clear" w:pos="567"/>
        </w:tabs>
        <w:spacing w:line="240" w:lineRule="auto"/>
        <w:ind w:left="567" w:right="-2" w:hanging="567"/>
        <w:rPr>
          <w:color w:val="000000"/>
          <w:szCs w:val="22"/>
          <w:lang w:val="sv-SE"/>
        </w:rPr>
      </w:pPr>
      <w:r>
        <w:rPr>
          <w:color w:val="000000"/>
          <w:szCs w:val="22"/>
          <w:lang w:val="sv-SE"/>
        </w:rPr>
        <w:t xml:space="preserve">Om detta gäller dig, </w:t>
      </w:r>
      <w:r w:rsidRPr="000145CC">
        <w:rPr>
          <w:b/>
          <w:color w:val="000000"/>
          <w:szCs w:val="22"/>
          <w:lang w:val="sv-SE"/>
        </w:rPr>
        <w:t>ta inte Glivec utan</w:t>
      </w:r>
      <w:r>
        <w:rPr>
          <w:color w:val="000000"/>
          <w:szCs w:val="22"/>
          <w:lang w:val="sv-SE"/>
        </w:rPr>
        <w:t xml:space="preserve"> </w:t>
      </w:r>
      <w:r>
        <w:rPr>
          <w:b/>
          <w:color w:val="000000"/>
          <w:szCs w:val="22"/>
          <w:lang w:val="sv-SE"/>
        </w:rPr>
        <w:t>meddela din läkare</w:t>
      </w:r>
      <w:r w:rsidRPr="002D0995">
        <w:rPr>
          <w:b/>
          <w:color w:val="000000"/>
          <w:szCs w:val="22"/>
          <w:lang w:val="sv-SE"/>
        </w:rPr>
        <w:t>.</w:t>
      </w:r>
    </w:p>
    <w:p w14:paraId="1FDB4E62" w14:textId="77777777" w:rsidR="00AB699C" w:rsidRDefault="00AB699C" w:rsidP="00463647">
      <w:pPr>
        <w:widowControl w:val="0"/>
        <w:numPr>
          <w:ilvl w:val="12"/>
          <w:numId w:val="0"/>
        </w:numPr>
        <w:tabs>
          <w:tab w:val="clear" w:pos="567"/>
        </w:tabs>
        <w:spacing w:line="240" w:lineRule="auto"/>
        <w:ind w:left="567" w:right="-2" w:hanging="567"/>
        <w:rPr>
          <w:color w:val="000000"/>
          <w:szCs w:val="22"/>
          <w:lang w:val="sv-SE"/>
        </w:rPr>
      </w:pPr>
    </w:p>
    <w:p w14:paraId="3B5AB794" w14:textId="77777777" w:rsidR="00AB699C" w:rsidRPr="000E7AE9" w:rsidRDefault="00AB699C" w:rsidP="00463647">
      <w:pPr>
        <w:widowControl w:val="0"/>
        <w:numPr>
          <w:ilvl w:val="12"/>
          <w:numId w:val="0"/>
        </w:numPr>
        <w:tabs>
          <w:tab w:val="clear" w:pos="567"/>
        </w:tabs>
        <w:spacing w:line="240" w:lineRule="auto"/>
        <w:ind w:left="567" w:right="-2" w:hanging="567"/>
        <w:rPr>
          <w:color w:val="000000"/>
          <w:szCs w:val="22"/>
          <w:lang w:val="sv-SE"/>
        </w:rPr>
      </w:pPr>
      <w:r w:rsidRPr="000E7AE9">
        <w:rPr>
          <w:color w:val="000000"/>
          <w:szCs w:val="22"/>
          <w:lang w:val="sv-SE"/>
        </w:rPr>
        <w:t>Om du tror att du kan vara allergisk</w:t>
      </w:r>
      <w:r>
        <w:rPr>
          <w:color w:val="000000"/>
          <w:szCs w:val="22"/>
          <w:lang w:val="sv-SE"/>
        </w:rPr>
        <w:t xml:space="preserve"> men inte är säker</w:t>
      </w:r>
      <w:r w:rsidRPr="000E7AE9">
        <w:rPr>
          <w:color w:val="000000"/>
          <w:szCs w:val="22"/>
          <w:lang w:val="sv-SE"/>
        </w:rPr>
        <w:t>, fråga din läkare ytterligare om råd.</w:t>
      </w:r>
    </w:p>
    <w:p w14:paraId="22418887"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p>
    <w:p w14:paraId="471F5BC3" w14:textId="77777777" w:rsidR="00AB699C" w:rsidRDefault="00AB699C" w:rsidP="009E09A2">
      <w:pPr>
        <w:keepNext/>
        <w:widowControl w:val="0"/>
        <w:numPr>
          <w:ilvl w:val="12"/>
          <w:numId w:val="0"/>
        </w:numPr>
        <w:tabs>
          <w:tab w:val="clear" w:pos="567"/>
        </w:tabs>
        <w:spacing w:line="240" w:lineRule="auto"/>
        <w:ind w:right="-2"/>
        <w:rPr>
          <w:b/>
          <w:color w:val="000000"/>
          <w:szCs w:val="22"/>
          <w:lang w:val="sv-SE"/>
        </w:rPr>
      </w:pPr>
      <w:r>
        <w:rPr>
          <w:b/>
          <w:color w:val="000000"/>
          <w:szCs w:val="22"/>
          <w:lang w:val="sv-SE"/>
        </w:rPr>
        <w:t>Varningar och försiktighet</w:t>
      </w:r>
    </w:p>
    <w:p w14:paraId="191034F0" w14:textId="77777777" w:rsidR="00AB699C" w:rsidRPr="000354E6" w:rsidRDefault="00AB699C" w:rsidP="009E09A2">
      <w:pPr>
        <w:keepNext/>
        <w:widowControl w:val="0"/>
        <w:numPr>
          <w:ilvl w:val="12"/>
          <w:numId w:val="0"/>
        </w:numPr>
        <w:tabs>
          <w:tab w:val="clear" w:pos="567"/>
        </w:tabs>
        <w:spacing w:line="240" w:lineRule="auto"/>
        <w:ind w:right="-2"/>
        <w:rPr>
          <w:color w:val="000000"/>
          <w:szCs w:val="22"/>
          <w:lang w:val="sv-SE"/>
        </w:rPr>
      </w:pPr>
      <w:r>
        <w:rPr>
          <w:color w:val="000000"/>
          <w:szCs w:val="22"/>
          <w:lang w:val="sv-SE"/>
        </w:rPr>
        <w:t>Tala med läkare innan du tar Glivec:</w:t>
      </w:r>
    </w:p>
    <w:p w14:paraId="1DCBA0A6" w14:textId="77777777" w:rsidR="00AB699C" w:rsidRPr="000E7AE9" w:rsidRDefault="00AB699C" w:rsidP="00463647">
      <w:pPr>
        <w:widowControl w:val="0"/>
        <w:numPr>
          <w:ilvl w:val="12"/>
          <w:numId w:val="0"/>
        </w:numPr>
        <w:tabs>
          <w:tab w:val="clear" w:pos="567"/>
        </w:tabs>
        <w:spacing w:line="240" w:lineRule="auto"/>
        <w:rPr>
          <w:color w:val="000000"/>
          <w:szCs w:val="22"/>
          <w:lang w:val="sv-SE"/>
        </w:rPr>
      </w:pPr>
      <w:r w:rsidRPr="000E7AE9">
        <w:rPr>
          <w:color w:val="000000"/>
          <w:szCs w:val="22"/>
          <w:lang w:val="sv-SE"/>
        </w:rPr>
        <w:t>-</w:t>
      </w:r>
      <w:r w:rsidRPr="000E7AE9">
        <w:rPr>
          <w:color w:val="000000"/>
          <w:szCs w:val="22"/>
          <w:lang w:val="sv-SE"/>
        </w:rPr>
        <w:tab/>
        <w:t xml:space="preserve">om du har </w:t>
      </w:r>
      <w:r>
        <w:rPr>
          <w:color w:val="000000"/>
          <w:szCs w:val="22"/>
          <w:lang w:val="sv-SE"/>
        </w:rPr>
        <w:t xml:space="preserve">eller har haft </w:t>
      </w:r>
      <w:r w:rsidRPr="000E7AE9">
        <w:rPr>
          <w:color w:val="000000"/>
          <w:szCs w:val="22"/>
          <w:lang w:val="sv-SE"/>
        </w:rPr>
        <w:t>en lever-, njur- eller hjärtsjukdom</w:t>
      </w:r>
      <w:r>
        <w:rPr>
          <w:color w:val="000000"/>
          <w:szCs w:val="22"/>
          <w:lang w:val="sv-SE"/>
        </w:rPr>
        <w:t>.</w:t>
      </w:r>
    </w:p>
    <w:p w14:paraId="27DEC265" w14:textId="77777777" w:rsidR="00AB699C" w:rsidRDefault="00AB699C" w:rsidP="00463647">
      <w:pPr>
        <w:widowControl w:val="0"/>
        <w:tabs>
          <w:tab w:val="clear" w:pos="567"/>
        </w:tabs>
        <w:spacing w:line="240" w:lineRule="auto"/>
        <w:rPr>
          <w:color w:val="000000"/>
          <w:szCs w:val="22"/>
          <w:lang w:val="sv-SE"/>
        </w:rPr>
      </w:pPr>
      <w:r w:rsidRPr="000E7AE9">
        <w:rPr>
          <w:color w:val="000000"/>
          <w:szCs w:val="22"/>
          <w:lang w:val="sv-SE"/>
        </w:rPr>
        <w:t>-</w:t>
      </w:r>
      <w:r w:rsidRPr="000E7AE9">
        <w:rPr>
          <w:color w:val="000000"/>
          <w:szCs w:val="22"/>
          <w:lang w:val="sv-SE"/>
        </w:rPr>
        <w:tab/>
        <w:t xml:space="preserve">om du </w:t>
      </w:r>
      <w:r>
        <w:rPr>
          <w:color w:val="000000"/>
          <w:szCs w:val="22"/>
          <w:lang w:val="sv-SE"/>
        </w:rPr>
        <w:t xml:space="preserve">tar läkemedlet </w:t>
      </w:r>
      <w:r w:rsidRPr="000E7AE9">
        <w:rPr>
          <w:color w:val="000000"/>
          <w:szCs w:val="22"/>
          <w:lang w:val="sv-SE"/>
        </w:rPr>
        <w:t>levotyroxin pga. att din sköldkörtel har tagits bort.</w:t>
      </w:r>
    </w:p>
    <w:p w14:paraId="27D4581D" w14:textId="77777777" w:rsidR="00AE1541" w:rsidRDefault="00AE1541" w:rsidP="00463647">
      <w:pPr>
        <w:widowControl w:val="0"/>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t>om du</w:t>
      </w:r>
      <w:r>
        <w:rPr>
          <w:color w:val="000000"/>
          <w:szCs w:val="22"/>
          <w:lang w:val="sv-SE"/>
        </w:rPr>
        <w:t xml:space="preserve"> någonsin haft eller nu kan ha en hepatit B-infektion. Skälet till detta är att Glivec kan orsaka att din hepatit B blir aktiv igen, vilket i vissa fall kan vara dödligt. Patienter kommer att kontrolleras noggrant av sin läkare avseende tecken på denna infektion innan behandlingen påbörjas.</w:t>
      </w:r>
    </w:p>
    <w:p w14:paraId="18450596" w14:textId="77777777" w:rsidR="00F72B98" w:rsidRPr="000E7AE9" w:rsidRDefault="00F72B98" w:rsidP="00463647">
      <w:pPr>
        <w:widowControl w:val="0"/>
        <w:tabs>
          <w:tab w:val="clear" w:pos="567"/>
        </w:tabs>
        <w:spacing w:line="240" w:lineRule="auto"/>
        <w:ind w:left="567" w:hanging="567"/>
        <w:rPr>
          <w:color w:val="000000"/>
          <w:szCs w:val="22"/>
          <w:lang w:val="sv-SE"/>
        </w:rPr>
      </w:pPr>
      <w:r w:rsidRPr="00274174">
        <w:rPr>
          <w:color w:val="000000"/>
          <w:spacing w:val="-2"/>
          <w:lang w:val="sv-SE"/>
        </w:rPr>
        <w:t>-</w:t>
      </w:r>
      <w:r w:rsidRPr="00274174">
        <w:rPr>
          <w:color w:val="000000"/>
          <w:spacing w:val="-2"/>
          <w:lang w:val="sv-SE"/>
        </w:rPr>
        <w:tab/>
      </w:r>
      <w:r w:rsidR="0058576A">
        <w:rPr>
          <w:color w:val="000000"/>
          <w:szCs w:val="22"/>
          <w:lang w:val="sv-SE"/>
        </w:rPr>
        <w:t xml:space="preserve">om du får blåmärken, blödningar, feber, </w:t>
      </w:r>
      <w:r w:rsidRPr="00274174">
        <w:rPr>
          <w:color w:val="000000"/>
          <w:spacing w:val="-2"/>
          <w:lang w:val="sv-SE"/>
        </w:rPr>
        <w:t xml:space="preserve">blir mycket trött och förvirrad när du tar Glivec, kontakta din läkare. </w:t>
      </w:r>
      <w:r>
        <w:rPr>
          <w:color w:val="000000"/>
          <w:spacing w:val="-2"/>
          <w:lang w:val="sv-SE"/>
        </w:rPr>
        <w:t>Detta kan vara tecken på en skada på blodkärlen som kallas trombotisk mikroangiopati (TMA).</w:t>
      </w:r>
    </w:p>
    <w:p w14:paraId="2AF4160C" w14:textId="77777777" w:rsidR="00AB699C" w:rsidRPr="000E7AE9" w:rsidRDefault="00AB699C" w:rsidP="00463647">
      <w:pPr>
        <w:pStyle w:val="TextChar"/>
        <w:widowControl w:val="0"/>
        <w:spacing w:before="0"/>
        <w:jc w:val="left"/>
        <w:rPr>
          <w:b/>
          <w:color w:val="000000"/>
          <w:sz w:val="22"/>
          <w:szCs w:val="22"/>
          <w:lang w:val="sv-SE"/>
        </w:rPr>
      </w:pPr>
      <w:r w:rsidRPr="000E7AE9">
        <w:rPr>
          <w:color w:val="000000"/>
          <w:sz w:val="22"/>
          <w:szCs w:val="22"/>
          <w:lang w:val="sv-SE"/>
        </w:rPr>
        <w:t xml:space="preserve">Om något av detta stämmer in på dig, </w:t>
      </w:r>
      <w:r w:rsidRPr="000E7AE9">
        <w:rPr>
          <w:b/>
          <w:color w:val="000000"/>
          <w:sz w:val="22"/>
          <w:szCs w:val="22"/>
          <w:lang w:val="sv-SE"/>
        </w:rPr>
        <w:t>tala om det för din läkare innan du tar Glivec.</w:t>
      </w:r>
    </w:p>
    <w:p w14:paraId="70FE99EE" w14:textId="77777777" w:rsidR="00AB699C" w:rsidRDefault="00AB699C" w:rsidP="00463647">
      <w:pPr>
        <w:widowControl w:val="0"/>
        <w:tabs>
          <w:tab w:val="clear" w:pos="567"/>
        </w:tabs>
        <w:spacing w:line="240" w:lineRule="auto"/>
        <w:rPr>
          <w:color w:val="000000"/>
          <w:szCs w:val="22"/>
          <w:lang w:val="sv-SE"/>
        </w:rPr>
      </w:pPr>
    </w:p>
    <w:p w14:paraId="72643BEA" w14:textId="77777777" w:rsidR="00965E7B" w:rsidRPr="005362C4" w:rsidRDefault="00965E7B" w:rsidP="00463647">
      <w:pPr>
        <w:pStyle w:val="TextChar"/>
        <w:widowControl w:val="0"/>
        <w:spacing w:before="0"/>
        <w:jc w:val="left"/>
        <w:rPr>
          <w:color w:val="000000"/>
          <w:sz w:val="22"/>
          <w:szCs w:val="22"/>
          <w:lang w:val="sv-SE"/>
        </w:rPr>
      </w:pPr>
      <w:r w:rsidRPr="005362C4">
        <w:rPr>
          <w:color w:val="000000"/>
          <w:sz w:val="22"/>
          <w:szCs w:val="22"/>
          <w:lang w:val="sv-SE"/>
        </w:rPr>
        <w:t xml:space="preserve">Du kan bli mer känslig för solen medan du tar Glivec. Det är viktigt att täcka </w:t>
      </w:r>
      <w:r>
        <w:rPr>
          <w:color w:val="000000"/>
          <w:sz w:val="22"/>
          <w:szCs w:val="22"/>
          <w:lang w:val="sv-SE"/>
        </w:rPr>
        <w:t xml:space="preserve">utsatta delar av huden och </w:t>
      </w:r>
      <w:r w:rsidRPr="005362C4">
        <w:rPr>
          <w:color w:val="000000"/>
          <w:sz w:val="22"/>
          <w:szCs w:val="22"/>
          <w:lang w:val="sv-SE"/>
        </w:rPr>
        <w:t>använd</w:t>
      </w:r>
      <w:r>
        <w:rPr>
          <w:color w:val="000000"/>
          <w:sz w:val="22"/>
          <w:szCs w:val="22"/>
          <w:lang w:val="sv-SE"/>
        </w:rPr>
        <w:t>a</w:t>
      </w:r>
      <w:r w:rsidRPr="005362C4">
        <w:rPr>
          <w:color w:val="000000"/>
          <w:sz w:val="22"/>
          <w:szCs w:val="22"/>
          <w:lang w:val="sv-SE"/>
        </w:rPr>
        <w:t xml:space="preserve"> solskyddsmedel med hög solskyddsfaktor (SPF). Dessa försiktighetsåtgärder gäller även barn.</w:t>
      </w:r>
    </w:p>
    <w:p w14:paraId="0A5B74F9" w14:textId="77777777" w:rsidR="00965E7B" w:rsidRPr="000E7AE9" w:rsidRDefault="00965E7B" w:rsidP="00463647">
      <w:pPr>
        <w:widowControl w:val="0"/>
        <w:tabs>
          <w:tab w:val="clear" w:pos="567"/>
        </w:tabs>
        <w:spacing w:line="240" w:lineRule="auto"/>
        <w:rPr>
          <w:color w:val="000000"/>
          <w:szCs w:val="22"/>
          <w:lang w:val="sv-SE"/>
        </w:rPr>
      </w:pPr>
    </w:p>
    <w:p w14:paraId="71A33CC3" w14:textId="77777777" w:rsidR="00AB699C" w:rsidRPr="000E7AE9" w:rsidRDefault="00AB699C" w:rsidP="00463647">
      <w:pPr>
        <w:widowControl w:val="0"/>
        <w:tabs>
          <w:tab w:val="clear" w:pos="567"/>
        </w:tabs>
        <w:spacing w:line="240" w:lineRule="auto"/>
        <w:rPr>
          <w:color w:val="000000"/>
          <w:szCs w:val="22"/>
          <w:lang w:val="sv-SE"/>
        </w:rPr>
      </w:pPr>
      <w:r w:rsidRPr="000354E6">
        <w:rPr>
          <w:b/>
          <w:color w:val="000000"/>
          <w:szCs w:val="22"/>
          <w:lang w:val="sv-SE"/>
        </w:rPr>
        <w:t>Vid</w:t>
      </w:r>
      <w:r>
        <w:rPr>
          <w:b/>
          <w:color w:val="000000"/>
          <w:szCs w:val="22"/>
          <w:lang w:val="sv-SE"/>
        </w:rPr>
        <w:t xml:space="preserve"> behandling med Glivec meddela</w:t>
      </w:r>
      <w:r w:rsidRPr="000354E6">
        <w:rPr>
          <w:b/>
          <w:color w:val="000000"/>
          <w:szCs w:val="22"/>
          <w:lang w:val="sv-SE"/>
        </w:rPr>
        <w:t xml:space="preserve"> din läkare omedelbart</w:t>
      </w:r>
      <w:r>
        <w:rPr>
          <w:color w:val="000000"/>
          <w:szCs w:val="22"/>
          <w:lang w:val="sv-SE"/>
        </w:rPr>
        <w:t xml:space="preserve"> </w:t>
      </w:r>
      <w:r w:rsidRPr="000E7AE9">
        <w:rPr>
          <w:color w:val="000000"/>
          <w:szCs w:val="22"/>
          <w:lang w:val="sv-SE"/>
        </w:rPr>
        <w:t>om du snabbt ökar i vikt.</w:t>
      </w:r>
      <w:r>
        <w:rPr>
          <w:color w:val="000000"/>
          <w:szCs w:val="22"/>
          <w:lang w:val="sv-SE"/>
        </w:rPr>
        <w:t xml:space="preserve"> Glivec kan göra att din kropp binder vätska (kraftig vätskeretention).</w:t>
      </w:r>
    </w:p>
    <w:p w14:paraId="1E5EE98C" w14:textId="77777777" w:rsidR="00AB699C" w:rsidRPr="000E7AE9" w:rsidRDefault="00AB699C" w:rsidP="00463647">
      <w:pPr>
        <w:widowControl w:val="0"/>
        <w:tabs>
          <w:tab w:val="clear" w:pos="567"/>
        </w:tabs>
        <w:spacing w:line="240" w:lineRule="auto"/>
        <w:rPr>
          <w:color w:val="000000"/>
          <w:szCs w:val="22"/>
          <w:lang w:val="sv-SE"/>
        </w:rPr>
      </w:pPr>
    </w:p>
    <w:p w14:paraId="3A325822" w14:textId="77777777" w:rsidR="00AB699C" w:rsidRPr="000E7AE9" w:rsidRDefault="00AB699C" w:rsidP="00463647">
      <w:pPr>
        <w:widowControl w:val="0"/>
        <w:tabs>
          <w:tab w:val="clear" w:pos="567"/>
        </w:tabs>
        <w:spacing w:line="240" w:lineRule="auto"/>
        <w:rPr>
          <w:color w:val="000000"/>
          <w:szCs w:val="22"/>
          <w:lang w:val="sv-SE"/>
        </w:rPr>
      </w:pPr>
      <w:r>
        <w:rPr>
          <w:color w:val="000000"/>
          <w:szCs w:val="22"/>
          <w:lang w:val="sv-SE"/>
        </w:rPr>
        <w:t xml:space="preserve">När du tar Glivec </w:t>
      </w:r>
      <w:r w:rsidRPr="000E7AE9">
        <w:rPr>
          <w:color w:val="000000"/>
          <w:szCs w:val="22"/>
          <w:lang w:val="sv-SE"/>
        </w:rPr>
        <w:t xml:space="preserve">kommer din läkare </w:t>
      </w:r>
      <w:r>
        <w:rPr>
          <w:color w:val="000000"/>
          <w:szCs w:val="22"/>
          <w:lang w:val="sv-SE"/>
        </w:rPr>
        <w:t>regelbundet kontrollera om läkemedlet fungerar.</w:t>
      </w:r>
      <w:r w:rsidRPr="000E7AE9">
        <w:rPr>
          <w:color w:val="000000"/>
          <w:szCs w:val="22"/>
          <w:lang w:val="sv-SE"/>
        </w:rPr>
        <w:t xml:space="preserve"> Du kommer också att lämna blodprover och vägas regelbundet</w:t>
      </w:r>
      <w:r>
        <w:rPr>
          <w:color w:val="000000"/>
          <w:szCs w:val="22"/>
          <w:lang w:val="sv-SE"/>
        </w:rPr>
        <w:t>.</w:t>
      </w:r>
    </w:p>
    <w:p w14:paraId="386BD3A3"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1BA2F267" w14:textId="77777777" w:rsidR="00AB699C" w:rsidRPr="00471521" w:rsidRDefault="00AB699C" w:rsidP="009E09A2">
      <w:pPr>
        <w:pStyle w:val="EndnoteText"/>
        <w:keepNext/>
        <w:widowControl w:val="0"/>
        <w:numPr>
          <w:ilvl w:val="12"/>
          <w:numId w:val="0"/>
        </w:numPr>
        <w:tabs>
          <w:tab w:val="clear" w:pos="567"/>
        </w:tabs>
        <w:rPr>
          <w:b/>
          <w:color w:val="000000"/>
          <w:szCs w:val="22"/>
          <w:lang w:val="sv-SE"/>
        </w:rPr>
      </w:pPr>
      <w:r w:rsidRPr="00471521">
        <w:rPr>
          <w:b/>
          <w:color w:val="000000"/>
          <w:szCs w:val="22"/>
          <w:lang w:val="sv-SE"/>
        </w:rPr>
        <w:t xml:space="preserve">Barn och </w:t>
      </w:r>
      <w:r w:rsidR="006460C9">
        <w:rPr>
          <w:b/>
          <w:color w:val="000000"/>
          <w:szCs w:val="22"/>
          <w:lang w:val="sv-SE"/>
        </w:rPr>
        <w:t>ungdomar</w:t>
      </w:r>
    </w:p>
    <w:p w14:paraId="553A1942" w14:textId="77777777" w:rsidR="00EA70F8" w:rsidRDefault="00AB699C" w:rsidP="00463647">
      <w:pPr>
        <w:pStyle w:val="EndnoteText"/>
        <w:widowControl w:val="0"/>
        <w:numPr>
          <w:ilvl w:val="12"/>
          <w:numId w:val="0"/>
        </w:numPr>
        <w:tabs>
          <w:tab w:val="clear" w:pos="567"/>
        </w:tabs>
        <w:rPr>
          <w:color w:val="000000"/>
          <w:szCs w:val="22"/>
          <w:lang w:val="sv-SE"/>
        </w:rPr>
      </w:pPr>
      <w:r w:rsidRPr="000E7AE9">
        <w:rPr>
          <w:color w:val="000000"/>
          <w:szCs w:val="22"/>
          <w:lang w:val="sv-SE"/>
        </w:rPr>
        <w:t xml:space="preserve">Glivec är </w:t>
      </w:r>
      <w:r>
        <w:rPr>
          <w:color w:val="000000"/>
          <w:szCs w:val="22"/>
          <w:lang w:val="sv-SE"/>
        </w:rPr>
        <w:t xml:space="preserve">även </w:t>
      </w:r>
      <w:r w:rsidRPr="000E7AE9">
        <w:rPr>
          <w:color w:val="000000"/>
          <w:szCs w:val="22"/>
          <w:lang w:val="sv-SE"/>
        </w:rPr>
        <w:t>en behandling för barn med KML. Det finns ingen erfarenhet från barn med KML under 2 år. Det finns begränsad erfarenhet från barn med Ph-positiv</w:t>
      </w:r>
      <w:r w:rsidRPr="000E7AE9" w:rsidDel="00166157">
        <w:rPr>
          <w:color w:val="000000"/>
          <w:szCs w:val="22"/>
          <w:lang w:val="sv-SE"/>
        </w:rPr>
        <w:t xml:space="preserve"> </w:t>
      </w:r>
      <w:r w:rsidRPr="000E7AE9">
        <w:rPr>
          <w:color w:val="000000"/>
          <w:szCs w:val="22"/>
          <w:lang w:val="sv-SE"/>
        </w:rPr>
        <w:t>ALL</w:t>
      </w:r>
      <w:r w:rsidR="00D337EC">
        <w:rPr>
          <w:color w:val="000000"/>
          <w:szCs w:val="22"/>
          <w:lang w:val="sv-SE"/>
        </w:rPr>
        <w:t xml:space="preserve"> och mycket begränsad erfarenhet från barn med MDS/MPD, DFSP, GIST och HES/CEL</w:t>
      </w:r>
      <w:r w:rsidRPr="000E7AE9">
        <w:rPr>
          <w:color w:val="000000"/>
          <w:szCs w:val="22"/>
          <w:lang w:val="sv-SE"/>
        </w:rPr>
        <w:t>.</w:t>
      </w:r>
    </w:p>
    <w:p w14:paraId="30E7C987" w14:textId="77777777" w:rsidR="00AB699C" w:rsidRDefault="00AB699C" w:rsidP="00463647">
      <w:pPr>
        <w:pStyle w:val="EndnoteText"/>
        <w:widowControl w:val="0"/>
        <w:numPr>
          <w:ilvl w:val="12"/>
          <w:numId w:val="0"/>
        </w:numPr>
        <w:tabs>
          <w:tab w:val="clear" w:pos="567"/>
        </w:tabs>
        <w:rPr>
          <w:color w:val="000000"/>
          <w:szCs w:val="22"/>
          <w:lang w:val="sv-SE"/>
        </w:rPr>
      </w:pPr>
    </w:p>
    <w:p w14:paraId="472AFDA2" w14:textId="77777777" w:rsidR="00AB699C" w:rsidRPr="007C7ADA" w:rsidRDefault="00AB699C" w:rsidP="00463647">
      <w:pPr>
        <w:pStyle w:val="EndnoteText"/>
        <w:widowControl w:val="0"/>
        <w:numPr>
          <w:ilvl w:val="12"/>
          <w:numId w:val="0"/>
        </w:numPr>
        <w:tabs>
          <w:tab w:val="clear" w:pos="567"/>
        </w:tabs>
        <w:rPr>
          <w:color w:val="000000"/>
          <w:szCs w:val="22"/>
          <w:lang w:val="sv-SE"/>
        </w:rPr>
      </w:pPr>
      <w:r w:rsidRPr="00CE607D">
        <w:rPr>
          <w:color w:val="000000"/>
          <w:szCs w:val="22"/>
          <w:lang w:val="sv-SE"/>
        </w:rPr>
        <w:t xml:space="preserve">En del barn och ungdomar som tar Glivec kan växa långsammare än normalt. </w:t>
      </w:r>
      <w:r w:rsidRPr="007C7ADA">
        <w:rPr>
          <w:color w:val="000000"/>
          <w:szCs w:val="22"/>
          <w:lang w:val="sv-SE"/>
        </w:rPr>
        <w:t>Läkaren kommer regelbundet att kontrollera din tillväxt.</w:t>
      </w:r>
    </w:p>
    <w:p w14:paraId="57511587"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5CB3C88A" w14:textId="77777777" w:rsidR="00AB699C" w:rsidRPr="000E7AE9" w:rsidRDefault="00AB699C" w:rsidP="009E09A2">
      <w:pPr>
        <w:keepNext/>
        <w:widowControl w:val="0"/>
        <w:numPr>
          <w:ilvl w:val="12"/>
          <w:numId w:val="0"/>
        </w:numPr>
        <w:tabs>
          <w:tab w:val="clear" w:pos="567"/>
        </w:tabs>
        <w:spacing w:line="240" w:lineRule="auto"/>
        <w:ind w:right="-2"/>
        <w:rPr>
          <w:color w:val="000000"/>
          <w:szCs w:val="22"/>
          <w:lang w:val="sv-SE"/>
        </w:rPr>
      </w:pPr>
      <w:r>
        <w:rPr>
          <w:b/>
          <w:color w:val="000000"/>
          <w:szCs w:val="22"/>
          <w:lang w:val="sv-SE"/>
        </w:rPr>
        <w:t>A</w:t>
      </w:r>
      <w:r w:rsidRPr="000E7AE9">
        <w:rPr>
          <w:b/>
          <w:color w:val="000000"/>
          <w:szCs w:val="22"/>
          <w:lang w:val="sv-SE"/>
        </w:rPr>
        <w:t>ndra läkemedel</w:t>
      </w:r>
      <w:r>
        <w:rPr>
          <w:b/>
          <w:color w:val="000000"/>
          <w:szCs w:val="22"/>
          <w:lang w:val="sv-SE"/>
        </w:rPr>
        <w:t xml:space="preserve"> och Glivec</w:t>
      </w:r>
    </w:p>
    <w:p w14:paraId="78213091" w14:textId="7AE3618E" w:rsidR="00AB699C" w:rsidRPr="000E7AE9" w:rsidRDefault="00AB699C" w:rsidP="00463647">
      <w:pPr>
        <w:pStyle w:val="EndnoteText"/>
        <w:widowControl w:val="0"/>
        <w:numPr>
          <w:ilvl w:val="12"/>
          <w:numId w:val="0"/>
        </w:numPr>
        <w:tabs>
          <w:tab w:val="clear" w:pos="567"/>
        </w:tabs>
        <w:rPr>
          <w:noProof/>
          <w:color w:val="000000"/>
          <w:szCs w:val="22"/>
          <w:lang w:val="sv-SE"/>
        </w:rPr>
      </w:pPr>
      <w:r w:rsidRPr="000E7AE9">
        <w:rPr>
          <w:noProof/>
          <w:color w:val="000000"/>
          <w:szCs w:val="22"/>
          <w:lang w:val="sv-SE"/>
        </w:rPr>
        <w:t>Tala om för läkare eller apotekspersonal om du tar</w:t>
      </w:r>
      <w:r>
        <w:rPr>
          <w:noProof/>
          <w:color w:val="000000"/>
          <w:szCs w:val="22"/>
          <w:lang w:val="sv-SE"/>
        </w:rPr>
        <w:t>,</w:t>
      </w:r>
      <w:r w:rsidRPr="000E7AE9">
        <w:rPr>
          <w:noProof/>
          <w:color w:val="000000"/>
          <w:szCs w:val="22"/>
          <w:lang w:val="sv-SE"/>
        </w:rPr>
        <w:t xml:space="preserve"> nyligen har tagit</w:t>
      </w:r>
      <w:r>
        <w:rPr>
          <w:noProof/>
          <w:color w:val="000000"/>
          <w:szCs w:val="22"/>
          <w:lang w:val="sv-SE"/>
        </w:rPr>
        <w:t xml:space="preserve"> eller kan tänkas ta</w:t>
      </w:r>
      <w:r w:rsidRPr="000E7AE9">
        <w:rPr>
          <w:noProof/>
          <w:color w:val="000000"/>
          <w:szCs w:val="22"/>
          <w:lang w:val="sv-SE"/>
        </w:rPr>
        <w:t xml:space="preserve"> andra </w:t>
      </w:r>
      <w:r w:rsidRPr="000E7AE9">
        <w:rPr>
          <w:noProof/>
          <w:color w:val="000000"/>
          <w:szCs w:val="22"/>
          <w:lang w:val="sv-SE"/>
        </w:rPr>
        <w:lastRenderedPageBreak/>
        <w:t xml:space="preserve">läkemedel, även receptfria sådana (t.ex. paracetamol) och även växtbaserade läkemedel (t.ex. johannesört). Vissa läkemedel kan ha inverkan på Glivecs effekt när de tages tillsammans. De kan öka eller minska effekten hos Glivec och antingen leda till mer biverkningar eller till att göra Glivec </w:t>
      </w:r>
      <w:r>
        <w:rPr>
          <w:noProof/>
          <w:color w:val="000000"/>
          <w:szCs w:val="22"/>
          <w:lang w:val="sv-SE"/>
        </w:rPr>
        <w:t xml:space="preserve">mindre </w:t>
      </w:r>
      <w:r w:rsidRPr="000E7AE9">
        <w:rPr>
          <w:noProof/>
          <w:color w:val="000000"/>
          <w:szCs w:val="22"/>
          <w:lang w:val="sv-SE"/>
        </w:rPr>
        <w:t>effektivt. Glivec kan göra samma sak mot vissa andra läkemedel.</w:t>
      </w:r>
    </w:p>
    <w:p w14:paraId="2C513419" w14:textId="77777777" w:rsidR="00AB699C" w:rsidRDefault="00AB699C" w:rsidP="00463647">
      <w:pPr>
        <w:pStyle w:val="EndnoteText"/>
        <w:widowControl w:val="0"/>
        <w:numPr>
          <w:ilvl w:val="12"/>
          <w:numId w:val="0"/>
        </w:numPr>
        <w:tabs>
          <w:tab w:val="clear" w:pos="567"/>
        </w:tabs>
        <w:rPr>
          <w:color w:val="000000"/>
          <w:szCs w:val="22"/>
          <w:lang w:val="sv-SE"/>
        </w:rPr>
      </w:pPr>
    </w:p>
    <w:p w14:paraId="42485BA7" w14:textId="77777777" w:rsidR="005856F0" w:rsidRDefault="005856F0" w:rsidP="00463647">
      <w:pPr>
        <w:pStyle w:val="EndnoteText"/>
        <w:widowControl w:val="0"/>
        <w:numPr>
          <w:ilvl w:val="12"/>
          <w:numId w:val="0"/>
        </w:numPr>
        <w:tabs>
          <w:tab w:val="clear" w:pos="567"/>
        </w:tabs>
        <w:rPr>
          <w:color w:val="000000"/>
          <w:szCs w:val="22"/>
          <w:lang w:val="sv-SE"/>
        </w:rPr>
      </w:pPr>
      <w:r>
        <w:rPr>
          <w:color w:val="000000"/>
          <w:szCs w:val="22"/>
          <w:lang w:val="sv-SE"/>
        </w:rPr>
        <w:t xml:space="preserve">Tala om för läkare om du använder läkemedel som förhindrar bildningen av </w:t>
      </w:r>
      <w:r w:rsidRPr="0003204B">
        <w:rPr>
          <w:color w:val="000000"/>
          <w:szCs w:val="22"/>
          <w:lang w:val="sv-SE"/>
        </w:rPr>
        <w:t>blod</w:t>
      </w:r>
      <w:r>
        <w:rPr>
          <w:color w:val="000000"/>
          <w:szCs w:val="22"/>
          <w:lang w:val="sv-SE"/>
        </w:rPr>
        <w:t>proppar.</w:t>
      </w:r>
    </w:p>
    <w:p w14:paraId="6CF0F4D3" w14:textId="77777777" w:rsidR="005856F0" w:rsidRPr="000E7AE9" w:rsidRDefault="005856F0" w:rsidP="00463647">
      <w:pPr>
        <w:pStyle w:val="EndnoteText"/>
        <w:widowControl w:val="0"/>
        <w:numPr>
          <w:ilvl w:val="12"/>
          <w:numId w:val="0"/>
        </w:numPr>
        <w:tabs>
          <w:tab w:val="clear" w:pos="567"/>
        </w:tabs>
        <w:rPr>
          <w:color w:val="000000"/>
          <w:szCs w:val="22"/>
          <w:lang w:val="sv-SE"/>
        </w:rPr>
      </w:pPr>
    </w:p>
    <w:p w14:paraId="72ED36B7" w14:textId="77777777" w:rsidR="00AB699C" w:rsidRPr="000E7AE9" w:rsidRDefault="00AB699C" w:rsidP="009E09A2">
      <w:pPr>
        <w:pStyle w:val="EndnoteText"/>
        <w:keepNext/>
        <w:widowControl w:val="0"/>
        <w:numPr>
          <w:ilvl w:val="12"/>
          <w:numId w:val="0"/>
        </w:numPr>
        <w:tabs>
          <w:tab w:val="clear" w:pos="567"/>
        </w:tabs>
        <w:rPr>
          <w:b/>
          <w:color w:val="000000"/>
          <w:szCs w:val="22"/>
          <w:lang w:val="sv-SE"/>
        </w:rPr>
      </w:pPr>
      <w:r w:rsidRPr="000E7AE9">
        <w:rPr>
          <w:b/>
          <w:color w:val="000000"/>
          <w:szCs w:val="22"/>
          <w:lang w:val="sv-SE"/>
        </w:rPr>
        <w:t>Graviditet</w:t>
      </w:r>
      <w:r>
        <w:rPr>
          <w:b/>
          <w:color w:val="000000"/>
          <w:szCs w:val="22"/>
          <w:lang w:val="sv-SE"/>
        </w:rPr>
        <w:t>,</w:t>
      </w:r>
      <w:r w:rsidRPr="000E7AE9">
        <w:rPr>
          <w:b/>
          <w:color w:val="000000"/>
          <w:szCs w:val="22"/>
          <w:lang w:val="sv-SE"/>
        </w:rPr>
        <w:t xml:space="preserve"> amning</w:t>
      </w:r>
      <w:r>
        <w:rPr>
          <w:b/>
          <w:color w:val="000000"/>
          <w:szCs w:val="22"/>
          <w:lang w:val="sv-SE"/>
        </w:rPr>
        <w:t xml:space="preserve"> och fertilitet</w:t>
      </w:r>
    </w:p>
    <w:p w14:paraId="1158F242" w14:textId="77777777" w:rsidR="00AB699C" w:rsidRPr="009E09A2" w:rsidRDefault="00AB699C" w:rsidP="00463647">
      <w:pPr>
        <w:widowControl w:val="0"/>
        <w:numPr>
          <w:ilvl w:val="12"/>
          <w:numId w:val="0"/>
        </w:numPr>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r>
      <w:r>
        <w:rPr>
          <w:color w:val="000000"/>
          <w:szCs w:val="22"/>
          <w:lang w:val="sv-SE"/>
        </w:rPr>
        <w:t xml:space="preserve">Om du är gravid eller ammar, tror att du kan vara gravid eller planerar att skaffa barn, rådfråga läkare innan du </w:t>
      </w:r>
      <w:r w:rsidR="006460C9">
        <w:rPr>
          <w:color w:val="000000"/>
          <w:szCs w:val="22"/>
          <w:lang w:val="sv-SE"/>
        </w:rPr>
        <w:t>använder</w:t>
      </w:r>
      <w:r>
        <w:rPr>
          <w:color w:val="000000"/>
          <w:szCs w:val="22"/>
          <w:lang w:val="sv-SE"/>
        </w:rPr>
        <w:t xml:space="preserve"> detta läkemedel.</w:t>
      </w:r>
    </w:p>
    <w:p w14:paraId="1C52977C" w14:textId="77777777" w:rsidR="00AB699C" w:rsidRPr="000E7AE9" w:rsidRDefault="00AB699C" w:rsidP="00463647">
      <w:pPr>
        <w:widowControl w:val="0"/>
        <w:numPr>
          <w:ilvl w:val="12"/>
          <w:numId w:val="0"/>
        </w:numPr>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t xml:space="preserve">Glivec </w:t>
      </w:r>
      <w:r>
        <w:rPr>
          <w:color w:val="000000"/>
          <w:szCs w:val="22"/>
          <w:lang w:val="sv-SE"/>
        </w:rPr>
        <w:t>rekommenderas inte</w:t>
      </w:r>
      <w:r w:rsidRPr="000E7AE9">
        <w:rPr>
          <w:color w:val="000000"/>
          <w:szCs w:val="22"/>
          <w:lang w:val="sv-SE"/>
        </w:rPr>
        <w:t xml:space="preserve"> under graviditet såvida det inte är nödvändigt</w:t>
      </w:r>
      <w:r>
        <w:rPr>
          <w:color w:val="000000"/>
          <w:szCs w:val="22"/>
          <w:lang w:val="sv-SE"/>
        </w:rPr>
        <w:t xml:space="preserve"> då det kan skada ditt barn</w:t>
      </w:r>
      <w:r w:rsidRPr="000E7AE9">
        <w:rPr>
          <w:color w:val="000000"/>
          <w:szCs w:val="22"/>
          <w:lang w:val="sv-SE"/>
        </w:rPr>
        <w:t xml:space="preserve">. Din läkare kommer att diskutera </w:t>
      </w:r>
      <w:r>
        <w:rPr>
          <w:color w:val="000000"/>
          <w:szCs w:val="22"/>
          <w:lang w:val="sv-SE"/>
        </w:rPr>
        <w:t xml:space="preserve">möjliga </w:t>
      </w:r>
      <w:r w:rsidRPr="000E7AE9">
        <w:rPr>
          <w:color w:val="000000"/>
          <w:szCs w:val="22"/>
          <w:lang w:val="sv-SE"/>
        </w:rPr>
        <w:t>risker med att ta Glivec under graviditet.</w:t>
      </w:r>
    </w:p>
    <w:p w14:paraId="278A2ACB" w14:textId="77777777" w:rsidR="00AB699C" w:rsidRPr="000E7AE9" w:rsidRDefault="00AB699C" w:rsidP="00463647">
      <w:pPr>
        <w:widowControl w:val="0"/>
        <w:numPr>
          <w:ilvl w:val="12"/>
          <w:numId w:val="0"/>
        </w:numPr>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t>Kvinnor som kan komma att bli gravida rekommenderas att använda effektiv preventivmetod under behandlingen</w:t>
      </w:r>
      <w:r w:rsidR="009F6610">
        <w:rPr>
          <w:color w:val="000000"/>
          <w:szCs w:val="22"/>
          <w:lang w:val="sv-SE"/>
        </w:rPr>
        <w:t xml:space="preserve"> och under 15 dagar efter avslutad behandling</w:t>
      </w:r>
      <w:r w:rsidRPr="000E7AE9">
        <w:rPr>
          <w:color w:val="000000"/>
          <w:szCs w:val="22"/>
          <w:lang w:val="sv-SE"/>
        </w:rPr>
        <w:t>.</w:t>
      </w:r>
    </w:p>
    <w:p w14:paraId="7A9870CE" w14:textId="00226FF6" w:rsidR="00AB699C" w:rsidRDefault="00AB699C" w:rsidP="006861E6">
      <w:pPr>
        <w:widowControl w:val="0"/>
        <w:numPr>
          <w:ilvl w:val="12"/>
          <w:numId w:val="0"/>
        </w:numPr>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r>
      <w:r w:rsidRPr="00BC30FA">
        <w:rPr>
          <w:color w:val="000000"/>
          <w:szCs w:val="22"/>
          <w:lang w:val="sv-SE"/>
        </w:rPr>
        <w:t>Amma inte</w:t>
      </w:r>
      <w:r w:rsidRPr="000E7AE9">
        <w:rPr>
          <w:color w:val="000000"/>
          <w:szCs w:val="22"/>
          <w:lang w:val="sv-SE"/>
        </w:rPr>
        <w:t xml:space="preserve"> under behandling med Glivec</w:t>
      </w:r>
      <w:r w:rsidR="009F6610">
        <w:rPr>
          <w:color w:val="000000"/>
          <w:szCs w:val="22"/>
          <w:lang w:val="sv-SE"/>
        </w:rPr>
        <w:t xml:space="preserve"> och under 15 dagar efter </w:t>
      </w:r>
      <w:r w:rsidR="000F4462">
        <w:rPr>
          <w:color w:val="000000"/>
          <w:szCs w:val="22"/>
          <w:lang w:val="sv-SE"/>
        </w:rPr>
        <w:t xml:space="preserve">behandlingen </w:t>
      </w:r>
      <w:r w:rsidR="009F6610">
        <w:rPr>
          <w:color w:val="000000"/>
          <w:szCs w:val="22"/>
          <w:lang w:val="sv-SE"/>
        </w:rPr>
        <w:t>avsluta</w:t>
      </w:r>
      <w:r w:rsidR="000F4462">
        <w:rPr>
          <w:color w:val="000000"/>
          <w:szCs w:val="22"/>
          <w:lang w:val="sv-SE"/>
        </w:rPr>
        <w:t>ts</w:t>
      </w:r>
      <w:r w:rsidR="009F6610">
        <w:rPr>
          <w:color w:val="000000"/>
          <w:szCs w:val="22"/>
          <w:lang w:val="sv-SE"/>
        </w:rPr>
        <w:t xml:space="preserve"> eftersom det kan </w:t>
      </w:r>
      <w:r w:rsidR="005E4EB9">
        <w:rPr>
          <w:color w:val="000000"/>
          <w:szCs w:val="22"/>
          <w:lang w:val="sv-SE"/>
        </w:rPr>
        <w:t>vara skadligt för</w:t>
      </w:r>
      <w:r w:rsidR="009F6610">
        <w:rPr>
          <w:color w:val="000000"/>
          <w:szCs w:val="22"/>
          <w:lang w:val="sv-SE"/>
        </w:rPr>
        <w:t xml:space="preserve"> ditt barn</w:t>
      </w:r>
      <w:r w:rsidRPr="000E7AE9">
        <w:rPr>
          <w:color w:val="000000"/>
          <w:szCs w:val="22"/>
          <w:lang w:val="sv-SE"/>
        </w:rPr>
        <w:t>.</w:t>
      </w:r>
    </w:p>
    <w:p w14:paraId="452C7E7B" w14:textId="77777777" w:rsidR="00AB699C" w:rsidRPr="000E7AE9" w:rsidRDefault="00AB699C" w:rsidP="00463647">
      <w:pPr>
        <w:widowControl w:val="0"/>
        <w:numPr>
          <w:ilvl w:val="12"/>
          <w:numId w:val="0"/>
        </w:numPr>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r>
      <w:r>
        <w:rPr>
          <w:color w:val="000000"/>
          <w:szCs w:val="22"/>
          <w:lang w:val="sv-SE"/>
        </w:rPr>
        <w:t>Patienter som är oroliga över sin fertilitet vid intag av Glivec rekommenderas att rådgöra med sin läkare.</w:t>
      </w:r>
    </w:p>
    <w:p w14:paraId="56FD0109" w14:textId="77777777" w:rsidR="00AB699C" w:rsidRPr="000E7AE9" w:rsidRDefault="00AB699C" w:rsidP="00463647">
      <w:pPr>
        <w:widowControl w:val="0"/>
        <w:numPr>
          <w:ilvl w:val="12"/>
          <w:numId w:val="0"/>
        </w:numPr>
        <w:tabs>
          <w:tab w:val="clear" w:pos="567"/>
        </w:tabs>
        <w:spacing w:line="240" w:lineRule="auto"/>
        <w:rPr>
          <w:color w:val="000000"/>
          <w:szCs w:val="22"/>
          <w:lang w:val="sv-SE"/>
        </w:rPr>
      </w:pPr>
    </w:p>
    <w:p w14:paraId="431D93A1" w14:textId="77777777" w:rsidR="00AB699C" w:rsidRPr="000E7AE9" w:rsidRDefault="00AB699C" w:rsidP="009E09A2">
      <w:pPr>
        <w:keepNext/>
        <w:widowControl w:val="0"/>
        <w:numPr>
          <w:ilvl w:val="12"/>
          <w:numId w:val="0"/>
        </w:numPr>
        <w:tabs>
          <w:tab w:val="clear" w:pos="567"/>
        </w:tabs>
        <w:spacing w:line="240" w:lineRule="auto"/>
        <w:ind w:right="-2"/>
        <w:rPr>
          <w:color w:val="000000"/>
          <w:szCs w:val="22"/>
          <w:lang w:val="sv-SE"/>
        </w:rPr>
      </w:pPr>
      <w:r w:rsidRPr="000E7AE9">
        <w:rPr>
          <w:b/>
          <w:color w:val="000000"/>
          <w:szCs w:val="22"/>
          <w:lang w:val="sv-SE"/>
        </w:rPr>
        <w:t>Körförmåga och användning av maskiner</w:t>
      </w:r>
    </w:p>
    <w:p w14:paraId="60B56DC4" w14:textId="77777777" w:rsidR="00AB699C" w:rsidRPr="000E7AE9" w:rsidRDefault="00AB699C" w:rsidP="00463647">
      <w:pPr>
        <w:widowControl w:val="0"/>
        <w:numPr>
          <w:ilvl w:val="12"/>
          <w:numId w:val="0"/>
        </w:numPr>
        <w:tabs>
          <w:tab w:val="clear" w:pos="567"/>
        </w:tabs>
        <w:spacing w:line="240" w:lineRule="auto"/>
        <w:ind w:right="-29"/>
        <w:rPr>
          <w:color w:val="000000"/>
          <w:szCs w:val="22"/>
          <w:lang w:val="sv-SE"/>
        </w:rPr>
      </w:pPr>
      <w:r>
        <w:rPr>
          <w:color w:val="000000"/>
          <w:szCs w:val="22"/>
          <w:lang w:val="sv-SE"/>
        </w:rPr>
        <w:t>Du kan känna</w:t>
      </w:r>
      <w:r w:rsidRPr="000E7AE9">
        <w:rPr>
          <w:color w:val="000000"/>
          <w:szCs w:val="22"/>
          <w:lang w:val="sv-SE"/>
        </w:rPr>
        <w:t xml:space="preserve"> dig yr </w:t>
      </w:r>
      <w:r>
        <w:rPr>
          <w:color w:val="000000"/>
          <w:szCs w:val="22"/>
          <w:lang w:val="sv-SE"/>
        </w:rPr>
        <w:t xml:space="preserve">eller trött </w:t>
      </w:r>
      <w:r w:rsidRPr="000E7AE9">
        <w:rPr>
          <w:color w:val="000000"/>
          <w:szCs w:val="22"/>
          <w:lang w:val="sv-SE"/>
        </w:rPr>
        <w:t xml:space="preserve">eller </w:t>
      </w:r>
      <w:r>
        <w:rPr>
          <w:color w:val="000000"/>
          <w:szCs w:val="22"/>
          <w:lang w:val="sv-SE"/>
        </w:rPr>
        <w:t>få</w:t>
      </w:r>
      <w:r w:rsidRPr="000E7AE9">
        <w:rPr>
          <w:color w:val="000000"/>
          <w:szCs w:val="22"/>
          <w:lang w:val="sv-SE"/>
        </w:rPr>
        <w:t xml:space="preserve"> dimsyn när du använder </w:t>
      </w:r>
      <w:r>
        <w:rPr>
          <w:color w:val="000000"/>
          <w:szCs w:val="22"/>
          <w:lang w:val="sv-SE"/>
        </w:rPr>
        <w:t>detta läkemedel. Om detta sker,</w:t>
      </w:r>
      <w:r w:rsidRPr="000E7AE9">
        <w:rPr>
          <w:color w:val="000000"/>
          <w:szCs w:val="22"/>
          <w:lang w:val="sv-SE"/>
        </w:rPr>
        <w:t xml:space="preserve"> kör då inte bil och använd inte verktyg eller maskiner förrän du känner dig bra igen.</w:t>
      </w:r>
    </w:p>
    <w:p w14:paraId="2B40CFB9"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706DA5AD"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3979C3E7" w14:textId="77777777" w:rsidR="00CE607D" w:rsidRPr="000E7AE9" w:rsidRDefault="00CE607D" w:rsidP="009E09A2">
      <w:pPr>
        <w:pStyle w:val="Heading4"/>
        <w:widowControl w:val="0"/>
        <w:spacing w:line="240" w:lineRule="auto"/>
        <w:rPr>
          <w:noProof w:val="0"/>
          <w:color w:val="000000"/>
          <w:szCs w:val="22"/>
          <w:lang w:val="sv-SE"/>
        </w:rPr>
      </w:pPr>
      <w:r w:rsidRPr="000E7AE9">
        <w:rPr>
          <w:noProof w:val="0"/>
          <w:color w:val="000000"/>
          <w:szCs w:val="22"/>
          <w:lang w:val="sv-SE"/>
        </w:rPr>
        <w:t>3.</w:t>
      </w:r>
      <w:r w:rsidRPr="000E7AE9">
        <w:rPr>
          <w:noProof w:val="0"/>
          <w:color w:val="000000"/>
          <w:szCs w:val="22"/>
          <w:lang w:val="sv-SE"/>
        </w:rPr>
        <w:tab/>
      </w:r>
      <w:r w:rsidR="005B1EFF">
        <w:rPr>
          <w:noProof w:val="0"/>
          <w:color w:val="000000"/>
          <w:szCs w:val="22"/>
          <w:lang w:val="sv-SE"/>
        </w:rPr>
        <w:t>Hur du tar Glivec</w:t>
      </w:r>
    </w:p>
    <w:p w14:paraId="0F5D37AF" w14:textId="77777777" w:rsidR="00CE607D" w:rsidRDefault="00CE607D" w:rsidP="009E09A2">
      <w:pPr>
        <w:pStyle w:val="EndnoteText"/>
        <w:keepNext/>
        <w:widowControl w:val="0"/>
        <w:numPr>
          <w:ilvl w:val="12"/>
          <w:numId w:val="0"/>
        </w:numPr>
        <w:tabs>
          <w:tab w:val="clear" w:pos="567"/>
        </w:tabs>
        <w:rPr>
          <w:color w:val="000000"/>
          <w:szCs w:val="22"/>
          <w:lang w:val="sv-SE"/>
        </w:rPr>
      </w:pPr>
    </w:p>
    <w:p w14:paraId="062DE1FC" w14:textId="77777777" w:rsidR="00CE607D" w:rsidRDefault="00CE607D" w:rsidP="00463647">
      <w:pPr>
        <w:pStyle w:val="EndnoteText"/>
        <w:widowControl w:val="0"/>
        <w:numPr>
          <w:ilvl w:val="12"/>
          <w:numId w:val="0"/>
        </w:numPr>
        <w:tabs>
          <w:tab w:val="clear" w:pos="567"/>
        </w:tabs>
        <w:rPr>
          <w:color w:val="000000"/>
          <w:szCs w:val="22"/>
          <w:lang w:val="sv-SE"/>
        </w:rPr>
      </w:pPr>
      <w:r>
        <w:rPr>
          <w:color w:val="000000"/>
          <w:szCs w:val="22"/>
          <w:lang w:val="sv-SE"/>
        </w:rPr>
        <w:t>Din läkare har ordinerat Glivec för att du lider av en allvarlig sjukdom. Glivec kan hjälpa dig att bekämpa detta tillstånd.</w:t>
      </w:r>
    </w:p>
    <w:p w14:paraId="294336DF" w14:textId="77777777" w:rsidR="00CE607D" w:rsidRPr="000E7AE9" w:rsidRDefault="00CE607D" w:rsidP="00463647">
      <w:pPr>
        <w:pStyle w:val="EndnoteText"/>
        <w:widowControl w:val="0"/>
        <w:numPr>
          <w:ilvl w:val="12"/>
          <w:numId w:val="0"/>
        </w:numPr>
        <w:tabs>
          <w:tab w:val="clear" w:pos="567"/>
        </w:tabs>
        <w:rPr>
          <w:color w:val="000000"/>
          <w:szCs w:val="22"/>
          <w:lang w:val="sv-SE"/>
        </w:rPr>
      </w:pPr>
    </w:p>
    <w:p w14:paraId="129CD6F1" w14:textId="77777777" w:rsidR="00CE607D" w:rsidRDefault="00CE607D" w:rsidP="00463647">
      <w:pPr>
        <w:pStyle w:val="TextChar"/>
        <w:widowControl w:val="0"/>
        <w:spacing w:before="0"/>
        <w:jc w:val="left"/>
        <w:rPr>
          <w:color w:val="000000"/>
          <w:sz w:val="22"/>
          <w:szCs w:val="22"/>
          <w:lang w:val="sv-SE"/>
        </w:rPr>
      </w:pPr>
      <w:r w:rsidRPr="000E7AE9">
        <w:rPr>
          <w:color w:val="000000"/>
          <w:sz w:val="22"/>
          <w:szCs w:val="22"/>
          <w:lang w:val="sv-SE"/>
        </w:rPr>
        <w:t>Ta</w:t>
      </w:r>
      <w:r>
        <w:rPr>
          <w:color w:val="000000"/>
          <w:sz w:val="22"/>
          <w:szCs w:val="22"/>
          <w:lang w:val="sv-SE"/>
        </w:rPr>
        <w:t xml:space="preserve"> </w:t>
      </w:r>
      <w:r w:rsidRPr="000E7AE9">
        <w:rPr>
          <w:color w:val="000000"/>
          <w:sz w:val="22"/>
          <w:szCs w:val="22"/>
          <w:lang w:val="sv-SE"/>
        </w:rPr>
        <w:t xml:space="preserve">alltid </w:t>
      </w:r>
      <w:r w:rsidR="005B1EFF">
        <w:rPr>
          <w:color w:val="000000"/>
          <w:sz w:val="22"/>
          <w:szCs w:val="22"/>
          <w:lang w:val="sv-SE"/>
        </w:rPr>
        <w:t xml:space="preserve">detta läkemedel </w:t>
      </w:r>
      <w:r w:rsidR="002D251E">
        <w:rPr>
          <w:color w:val="000000"/>
          <w:sz w:val="22"/>
          <w:szCs w:val="22"/>
          <w:lang w:val="sv-SE"/>
        </w:rPr>
        <w:t>exakt</w:t>
      </w:r>
      <w:r w:rsidRPr="000E7AE9">
        <w:rPr>
          <w:color w:val="000000"/>
          <w:sz w:val="22"/>
          <w:szCs w:val="22"/>
          <w:lang w:val="sv-SE"/>
        </w:rPr>
        <w:t xml:space="preserve"> enligt läkarens</w:t>
      </w:r>
      <w:r w:rsidR="005B1EFF">
        <w:rPr>
          <w:color w:val="000000"/>
          <w:sz w:val="22"/>
          <w:szCs w:val="22"/>
          <w:lang w:val="sv-SE"/>
        </w:rPr>
        <w:t xml:space="preserve"> eller apotekspersonalens</w:t>
      </w:r>
      <w:r w:rsidRPr="000E7AE9">
        <w:rPr>
          <w:color w:val="000000"/>
          <w:sz w:val="22"/>
          <w:szCs w:val="22"/>
          <w:lang w:val="sv-SE"/>
        </w:rPr>
        <w:t xml:space="preserve"> anvisningar. </w:t>
      </w:r>
      <w:r>
        <w:rPr>
          <w:color w:val="000000"/>
          <w:sz w:val="22"/>
          <w:szCs w:val="22"/>
          <w:lang w:val="sv-SE"/>
        </w:rPr>
        <w:t xml:space="preserve">Det är viktigt att du gör det så länge din läkare </w:t>
      </w:r>
      <w:r w:rsidR="005B1EFF">
        <w:rPr>
          <w:color w:val="000000"/>
          <w:sz w:val="22"/>
          <w:szCs w:val="22"/>
          <w:lang w:val="sv-SE"/>
        </w:rPr>
        <w:t xml:space="preserve">eller apotekspersonalen </w:t>
      </w:r>
      <w:r>
        <w:rPr>
          <w:color w:val="000000"/>
          <w:sz w:val="22"/>
          <w:szCs w:val="22"/>
          <w:lang w:val="sv-SE"/>
        </w:rPr>
        <w:t xml:space="preserve">säger att du ska göra det. </w:t>
      </w:r>
      <w:r w:rsidRPr="000E7AE9">
        <w:rPr>
          <w:color w:val="000000"/>
          <w:sz w:val="22"/>
          <w:szCs w:val="22"/>
          <w:lang w:val="sv-SE"/>
        </w:rPr>
        <w:t>Rådfråga läkare eller apotekspersonal om du är osäker.</w:t>
      </w:r>
    </w:p>
    <w:p w14:paraId="25EE8B6F" w14:textId="77777777" w:rsidR="00CE607D" w:rsidRDefault="00CE607D" w:rsidP="00463647">
      <w:pPr>
        <w:pStyle w:val="TextChar"/>
        <w:widowControl w:val="0"/>
        <w:spacing w:before="0"/>
        <w:jc w:val="left"/>
        <w:rPr>
          <w:color w:val="000000"/>
          <w:sz w:val="22"/>
          <w:szCs w:val="22"/>
          <w:lang w:val="sv-SE"/>
        </w:rPr>
      </w:pPr>
    </w:p>
    <w:p w14:paraId="4B67D76C" w14:textId="77777777" w:rsidR="00CE607D" w:rsidRPr="000E7AE9" w:rsidRDefault="00CE607D" w:rsidP="00463647">
      <w:pPr>
        <w:pStyle w:val="TextChar"/>
        <w:widowControl w:val="0"/>
        <w:spacing w:before="0"/>
        <w:jc w:val="left"/>
        <w:rPr>
          <w:color w:val="000000"/>
          <w:sz w:val="22"/>
          <w:szCs w:val="22"/>
          <w:lang w:val="sv-SE"/>
        </w:rPr>
      </w:pPr>
      <w:r>
        <w:rPr>
          <w:color w:val="000000"/>
          <w:sz w:val="22"/>
          <w:szCs w:val="22"/>
          <w:lang w:val="sv-SE"/>
        </w:rPr>
        <w:t>Sluta inte att ta Glivec om inte din läkare säger åt dig att göra det. Om du inte kan ta läkemedlet enligt din läkares ordination eller om du känner att du inte behöver det längre, kontakta omedelbart din läkare.</w:t>
      </w:r>
    </w:p>
    <w:p w14:paraId="69C0299E" w14:textId="77777777" w:rsidR="00CE607D" w:rsidRPr="000E7AE9" w:rsidRDefault="00CE607D" w:rsidP="00463647">
      <w:pPr>
        <w:pStyle w:val="TextChar"/>
        <w:widowControl w:val="0"/>
        <w:spacing w:before="0"/>
        <w:jc w:val="left"/>
        <w:rPr>
          <w:color w:val="000000"/>
          <w:sz w:val="22"/>
          <w:szCs w:val="22"/>
          <w:lang w:val="sv-SE"/>
        </w:rPr>
      </w:pPr>
    </w:p>
    <w:p w14:paraId="0C097502" w14:textId="77777777" w:rsidR="00CE607D" w:rsidRPr="000E7AE9" w:rsidRDefault="00CE607D" w:rsidP="009E09A2">
      <w:pPr>
        <w:pStyle w:val="Heading2"/>
        <w:widowControl w:val="0"/>
        <w:spacing w:before="0" w:after="0" w:line="240" w:lineRule="auto"/>
        <w:rPr>
          <w:rFonts w:ascii="Times New Roman" w:hAnsi="Times New Roman"/>
          <w:i w:val="0"/>
          <w:color w:val="000000"/>
          <w:sz w:val="22"/>
          <w:szCs w:val="22"/>
          <w:lang w:val="sv-SE"/>
        </w:rPr>
      </w:pPr>
      <w:r w:rsidRPr="000E7AE9">
        <w:rPr>
          <w:rFonts w:ascii="Times New Roman" w:hAnsi="Times New Roman"/>
          <w:i w:val="0"/>
          <w:color w:val="000000"/>
          <w:sz w:val="22"/>
          <w:szCs w:val="22"/>
          <w:lang w:val="sv-SE"/>
        </w:rPr>
        <w:t xml:space="preserve">Hur mycket </w:t>
      </w:r>
      <w:r w:rsidR="005B1EFF">
        <w:rPr>
          <w:rFonts w:ascii="Times New Roman" w:hAnsi="Times New Roman"/>
          <w:i w:val="0"/>
          <w:color w:val="000000"/>
          <w:sz w:val="22"/>
          <w:szCs w:val="22"/>
          <w:lang w:val="sv-SE"/>
        </w:rPr>
        <w:t xml:space="preserve">Glivec </w:t>
      </w:r>
      <w:r w:rsidRPr="000E7AE9">
        <w:rPr>
          <w:rFonts w:ascii="Times New Roman" w:hAnsi="Times New Roman"/>
          <w:i w:val="0"/>
          <w:color w:val="000000"/>
          <w:sz w:val="22"/>
          <w:szCs w:val="22"/>
          <w:lang w:val="sv-SE"/>
        </w:rPr>
        <w:t>skall man ta?</w:t>
      </w:r>
    </w:p>
    <w:p w14:paraId="61DA82B3" w14:textId="77777777" w:rsidR="00CE607D" w:rsidRPr="00AB480A" w:rsidRDefault="00CE607D" w:rsidP="009E09A2">
      <w:pPr>
        <w:pStyle w:val="TextChar"/>
        <w:keepNext/>
        <w:widowControl w:val="0"/>
        <w:spacing w:before="0"/>
        <w:jc w:val="left"/>
        <w:rPr>
          <w:bCs/>
          <w:color w:val="000000"/>
          <w:sz w:val="22"/>
          <w:szCs w:val="22"/>
          <w:lang w:val="sv-SE"/>
        </w:rPr>
      </w:pPr>
    </w:p>
    <w:p w14:paraId="16D4F6FB" w14:textId="77777777" w:rsidR="00CE607D" w:rsidRPr="00EE7BD7" w:rsidRDefault="00CE607D" w:rsidP="009E09A2">
      <w:pPr>
        <w:pStyle w:val="TextChar"/>
        <w:keepNext/>
        <w:widowControl w:val="0"/>
        <w:spacing w:before="0"/>
        <w:jc w:val="left"/>
        <w:rPr>
          <w:b/>
          <w:color w:val="000000"/>
          <w:sz w:val="22"/>
          <w:szCs w:val="22"/>
          <w:lang w:val="sv-SE"/>
        </w:rPr>
      </w:pPr>
      <w:r w:rsidRPr="00EE7BD7">
        <w:rPr>
          <w:b/>
          <w:color w:val="000000"/>
          <w:sz w:val="22"/>
          <w:szCs w:val="22"/>
          <w:lang w:val="sv-SE"/>
        </w:rPr>
        <w:t xml:space="preserve">Användning </w:t>
      </w:r>
      <w:r w:rsidR="005B1EFF">
        <w:rPr>
          <w:b/>
          <w:color w:val="000000"/>
          <w:sz w:val="22"/>
          <w:szCs w:val="22"/>
          <w:lang w:val="sv-SE"/>
        </w:rPr>
        <w:t>för</w:t>
      </w:r>
      <w:r w:rsidRPr="00EE7BD7">
        <w:rPr>
          <w:b/>
          <w:color w:val="000000"/>
          <w:sz w:val="22"/>
          <w:szCs w:val="22"/>
          <w:lang w:val="sv-SE"/>
        </w:rPr>
        <w:t xml:space="preserve"> vuxna</w:t>
      </w:r>
    </w:p>
    <w:p w14:paraId="0313A885" w14:textId="77777777" w:rsidR="00CE607D" w:rsidRPr="000E7AE9" w:rsidRDefault="00CE607D" w:rsidP="00463647">
      <w:pPr>
        <w:pStyle w:val="TextChar"/>
        <w:widowControl w:val="0"/>
        <w:spacing w:before="0"/>
        <w:jc w:val="left"/>
        <w:rPr>
          <w:color w:val="000000"/>
          <w:sz w:val="22"/>
          <w:szCs w:val="22"/>
          <w:lang w:val="sv-SE"/>
        </w:rPr>
      </w:pPr>
      <w:r w:rsidRPr="000E7AE9">
        <w:rPr>
          <w:color w:val="000000"/>
          <w:sz w:val="22"/>
          <w:szCs w:val="22"/>
          <w:lang w:val="sv-SE"/>
        </w:rPr>
        <w:t xml:space="preserve">Din läkare informerar dig om </w:t>
      </w:r>
      <w:r>
        <w:rPr>
          <w:color w:val="000000"/>
          <w:sz w:val="22"/>
          <w:szCs w:val="22"/>
          <w:lang w:val="sv-SE"/>
        </w:rPr>
        <w:t xml:space="preserve">exakt </w:t>
      </w:r>
      <w:r w:rsidRPr="000E7AE9">
        <w:rPr>
          <w:color w:val="000000"/>
          <w:sz w:val="22"/>
          <w:szCs w:val="22"/>
          <w:lang w:val="sv-SE"/>
        </w:rPr>
        <w:t>hur många kapslar Glivec du skall ta.</w:t>
      </w:r>
    </w:p>
    <w:p w14:paraId="2434A5AC" w14:textId="77777777" w:rsidR="00CE607D" w:rsidRPr="000E7AE9" w:rsidRDefault="00CE607D" w:rsidP="00463647">
      <w:pPr>
        <w:pStyle w:val="TextChar"/>
        <w:widowControl w:val="0"/>
        <w:spacing w:before="0"/>
        <w:jc w:val="left"/>
        <w:rPr>
          <w:color w:val="000000"/>
          <w:sz w:val="22"/>
          <w:szCs w:val="22"/>
          <w:lang w:val="sv-SE"/>
        </w:rPr>
      </w:pPr>
    </w:p>
    <w:p w14:paraId="12C48989" w14:textId="77777777" w:rsidR="00CE607D" w:rsidRPr="00255CDE" w:rsidRDefault="00CE607D" w:rsidP="009E09A2">
      <w:pPr>
        <w:pStyle w:val="TextChar"/>
        <w:keepNext/>
        <w:widowControl w:val="0"/>
        <w:spacing w:before="0"/>
        <w:jc w:val="left"/>
        <w:rPr>
          <w:b/>
          <w:color w:val="000000"/>
          <w:sz w:val="22"/>
          <w:szCs w:val="22"/>
          <w:lang w:val="sv-SE"/>
        </w:rPr>
      </w:pPr>
      <w:r w:rsidRPr="000E7AE9">
        <w:rPr>
          <w:color w:val="000000"/>
          <w:szCs w:val="22"/>
          <w:lang w:val="sv-SE"/>
        </w:rPr>
        <w:t>-</w:t>
      </w:r>
      <w:r w:rsidRPr="000E7AE9">
        <w:rPr>
          <w:color w:val="000000"/>
          <w:szCs w:val="22"/>
          <w:lang w:val="sv-SE"/>
        </w:rPr>
        <w:tab/>
      </w:r>
      <w:r w:rsidRPr="00255CDE">
        <w:rPr>
          <w:b/>
          <w:color w:val="000000"/>
          <w:sz w:val="22"/>
          <w:szCs w:val="22"/>
          <w:lang w:val="sv-SE"/>
        </w:rPr>
        <w:t>Om du behandlas för KML:</w:t>
      </w:r>
    </w:p>
    <w:p w14:paraId="18DD1348" w14:textId="77777777" w:rsidR="00CE607D" w:rsidRPr="000E7AE9" w:rsidRDefault="00CE607D" w:rsidP="009E09A2">
      <w:pPr>
        <w:pStyle w:val="TextChar"/>
        <w:keepNext/>
        <w:widowControl w:val="0"/>
        <w:spacing w:before="0"/>
        <w:ind w:firstLine="567"/>
        <w:jc w:val="left"/>
        <w:rPr>
          <w:color w:val="000000"/>
          <w:sz w:val="22"/>
          <w:szCs w:val="22"/>
          <w:lang w:val="sv-SE"/>
        </w:rPr>
      </w:pPr>
      <w:r>
        <w:rPr>
          <w:color w:val="000000"/>
          <w:sz w:val="22"/>
          <w:szCs w:val="22"/>
          <w:lang w:val="sv-SE"/>
        </w:rPr>
        <w:t xml:space="preserve">Beroende på ditt tillstånd </w:t>
      </w:r>
      <w:r w:rsidRPr="000E7AE9">
        <w:rPr>
          <w:color w:val="000000"/>
          <w:sz w:val="22"/>
          <w:szCs w:val="22"/>
          <w:lang w:val="sv-SE"/>
        </w:rPr>
        <w:t>är den vanliga startdosen</w:t>
      </w:r>
      <w:r>
        <w:rPr>
          <w:color w:val="000000"/>
          <w:sz w:val="22"/>
          <w:szCs w:val="22"/>
          <w:lang w:val="sv-SE"/>
        </w:rPr>
        <w:t xml:space="preserve"> antingen 400 mg eller 600 mg:</w:t>
      </w:r>
    </w:p>
    <w:p w14:paraId="743961B5" w14:textId="77777777" w:rsidR="00CE607D" w:rsidRPr="000E7AE9" w:rsidRDefault="00CE607D" w:rsidP="009E09A2">
      <w:pPr>
        <w:pStyle w:val="Listlevel2"/>
        <w:keepNext/>
        <w:widowControl w:val="0"/>
        <w:numPr>
          <w:ilvl w:val="0"/>
          <w:numId w:val="17"/>
        </w:numPr>
        <w:spacing w:before="0" w:after="0"/>
        <w:rPr>
          <w:color w:val="000000"/>
          <w:sz w:val="22"/>
          <w:szCs w:val="22"/>
          <w:lang w:val="sv-SE"/>
        </w:rPr>
      </w:pPr>
      <w:r w:rsidRPr="00255CDE">
        <w:rPr>
          <w:b/>
          <w:color w:val="000000"/>
          <w:sz w:val="22"/>
          <w:szCs w:val="22"/>
          <w:lang w:val="sv-SE"/>
        </w:rPr>
        <w:t>400 mg</w:t>
      </w:r>
      <w:r w:rsidRPr="000E7AE9">
        <w:rPr>
          <w:color w:val="000000"/>
          <w:sz w:val="22"/>
          <w:szCs w:val="22"/>
          <w:lang w:val="sv-SE"/>
        </w:rPr>
        <w:t xml:space="preserve"> som tas som </w:t>
      </w:r>
      <w:r>
        <w:rPr>
          <w:color w:val="000000"/>
          <w:sz w:val="22"/>
          <w:szCs w:val="22"/>
          <w:lang w:val="sv-SE"/>
        </w:rPr>
        <w:t>4 kapslar</w:t>
      </w:r>
      <w:r w:rsidRPr="000E7AE9">
        <w:rPr>
          <w:color w:val="000000"/>
          <w:sz w:val="22"/>
          <w:szCs w:val="22"/>
          <w:lang w:val="sv-SE"/>
        </w:rPr>
        <w:t xml:space="preserve"> </w:t>
      </w:r>
      <w:r w:rsidRPr="00255CDE">
        <w:rPr>
          <w:b/>
          <w:color w:val="000000"/>
          <w:sz w:val="22"/>
          <w:szCs w:val="22"/>
          <w:lang w:val="sv-SE"/>
        </w:rPr>
        <w:t>en</w:t>
      </w:r>
      <w:r w:rsidRPr="000E7AE9">
        <w:rPr>
          <w:color w:val="000000"/>
          <w:sz w:val="22"/>
          <w:szCs w:val="22"/>
          <w:lang w:val="sv-SE"/>
        </w:rPr>
        <w:t xml:space="preserve"> gång om dagen,</w:t>
      </w:r>
    </w:p>
    <w:p w14:paraId="58665191" w14:textId="77777777" w:rsidR="00CE607D" w:rsidRPr="000E7AE9" w:rsidRDefault="00CE607D" w:rsidP="00463647">
      <w:pPr>
        <w:pStyle w:val="Listlevel2"/>
        <w:widowControl w:val="0"/>
        <w:numPr>
          <w:ilvl w:val="0"/>
          <w:numId w:val="17"/>
        </w:numPr>
        <w:spacing w:before="0" w:after="0"/>
        <w:rPr>
          <w:color w:val="000000"/>
          <w:sz w:val="22"/>
          <w:szCs w:val="22"/>
          <w:lang w:val="sv-SE"/>
        </w:rPr>
      </w:pPr>
      <w:r w:rsidRPr="00255CDE">
        <w:rPr>
          <w:b/>
          <w:color w:val="000000"/>
          <w:sz w:val="22"/>
          <w:szCs w:val="22"/>
          <w:lang w:val="sv-SE"/>
        </w:rPr>
        <w:t>600 mg</w:t>
      </w:r>
      <w:r w:rsidRPr="000E7AE9">
        <w:rPr>
          <w:color w:val="000000"/>
          <w:sz w:val="22"/>
          <w:szCs w:val="22"/>
          <w:lang w:val="sv-SE"/>
        </w:rPr>
        <w:t xml:space="preserve"> som tas som </w:t>
      </w:r>
      <w:r>
        <w:rPr>
          <w:color w:val="000000"/>
          <w:sz w:val="22"/>
          <w:szCs w:val="22"/>
          <w:lang w:val="sv-SE"/>
        </w:rPr>
        <w:t xml:space="preserve">6 kapslar </w:t>
      </w:r>
      <w:r w:rsidRPr="00255CDE">
        <w:rPr>
          <w:b/>
          <w:color w:val="000000"/>
          <w:sz w:val="22"/>
          <w:szCs w:val="22"/>
          <w:lang w:val="sv-SE"/>
        </w:rPr>
        <w:t>en</w:t>
      </w:r>
      <w:r w:rsidRPr="000E7AE9">
        <w:rPr>
          <w:color w:val="000000"/>
          <w:sz w:val="22"/>
          <w:szCs w:val="22"/>
          <w:lang w:val="sv-SE"/>
        </w:rPr>
        <w:t xml:space="preserve"> gång om dagen.</w:t>
      </w:r>
    </w:p>
    <w:p w14:paraId="68540868" w14:textId="77777777" w:rsidR="00CE607D" w:rsidRPr="000E7AE9" w:rsidRDefault="00CE607D" w:rsidP="00463647">
      <w:pPr>
        <w:pStyle w:val="Listlevel2"/>
        <w:widowControl w:val="0"/>
        <w:spacing w:before="0" w:after="0"/>
        <w:ind w:left="6" w:firstLine="0"/>
        <w:rPr>
          <w:color w:val="000000"/>
          <w:sz w:val="22"/>
          <w:szCs w:val="22"/>
          <w:lang w:val="sv-SE"/>
        </w:rPr>
      </w:pPr>
    </w:p>
    <w:p w14:paraId="7AD36AB9" w14:textId="77777777" w:rsidR="00CE607D" w:rsidRDefault="00CE607D" w:rsidP="009E09A2">
      <w:pPr>
        <w:pStyle w:val="Listlevel2"/>
        <w:keepNext/>
        <w:widowControl w:val="0"/>
        <w:spacing w:before="0" w:after="0"/>
        <w:ind w:left="6" w:firstLine="0"/>
        <w:rPr>
          <w:color w:val="000000"/>
          <w:sz w:val="22"/>
          <w:szCs w:val="22"/>
          <w:lang w:val="sv-SE"/>
        </w:rPr>
      </w:pPr>
      <w:r w:rsidRPr="000E7AE9">
        <w:rPr>
          <w:color w:val="000000"/>
          <w:szCs w:val="22"/>
          <w:lang w:val="sv-SE"/>
        </w:rPr>
        <w:t>-</w:t>
      </w:r>
      <w:r w:rsidRPr="000E7AE9">
        <w:rPr>
          <w:color w:val="000000"/>
          <w:szCs w:val="22"/>
          <w:lang w:val="sv-SE"/>
        </w:rPr>
        <w:tab/>
      </w:r>
      <w:r w:rsidRPr="00255CDE">
        <w:rPr>
          <w:b/>
          <w:color w:val="000000"/>
          <w:sz w:val="22"/>
          <w:szCs w:val="22"/>
          <w:lang w:val="sv-SE"/>
        </w:rPr>
        <w:t>Om du behandlas för GIST:</w:t>
      </w:r>
    </w:p>
    <w:p w14:paraId="1BB23F75" w14:textId="77777777" w:rsidR="00CE607D" w:rsidRPr="000E7AE9" w:rsidRDefault="00CE607D" w:rsidP="00463647">
      <w:pPr>
        <w:pStyle w:val="Listlevel2"/>
        <w:widowControl w:val="0"/>
        <w:spacing w:before="0" w:after="0"/>
        <w:ind w:left="6" w:firstLine="561"/>
        <w:rPr>
          <w:color w:val="000000"/>
          <w:sz w:val="22"/>
          <w:szCs w:val="22"/>
          <w:lang w:val="sv-SE"/>
        </w:rPr>
      </w:pPr>
      <w:r>
        <w:rPr>
          <w:color w:val="000000"/>
          <w:sz w:val="22"/>
          <w:szCs w:val="22"/>
          <w:lang w:val="sv-SE"/>
        </w:rPr>
        <w:t>ä</w:t>
      </w:r>
      <w:r w:rsidRPr="000E7AE9">
        <w:rPr>
          <w:color w:val="000000"/>
          <w:sz w:val="22"/>
          <w:szCs w:val="22"/>
          <w:lang w:val="sv-SE"/>
        </w:rPr>
        <w:t xml:space="preserve">r startdosen 400 mg, som tas som </w:t>
      </w:r>
      <w:r>
        <w:rPr>
          <w:color w:val="000000"/>
          <w:sz w:val="22"/>
          <w:szCs w:val="22"/>
          <w:lang w:val="sv-SE"/>
        </w:rPr>
        <w:t xml:space="preserve">4 kapslar </w:t>
      </w:r>
      <w:r w:rsidRPr="00B75386">
        <w:rPr>
          <w:b/>
          <w:color w:val="000000"/>
          <w:sz w:val="22"/>
          <w:szCs w:val="22"/>
          <w:lang w:val="sv-SE"/>
        </w:rPr>
        <w:t>en</w:t>
      </w:r>
      <w:r w:rsidRPr="000E7AE9">
        <w:rPr>
          <w:color w:val="000000"/>
          <w:sz w:val="22"/>
          <w:szCs w:val="22"/>
          <w:lang w:val="sv-SE"/>
        </w:rPr>
        <w:t xml:space="preserve"> gång om dagen.</w:t>
      </w:r>
    </w:p>
    <w:p w14:paraId="203935E9" w14:textId="77777777" w:rsidR="00CE607D" w:rsidRPr="000E7AE9" w:rsidRDefault="00CE607D" w:rsidP="00463647">
      <w:pPr>
        <w:pStyle w:val="Listlevel2"/>
        <w:widowControl w:val="0"/>
        <w:spacing w:before="0" w:after="0"/>
        <w:ind w:left="6" w:firstLine="0"/>
        <w:rPr>
          <w:color w:val="000000"/>
          <w:sz w:val="22"/>
          <w:szCs w:val="22"/>
          <w:lang w:val="sv-SE"/>
        </w:rPr>
      </w:pPr>
    </w:p>
    <w:p w14:paraId="4DD5ED48" w14:textId="77777777" w:rsidR="00CE607D" w:rsidRPr="000E7AE9" w:rsidRDefault="00CE607D" w:rsidP="00463647">
      <w:pPr>
        <w:pStyle w:val="TextChar"/>
        <w:widowControl w:val="0"/>
        <w:spacing w:before="0"/>
        <w:jc w:val="left"/>
        <w:rPr>
          <w:color w:val="000000"/>
          <w:sz w:val="22"/>
          <w:szCs w:val="22"/>
          <w:lang w:val="sv-SE"/>
        </w:rPr>
      </w:pPr>
      <w:r>
        <w:rPr>
          <w:color w:val="000000"/>
          <w:sz w:val="22"/>
          <w:szCs w:val="22"/>
          <w:lang w:val="sv-SE"/>
        </w:rPr>
        <w:t xml:space="preserve">För KML och GIST </w:t>
      </w:r>
      <w:r w:rsidRPr="000E7AE9">
        <w:rPr>
          <w:color w:val="000000"/>
          <w:sz w:val="22"/>
          <w:szCs w:val="22"/>
          <w:lang w:val="sv-SE"/>
        </w:rPr>
        <w:t>kan din läkare förskriva en högre eller lägre dos</w:t>
      </w:r>
      <w:r>
        <w:rPr>
          <w:color w:val="000000"/>
          <w:sz w:val="22"/>
          <w:szCs w:val="22"/>
          <w:lang w:val="sv-SE"/>
        </w:rPr>
        <w:t xml:space="preserve"> b</w:t>
      </w:r>
      <w:r w:rsidRPr="000E7AE9">
        <w:rPr>
          <w:color w:val="000000"/>
          <w:sz w:val="22"/>
          <w:szCs w:val="22"/>
          <w:lang w:val="sv-SE"/>
        </w:rPr>
        <w:t>eroende på hur du svarar på behandlingen. Om din dagliga dos är 800 mg</w:t>
      </w:r>
      <w:r>
        <w:rPr>
          <w:color w:val="000000"/>
          <w:sz w:val="22"/>
          <w:szCs w:val="22"/>
          <w:lang w:val="sv-SE"/>
        </w:rPr>
        <w:t xml:space="preserve"> (8 kapslar)</w:t>
      </w:r>
      <w:r w:rsidRPr="000E7AE9">
        <w:rPr>
          <w:color w:val="000000"/>
          <w:sz w:val="22"/>
          <w:szCs w:val="22"/>
          <w:lang w:val="sv-SE"/>
        </w:rPr>
        <w:t xml:space="preserve"> skall du ta </w:t>
      </w:r>
      <w:r>
        <w:rPr>
          <w:color w:val="000000"/>
          <w:sz w:val="22"/>
          <w:szCs w:val="22"/>
          <w:lang w:val="sv-SE"/>
        </w:rPr>
        <w:t>4</w:t>
      </w:r>
      <w:r w:rsidRPr="000E7AE9">
        <w:rPr>
          <w:color w:val="000000"/>
          <w:sz w:val="22"/>
          <w:szCs w:val="22"/>
          <w:lang w:val="sv-SE"/>
        </w:rPr>
        <w:t xml:space="preserve"> kapslar på morgonen och </w:t>
      </w:r>
      <w:r>
        <w:rPr>
          <w:color w:val="000000"/>
          <w:sz w:val="22"/>
          <w:szCs w:val="22"/>
          <w:lang w:val="sv-SE"/>
        </w:rPr>
        <w:t>4</w:t>
      </w:r>
      <w:r w:rsidRPr="000E7AE9">
        <w:rPr>
          <w:color w:val="000000"/>
          <w:sz w:val="22"/>
          <w:szCs w:val="22"/>
          <w:lang w:val="sv-SE"/>
        </w:rPr>
        <w:t> kapslar på kvällen</w:t>
      </w:r>
      <w:r>
        <w:rPr>
          <w:color w:val="000000"/>
          <w:sz w:val="22"/>
          <w:szCs w:val="22"/>
          <w:lang w:val="sv-SE"/>
        </w:rPr>
        <w:t>.</w:t>
      </w:r>
    </w:p>
    <w:p w14:paraId="22FCC17E" w14:textId="77777777" w:rsidR="00CE607D" w:rsidRPr="000E7AE9" w:rsidRDefault="00CE607D" w:rsidP="00463647">
      <w:pPr>
        <w:pStyle w:val="TextChar"/>
        <w:widowControl w:val="0"/>
        <w:spacing w:before="0"/>
        <w:jc w:val="left"/>
        <w:rPr>
          <w:color w:val="000000"/>
          <w:sz w:val="22"/>
          <w:szCs w:val="22"/>
          <w:lang w:val="sv-SE"/>
        </w:rPr>
      </w:pPr>
    </w:p>
    <w:p w14:paraId="5597CC8C" w14:textId="77777777" w:rsidR="00CE607D" w:rsidRDefault="00CE607D" w:rsidP="009E09A2">
      <w:pPr>
        <w:pStyle w:val="TextChar"/>
        <w:keepNext/>
        <w:widowControl w:val="0"/>
        <w:spacing w:before="0"/>
        <w:jc w:val="left"/>
        <w:rPr>
          <w:color w:val="000000"/>
          <w:sz w:val="22"/>
          <w:szCs w:val="22"/>
          <w:lang w:val="sv-SE"/>
        </w:rPr>
      </w:pPr>
      <w:r w:rsidRPr="000E7AE9">
        <w:rPr>
          <w:color w:val="000000"/>
          <w:szCs w:val="22"/>
          <w:lang w:val="sv-SE"/>
        </w:rPr>
        <w:t>-</w:t>
      </w:r>
      <w:r w:rsidRPr="000E7AE9">
        <w:rPr>
          <w:color w:val="000000"/>
          <w:szCs w:val="22"/>
          <w:lang w:val="sv-SE"/>
        </w:rPr>
        <w:tab/>
      </w:r>
      <w:r w:rsidRPr="00961881">
        <w:rPr>
          <w:b/>
          <w:color w:val="000000"/>
          <w:sz w:val="22"/>
          <w:szCs w:val="22"/>
          <w:lang w:val="sv-SE"/>
        </w:rPr>
        <w:t>Om du behandlas för Ph-positiv ALL:</w:t>
      </w:r>
    </w:p>
    <w:p w14:paraId="3B8F0587" w14:textId="77777777" w:rsidR="00CE607D" w:rsidRPr="000E7AE9" w:rsidRDefault="00CE607D" w:rsidP="00463647">
      <w:pPr>
        <w:pStyle w:val="TextChar"/>
        <w:widowControl w:val="0"/>
        <w:spacing w:before="0"/>
        <w:ind w:firstLine="567"/>
        <w:jc w:val="left"/>
        <w:rPr>
          <w:color w:val="000000"/>
          <w:sz w:val="22"/>
          <w:szCs w:val="22"/>
          <w:lang w:val="sv-SE"/>
        </w:rPr>
      </w:pPr>
      <w:r>
        <w:rPr>
          <w:color w:val="000000"/>
          <w:sz w:val="22"/>
          <w:szCs w:val="22"/>
          <w:lang w:val="sv-SE"/>
        </w:rPr>
        <w:t>är</w:t>
      </w:r>
      <w:r w:rsidRPr="000E7AE9">
        <w:rPr>
          <w:color w:val="000000"/>
          <w:sz w:val="22"/>
          <w:szCs w:val="22"/>
          <w:lang w:val="sv-SE"/>
        </w:rPr>
        <w:t xml:space="preserve"> startdos</w:t>
      </w:r>
      <w:r>
        <w:rPr>
          <w:color w:val="000000"/>
          <w:sz w:val="22"/>
          <w:szCs w:val="22"/>
          <w:lang w:val="sv-SE"/>
        </w:rPr>
        <w:t xml:space="preserve">en </w:t>
      </w:r>
      <w:r w:rsidRPr="000E7AE9">
        <w:rPr>
          <w:color w:val="000000"/>
          <w:sz w:val="22"/>
          <w:szCs w:val="22"/>
          <w:lang w:val="sv-SE"/>
        </w:rPr>
        <w:t xml:space="preserve">600 mg som tas som </w:t>
      </w:r>
      <w:r>
        <w:rPr>
          <w:color w:val="000000"/>
          <w:sz w:val="22"/>
          <w:szCs w:val="22"/>
          <w:lang w:val="sv-SE"/>
        </w:rPr>
        <w:t>6</w:t>
      </w:r>
      <w:r w:rsidRPr="000E7AE9">
        <w:rPr>
          <w:color w:val="000000"/>
          <w:sz w:val="22"/>
          <w:szCs w:val="22"/>
          <w:lang w:val="sv-SE"/>
        </w:rPr>
        <w:t xml:space="preserve"> kapslar </w:t>
      </w:r>
      <w:r w:rsidRPr="00EE7BD7">
        <w:rPr>
          <w:b/>
          <w:color w:val="000000"/>
          <w:sz w:val="22"/>
          <w:szCs w:val="22"/>
          <w:lang w:val="sv-SE"/>
        </w:rPr>
        <w:t>en</w:t>
      </w:r>
      <w:r w:rsidRPr="000E7AE9">
        <w:rPr>
          <w:color w:val="000000"/>
          <w:sz w:val="22"/>
          <w:szCs w:val="22"/>
          <w:lang w:val="sv-SE"/>
        </w:rPr>
        <w:t xml:space="preserve"> gång dagligen.</w:t>
      </w:r>
    </w:p>
    <w:p w14:paraId="78D3F0BE" w14:textId="77777777" w:rsidR="00CE607D" w:rsidRPr="000E7AE9" w:rsidRDefault="00CE607D" w:rsidP="00463647">
      <w:pPr>
        <w:pStyle w:val="TextChar"/>
        <w:widowControl w:val="0"/>
        <w:spacing w:before="0"/>
        <w:jc w:val="left"/>
        <w:rPr>
          <w:color w:val="000000"/>
          <w:sz w:val="22"/>
          <w:szCs w:val="22"/>
          <w:lang w:val="sv-SE"/>
        </w:rPr>
      </w:pPr>
    </w:p>
    <w:p w14:paraId="75C7AE05" w14:textId="77777777" w:rsidR="00CE607D" w:rsidRDefault="00CE607D" w:rsidP="009E09A2">
      <w:pPr>
        <w:pStyle w:val="TextChar"/>
        <w:keepNext/>
        <w:widowControl w:val="0"/>
        <w:spacing w:before="0"/>
        <w:jc w:val="left"/>
        <w:rPr>
          <w:color w:val="000000"/>
          <w:sz w:val="22"/>
          <w:szCs w:val="22"/>
          <w:lang w:val="sv-SE"/>
        </w:rPr>
      </w:pPr>
      <w:r w:rsidRPr="000E7AE9">
        <w:rPr>
          <w:color w:val="000000"/>
          <w:szCs w:val="22"/>
          <w:lang w:val="sv-SE"/>
        </w:rPr>
        <w:lastRenderedPageBreak/>
        <w:t>-</w:t>
      </w:r>
      <w:r w:rsidRPr="000E7AE9">
        <w:rPr>
          <w:color w:val="000000"/>
          <w:szCs w:val="22"/>
          <w:lang w:val="sv-SE"/>
        </w:rPr>
        <w:tab/>
      </w:r>
      <w:r w:rsidRPr="00EE7BD7">
        <w:rPr>
          <w:b/>
          <w:color w:val="000000"/>
          <w:sz w:val="22"/>
          <w:szCs w:val="22"/>
          <w:lang w:val="sv-SE"/>
        </w:rPr>
        <w:t>Om du behandlas för MDS/MPD:</w:t>
      </w:r>
    </w:p>
    <w:p w14:paraId="086BDF8B" w14:textId="77777777" w:rsidR="00CE607D" w:rsidRPr="000E7AE9" w:rsidRDefault="00CE607D" w:rsidP="00463647">
      <w:pPr>
        <w:pStyle w:val="TextChar"/>
        <w:widowControl w:val="0"/>
        <w:spacing w:before="0"/>
        <w:ind w:left="567"/>
        <w:jc w:val="left"/>
        <w:rPr>
          <w:color w:val="000000"/>
          <w:sz w:val="22"/>
          <w:szCs w:val="22"/>
          <w:lang w:val="sv-SE"/>
        </w:rPr>
      </w:pPr>
      <w:r>
        <w:rPr>
          <w:color w:val="000000"/>
          <w:sz w:val="22"/>
          <w:szCs w:val="22"/>
          <w:lang w:val="sv-SE"/>
        </w:rPr>
        <w:t>är</w:t>
      </w:r>
      <w:r w:rsidRPr="000E7AE9">
        <w:rPr>
          <w:color w:val="000000"/>
          <w:sz w:val="22"/>
          <w:szCs w:val="22"/>
          <w:lang w:val="sv-SE"/>
        </w:rPr>
        <w:t xml:space="preserve"> startdos</w:t>
      </w:r>
      <w:r>
        <w:rPr>
          <w:color w:val="000000"/>
          <w:sz w:val="22"/>
          <w:szCs w:val="22"/>
          <w:lang w:val="sv-SE"/>
        </w:rPr>
        <w:t>en</w:t>
      </w:r>
      <w:r w:rsidRPr="000E7AE9">
        <w:rPr>
          <w:color w:val="000000"/>
          <w:sz w:val="22"/>
          <w:szCs w:val="22"/>
          <w:lang w:val="sv-SE"/>
        </w:rPr>
        <w:t xml:space="preserve"> 400 mg som tas som </w:t>
      </w:r>
      <w:r>
        <w:rPr>
          <w:color w:val="000000"/>
          <w:sz w:val="22"/>
          <w:szCs w:val="22"/>
          <w:lang w:val="sv-SE"/>
        </w:rPr>
        <w:t>4</w:t>
      </w:r>
      <w:r w:rsidRPr="000E7AE9">
        <w:rPr>
          <w:color w:val="000000"/>
          <w:sz w:val="22"/>
          <w:szCs w:val="22"/>
          <w:lang w:val="sv-SE"/>
        </w:rPr>
        <w:t xml:space="preserve"> kapslar </w:t>
      </w:r>
      <w:r w:rsidRPr="00EE7BD7">
        <w:rPr>
          <w:b/>
          <w:color w:val="000000"/>
          <w:sz w:val="22"/>
          <w:szCs w:val="22"/>
          <w:lang w:val="sv-SE"/>
        </w:rPr>
        <w:t>en</w:t>
      </w:r>
      <w:r w:rsidRPr="000E7AE9">
        <w:rPr>
          <w:color w:val="000000"/>
          <w:sz w:val="22"/>
          <w:szCs w:val="22"/>
          <w:lang w:val="sv-SE"/>
        </w:rPr>
        <w:t xml:space="preserve"> gång dagligen.</w:t>
      </w:r>
    </w:p>
    <w:p w14:paraId="2D6B965D" w14:textId="77777777" w:rsidR="00CE607D" w:rsidRPr="000E7AE9" w:rsidRDefault="00CE607D" w:rsidP="00463647">
      <w:pPr>
        <w:pStyle w:val="TextChar"/>
        <w:widowControl w:val="0"/>
        <w:spacing w:before="0"/>
        <w:jc w:val="left"/>
        <w:rPr>
          <w:color w:val="000000"/>
          <w:sz w:val="22"/>
          <w:szCs w:val="22"/>
          <w:lang w:val="sv-SE"/>
        </w:rPr>
      </w:pPr>
    </w:p>
    <w:p w14:paraId="13743079" w14:textId="77777777" w:rsidR="00CE607D" w:rsidRDefault="00CE607D" w:rsidP="009E09A2">
      <w:pPr>
        <w:pStyle w:val="TextChar"/>
        <w:keepNext/>
        <w:widowControl w:val="0"/>
        <w:spacing w:before="0"/>
        <w:jc w:val="left"/>
        <w:rPr>
          <w:color w:val="000000"/>
          <w:sz w:val="22"/>
          <w:szCs w:val="22"/>
          <w:lang w:val="sv-SE"/>
        </w:rPr>
      </w:pPr>
      <w:r w:rsidRPr="000E7AE9">
        <w:rPr>
          <w:color w:val="000000"/>
          <w:szCs w:val="22"/>
          <w:lang w:val="sv-SE"/>
        </w:rPr>
        <w:t>-</w:t>
      </w:r>
      <w:r w:rsidRPr="000E7AE9">
        <w:rPr>
          <w:color w:val="000000"/>
          <w:szCs w:val="22"/>
          <w:lang w:val="sv-SE"/>
        </w:rPr>
        <w:tab/>
      </w:r>
      <w:r w:rsidRPr="00EE7BD7">
        <w:rPr>
          <w:b/>
          <w:color w:val="000000"/>
          <w:sz w:val="22"/>
          <w:szCs w:val="22"/>
          <w:lang w:val="sv-SE"/>
        </w:rPr>
        <w:t>Om du behandlas för HES/CEL:</w:t>
      </w:r>
    </w:p>
    <w:p w14:paraId="6B745EC2" w14:textId="77777777" w:rsidR="00CE607D" w:rsidRPr="000E7AE9" w:rsidRDefault="00CE607D" w:rsidP="00463647">
      <w:pPr>
        <w:pStyle w:val="TextChar"/>
        <w:widowControl w:val="0"/>
        <w:spacing w:before="0"/>
        <w:ind w:left="567" w:firstLine="3"/>
        <w:jc w:val="left"/>
        <w:rPr>
          <w:color w:val="000000"/>
          <w:sz w:val="22"/>
          <w:szCs w:val="22"/>
          <w:lang w:val="sv-SE"/>
        </w:rPr>
      </w:pPr>
      <w:r>
        <w:rPr>
          <w:color w:val="000000"/>
          <w:sz w:val="22"/>
          <w:szCs w:val="22"/>
          <w:lang w:val="sv-SE"/>
        </w:rPr>
        <w:t>är</w:t>
      </w:r>
      <w:r w:rsidRPr="000E7AE9">
        <w:rPr>
          <w:color w:val="000000"/>
          <w:sz w:val="22"/>
          <w:szCs w:val="22"/>
          <w:lang w:val="sv-SE"/>
        </w:rPr>
        <w:t xml:space="preserve"> startdos</w:t>
      </w:r>
      <w:r>
        <w:rPr>
          <w:color w:val="000000"/>
          <w:sz w:val="22"/>
          <w:szCs w:val="22"/>
          <w:lang w:val="sv-SE"/>
        </w:rPr>
        <w:t>en</w:t>
      </w:r>
      <w:r w:rsidRPr="000E7AE9">
        <w:rPr>
          <w:color w:val="000000"/>
          <w:sz w:val="22"/>
          <w:szCs w:val="22"/>
          <w:lang w:val="sv-SE"/>
        </w:rPr>
        <w:t xml:space="preserve"> 100 mg som tas som </w:t>
      </w:r>
      <w:r>
        <w:rPr>
          <w:color w:val="000000"/>
          <w:sz w:val="22"/>
          <w:szCs w:val="22"/>
          <w:lang w:val="sv-SE"/>
        </w:rPr>
        <w:t>en</w:t>
      </w:r>
      <w:r w:rsidRPr="000E7AE9">
        <w:rPr>
          <w:color w:val="000000"/>
          <w:sz w:val="22"/>
          <w:szCs w:val="22"/>
          <w:lang w:val="sv-SE"/>
        </w:rPr>
        <w:t> kaps</w:t>
      </w:r>
      <w:r>
        <w:rPr>
          <w:color w:val="000000"/>
          <w:sz w:val="22"/>
          <w:szCs w:val="22"/>
          <w:lang w:val="sv-SE"/>
        </w:rPr>
        <w:t>el</w:t>
      </w:r>
      <w:r w:rsidRPr="000E7AE9">
        <w:rPr>
          <w:color w:val="000000"/>
          <w:sz w:val="22"/>
          <w:szCs w:val="22"/>
          <w:lang w:val="sv-SE"/>
        </w:rPr>
        <w:t xml:space="preserve"> </w:t>
      </w:r>
      <w:r w:rsidRPr="00EE7BD7">
        <w:rPr>
          <w:b/>
          <w:color w:val="000000"/>
          <w:sz w:val="22"/>
          <w:szCs w:val="22"/>
          <w:lang w:val="sv-SE"/>
        </w:rPr>
        <w:t>en</w:t>
      </w:r>
      <w:r w:rsidRPr="000E7AE9">
        <w:rPr>
          <w:color w:val="000000"/>
          <w:sz w:val="22"/>
          <w:szCs w:val="22"/>
          <w:lang w:val="sv-SE"/>
        </w:rPr>
        <w:t xml:space="preserve"> gång dagligen. Din läkare kan bestämma sig för att öka dosen till 400 mg som tas som </w:t>
      </w:r>
      <w:r>
        <w:rPr>
          <w:color w:val="000000"/>
          <w:sz w:val="22"/>
          <w:szCs w:val="22"/>
          <w:lang w:val="sv-SE"/>
        </w:rPr>
        <w:t>4</w:t>
      </w:r>
      <w:r w:rsidRPr="000E7AE9">
        <w:rPr>
          <w:color w:val="000000"/>
          <w:sz w:val="22"/>
          <w:szCs w:val="22"/>
          <w:lang w:val="sv-SE"/>
        </w:rPr>
        <w:t xml:space="preserve"> kapslar </w:t>
      </w:r>
      <w:r w:rsidRPr="00EE7BD7">
        <w:rPr>
          <w:b/>
          <w:color w:val="000000"/>
          <w:sz w:val="22"/>
          <w:szCs w:val="22"/>
          <w:lang w:val="sv-SE"/>
        </w:rPr>
        <w:t>en</w:t>
      </w:r>
      <w:r w:rsidRPr="000E7AE9">
        <w:rPr>
          <w:color w:val="000000"/>
          <w:sz w:val="22"/>
          <w:szCs w:val="22"/>
          <w:lang w:val="sv-SE"/>
        </w:rPr>
        <w:t xml:space="preserve"> gång dagligen, beroende på hur du svarar på behandlingen.</w:t>
      </w:r>
    </w:p>
    <w:p w14:paraId="6A641948" w14:textId="77777777" w:rsidR="00CE607D" w:rsidRPr="000E7AE9" w:rsidRDefault="00CE607D" w:rsidP="009E09A2">
      <w:pPr>
        <w:pStyle w:val="TextChar"/>
        <w:widowControl w:val="0"/>
        <w:spacing w:before="0"/>
        <w:jc w:val="left"/>
        <w:rPr>
          <w:color w:val="000000"/>
          <w:sz w:val="22"/>
          <w:szCs w:val="22"/>
          <w:lang w:val="sv-SE"/>
        </w:rPr>
      </w:pPr>
    </w:p>
    <w:p w14:paraId="1D2AD313" w14:textId="77777777" w:rsidR="00CE607D" w:rsidRDefault="00CE607D" w:rsidP="009E09A2">
      <w:pPr>
        <w:pStyle w:val="TextChar"/>
        <w:keepNext/>
        <w:widowControl w:val="0"/>
        <w:spacing w:before="0"/>
        <w:jc w:val="left"/>
        <w:rPr>
          <w:color w:val="000000"/>
          <w:sz w:val="22"/>
          <w:szCs w:val="22"/>
          <w:lang w:val="sv-SE"/>
        </w:rPr>
      </w:pPr>
      <w:r w:rsidRPr="000E7AE9">
        <w:rPr>
          <w:color w:val="000000"/>
          <w:szCs w:val="22"/>
          <w:lang w:val="sv-SE"/>
        </w:rPr>
        <w:t>-</w:t>
      </w:r>
      <w:r w:rsidRPr="000E7AE9">
        <w:rPr>
          <w:color w:val="000000"/>
          <w:szCs w:val="22"/>
          <w:lang w:val="sv-SE"/>
        </w:rPr>
        <w:tab/>
      </w:r>
      <w:r w:rsidRPr="00EE7BD7">
        <w:rPr>
          <w:b/>
          <w:color w:val="000000"/>
          <w:sz w:val="22"/>
          <w:szCs w:val="22"/>
          <w:lang w:val="sv-SE"/>
        </w:rPr>
        <w:t>Om du behandlas för DFSP:</w:t>
      </w:r>
    </w:p>
    <w:p w14:paraId="0EF0334E" w14:textId="77777777" w:rsidR="00CE607D" w:rsidRPr="000E7AE9" w:rsidRDefault="00CE607D" w:rsidP="00463647">
      <w:pPr>
        <w:pStyle w:val="TextChar"/>
        <w:widowControl w:val="0"/>
        <w:spacing w:before="0"/>
        <w:ind w:left="567"/>
        <w:jc w:val="left"/>
        <w:rPr>
          <w:color w:val="000000"/>
          <w:sz w:val="22"/>
          <w:szCs w:val="22"/>
          <w:lang w:val="sv-SE"/>
        </w:rPr>
      </w:pPr>
      <w:r>
        <w:rPr>
          <w:color w:val="000000"/>
          <w:sz w:val="22"/>
          <w:szCs w:val="22"/>
          <w:lang w:val="sv-SE"/>
        </w:rPr>
        <w:t>ä</w:t>
      </w:r>
      <w:r w:rsidRPr="000E7AE9">
        <w:rPr>
          <w:color w:val="000000"/>
          <w:sz w:val="22"/>
          <w:szCs w:val="22"/>
          <w:lang w:val="sv-SE"/>
        </w:rPr>
        <w:t xml:space="preserve">r dosen 800 mg per dygn </w:t>
      </w:r>
      <w:r>
        <w:rPr>
          <w:color w:val="000000"/>
          <w:sz w:val="22"/>
          <w:szCs w:val="22"/>
          <w:lang w:val="sv-SE"/>
        </w:rPr>
        <w:t xml:space="preserve">(8 kapslar) </w:t>
      </w:r>
      <w:r w:rsidRPr="000E7AE9">
        <w:rPr>
          <w:color w:val="000000"/>
          <w:sz w:val="22"/>
          <w:szCs w:val="22"/>
          <w:lang w:val="sv-SE"/>
        </w:rPr>
        <w:t xml:space="preserve">som tas som </w:t>
      </w:r>
      <w:r>
        <w:rPr>
          <w:color w:val="000000"/>
          <w:sz w:val="22"/>
          <w:szCs w:val="22"/>
          <w:lang w:val="sv-SE"/>
        </w:rPr>
        <w:t>4</w:t>
      </w:r>
      <w:r w:rsidRPr="000E7AE9">
        <w:rPr>
          <w:color w:val="000000"/>
          <w:sz w:val="22"/>
          <w:szCs w:val="22"/>
          <w:lang w:val="sv-SE"/>
        </w:rPr>
        <w:t xml:space="preserve"> kapslar på morgonen och </w:t>
      </w:r>
      <w:r>
        <w:rPr>
          <w:color w:val="000000"/>
          <w:sz w:val="22"/>
          <w:szCs w:val="22"/>
          <w:lang w:val="sv-SE"/>
        </w:rPr>
        <w:t>4</w:t>
      </w:r>
      <w:r w:rsidRPr="000E7AE9">
        <w:rPr>
          <w:color w:val="000000"/>
          <w:sz w:val="22"/>
          <w:szCs w:val="22"/>
          <w:lang w:val="sv-SE"/>
        </w:rPr>
        <w:t> kapslar på kvällen</w:t>
      </w:r>
      <w:r>
        <w:rPr>
          <w:color w:val="000000"/>
          <w:sz w:val="22"/>
          <w:szCs w:val="22"/>
          <w:lang w:val="sv-SE"/>
        </w:rPr>
        <w:t>.</w:t>
      </w:r>
    </w:p>
    <w:p w14:paraId="2FED020A" w14:textId="77777777" w:rsidR="00CE607D" w:rsidRPr="000E7AE9" w:rsidRDefault="00CE607D" w:rsidP="00463647">
      <w:pPr>
        <w:pStyle w:val="Heading2"/>
        <w:keepNext w:val="0"/>
        <w:widowControl w:val="0"/>
        <w:spacing w:before="0" w:after="0" w:line="240" w:lineRule="auto"/>
        <w:rPr>
          <w:rFonts w:ascii="Times New Roman" w:hAnsi="Times New Roman"/>
          <w:b w:val="0"/>
          <w:i w:val="0"/>
          <w:color w:val="000000"/>
          <w:sz w:val="22"/>
          <w:szCs w:val="22"/>
          <w:lang w:val="sv-SE"/>
        </w:rPr>
      </w:pPr>
    </w:p>
    <w:p w14:paraId="32741725" w14:textId="77777777" w:rsidR="00CE607D" w:rsidRPr="00EE7BD7" w:rsidRDefault="00CE607D" w:rsidP="009E09A2">
      <w:pPr>
        <w:keepNext/>
        <w:widowControl w:val="0"/>
        <w:spacing w:line="240" w:lineRule="auto"/>
        <w:rPr>
          <w:b/>
          <w:color w:val="000000"/>
          <w:szCs w:val="22"/>
          <w:lang w:val="sv-SE"/>
        </w:rPr>
      </w:pPr>
      <w:r w:rsidRPr="00EE7BD7">
        <w:rPr>
          <w:b/>
          <w:color w:val="000000"/>
          <w:szCs w:val="22"/>
          <w:lang w:val="sv-SE"/>
        </w:rPr>
        <w:t xml:space="preserve">Användning </w:t>
      </w:r>
      <w:r w:rsidR="005B1EFF">
        <w:rPr>
          <w:b/>
          <w:color w:val="000000"/>
          <w:szCs w:val="22"/>
          <w:lang w:val="sv-SE"/>
        </w:rPr>
        <w:t xml:space="preserve">för </w:t>
      </w:r>
      <w:r w:rsidRPr="00EE7BD7">
        <w:rPr>
          <w:b/>
          <w:color w:val="000000"/>
          <w:szCs w:val="22"/>
          <w:lang w:val="sv-SE"/>
        </w:rPr>
        <w:t>barn</w:t>
      </w:r>
      <w:r w:rsidR="005B1EFF">
        <w:rPr>
          <w:b/>
          <w:color w:val="000000"/>
          <w:szCs w:val="22"/>
          <w:lang w:val="sv-SE"/>
        </w:rPr>
        <w:t xml:space="preserve"> och </w:t>
      </w:r>
      <w:r w:rsidR="006460C9">
        <w:rPr>
          <w:b/>
          <w:color w:val="000000"/>
          <w:szCs w:val="22"/>
          <w:lang w:val="sv-SE"/>
        </w:rPr>
        <w:t>ungdomar</w:t>
      </w:r>
    </w:p>
    <w:p w14:paraId="2AA8B44B" w14:textId="77777777" w:rsidR="00CE607D" w:rsidRPr="000E7AE9" w:rsidRDefault="00CE607D" w:rsidP="00463647">
      <w:pPr>
        <w:widowControl w:val="0"/>
        <w:spacing w:line="240" w:lineRule="auto"/>
        <w:rPr>
          <w:color w:val="000000"/>
          <w:szCs w:val="22"/>
          <w:lang w:val="sv-SE"/>
        </w:rPr>
      </w:pPr>
      <w:r w:rsidRPr="000E7AE9">
        <w:rPr>
          <w:color w:val="000000"/>
          <w:szCs w:val="22"/>
          <w:lang w:val="sv-SE"/>
        </w:rPr>
        <w:t xml:space="preserve">Din läkare informerar dig om hur många kapslar Glivec </w:t>
      </w:r>
      <w:r>
        <w:rPr>
          <w:color w:val="000000"/>
          <w:szCs w:val="22"/>
          <w:lang w:val="sv-SE"/>
        </w:rPr>
        <w:t>som ska</w:t>
      </w:r>
      <w:r w:rsidRPr="000E7AE9">
        <w:rPr>
          <w:color w:val="000000"/>
          <w:szCs w:val="22"/>
          <w:lang w:val="sv-SE"/>
        </w:rPr>
        <w:t xml:space="preserve"> ge</w:t>
      </w:r>
      <w:r>
        <w:rPr>
          <w:color w:val="000000"/>
          <w:szCs w:val="22"/>
          <w:lang w:val="sv-SE"/>
        </w:rPr>
        <w:t>s till</w:t>
      </w:r>
      <w:r w:rsidRPr="000E7AE9">
        <w:rPr>
          <w:color w:val="000000"/>
          <w:szCs w:val="22"/>
          <w:lang w:val="sv-SE"/>
        </w:rPr>
        <w:t xml:space="preserve"> ditt barn. Mängden Glivec som ges är beroende av ditt barns tillstånd</w:t>
      </w:r>
      <w:r>
        <w:rPr>
          <w:color w:val="000000"/>
          <w:szCs w:val="22"/>
          <w:lang w:val="sv-SE"/>
        </w:rPr>
        <w:t>,</w:t>
      </w:r>
      <w:r w:rsidRPr="000E7AE9">
        <w:rPr>
          <w:color w:val="000000"/>
          <w:szCs w:val="22"/>
          <w:lang w:val="sv-SE"/>
        </w:rPr>
        <w:t xml:space="preserve"> kroppsvikt och längd. Den totala dosen till barn skall inte överstiga 800 mg</w:t>
      </w:r>
      <w:r w:rsidR="00D046C5">
        <w:rPr>
          <w:color w:val="000000"/>
          <w:szCs w:val="22"/>
          <w:lang w:val="sv-SE"/>
        </w:rPr>
        <w:t xml:space="preserve"> vid KML och 600 mg vid Ph</w:t>
      </w:r>
      <w:r w:rsidR="00C16421">
        <w:rPr>
          <w:color w:val="000000"/>
          <w:szCs w:val="22"/>
          <w:lang w:val="sv-SE"/>
        </w:rPr>
        <w:t xml:space="preserve">-positiv </w:t>
      </w:r>
      <w:r w:rsidR="00D046C5">
        <w:rPr>
          <w:color w:val="000000"/>
          <w:szCs w:val="22"/>
          <w:lang w:val="sv-SE"/>
        </w:rPr>
        <w:t>ALL</w:t>
      </w:r>
      <w:r>
        <w:rPr>
          <w:color w:val="000000"/>
          <w:szCs w:val="22"/>
          <w:lang w:val="sv-SE"/>
        </w:rPr>
        <w:t xml:space="preserve">. </w:t>
      </w:r>
      <w:r w:rsidRPr="000E7AE9">
        <w:rPr>
          <w:color w:val="000000"/>
          <w:szCs w:val="22"/>
          <w:lang w:val="sv-SE"/>
        </w:rPr>
        <w:t>Behandlingen kan antingen ges till ditt barn som en engångsdos eller alternativt kan den dagliga dosen ges vid två olika tillfällen (</w:t>
      </w:r>
      <w:r>
        <w:rPr>
          <w:color w:val="000000"/>
          <w:szCs w:val="22"/>
          <w:lang w:val="sv-SE"/>
        </w:rPr>
        <w:t>hälften</w:t>
      </w:r>
      <w:r w:rsidRPr="000E7AE9">
        <w:rPr>
          <w:color w:val="000000"/>
          <w:szCs w:val="22"/>
          <w:lang w:val="sv-SE"/>
        </w:rPr>
        <w:t xml:space="preserve"> på morgonen och </w:t>
      </w:r>
      <w:r>
        <w:rPr>
          <w:color w:val="000000"/>
          <w:szCs w:val="22"/>
          <w:lang w:val="sv-SE"/>
        </w:rPr>
        <w:t>hälften</w:t>
      </w:r>
      <w:r w:rsidRPr="000E7AE9">
        <w:rPr>
          <w:color w:val="000000"/>
          <w:szCs w:val="22"/>
          <w:lang w:val="sv-SE"/>
        </w:rPr>
        <w:t xml:space="preserve"> på kvällen).</w:t>
      </w:r>
    </w:p>
    <w:p w14:paraId="25197086" w14:textId="77777777" w:rsidR="00CE607D" w:rsidRPr="000E7AE9" w:rsidRDefault="00CE607D" w:rsidP="00463647">
      <w:pPr>
        <w:widowControl w:val="0"/>
        <w:spacing w:line="240" w:lineRule="auto"/>
        <w:rPr>
          <w:color w:val="000000"/>
          <w:szCs w:val="22"/>
          <w:lang w:val="sv-SE"/>
        </w:rPr>
      </w:pPr>
    </w:p>
    <w:p w14:paraId="5BFE7EE6" w14:textId="77777777" w:rsidR="00CE607D" w:rsidRPr="000E7AE9" w:rsidRDefault="00CE607D" w:rsidP="009E09A2">
      <w:pPr>
        <w:pStyle w:val="TextChar"/>
        <w:keepNext/>
        <w:widowControl w:val="0"/>
        <w:spacing w:before="0"/>
        <w:jc w:val="left"/>
        <w:rPr>
          <w:b/>
          <w:color w:val="000000"/>
          <w:sz w:val="22"/>
          <w:szCs w:val="22"/>
          <w:lang w:val="sv-SE"/>
        </w:rPr>
      </w:pPr>
      <w:r w:rsidRPr="000E7AE9">
        <w:rPr>
          <w:b/>
          <w:color w:val="000000"/>
          <w:sz w:val="22"/>
          <w:szCs w:val="22"/>
          <w:lang w:val="sv-SE"/>
        </w:rPr>
        <w:t>När och hur skall man ta Glivec?</w:t>
      </w:r>
    </w:p>
    <w:p w14:paraId="4D571C90" w14:textId="77777777" w:rsidR="00CE607D" w:rsidRDefault="00CE607D" w:rsidP="00463647">
      <w:pPr>
        <w:pStyle w:val="EndnoteText"/>
        <w:widowControl w:val="0"/>
        <w:tabs>
          <w:tab w:val="clear" w:pos="567"/>
        </w:tabs>
        <w:ind w:left="567" w:hanging="567"/>
        <w:rPr>
          <w:b/>
          <w:color w:val="000000"/>
          <w:szCs w:val="22"/>
          <w:lang w:val="sv-SE"/>
        </w:rPr>
      </w:pPr>
      <w:r w:rsidRPr="000E7AE9">
        <w:rPr>
          <w:color w:val="000000"/>
          <w:szCs w:val="22"/>
          <w:lang w:val="sv-SE"/>
        </w:rPr>
        <w:t>-</w:t>
      </w:r>
      <w:r w:rsidRPr="000E7AE9">
        <w:rPr>
          <w:color w:val="000000"/>
          <w:szCs w:val="22"/>
          <w:lang w:val="sv-SE"/>
        </w:rPr>
        <w:tab/>
      </w:r>
      <w:r w:rsidRPr="000E7AE9">
        <w:rPr>
          <w:b/>
          <w:color w:val="000000"/>
          <w:szCs w:val="22"/>
          <w:lang w:val="sv-SE"/>
        </w:rPr>
        <w:t>Ta Glivec i samband med en måltid</w:t>
      </w:r>
      <w:r>
        <w:rPr>
          <w:b/>
          <w:color w:val="000000"/>
          <w:szCs w:val="22"/>
          <w:lang w:val="sv-SE"/>
        </w:rPr>
        <w:t>.</w:t>
      </w:r>
      <w:r w:rsidRPr="000E7AE9">
        <w:rPr>
          <w:b/>
          <w:color w:val="000000"/>
          <w:szCs w:val="22"/>
          <w:lang w:val="sv-SE"/>
        </w:rPr>
        <w:t xml:space="preserve"> </w:t>
      </w:r>
      <w:r>
        <w:rPr>
          <w:color w:val="000000"/>
          <w:szCs w:val="22"/>
          <w:lang w:val="sv-SE"/>
        </w:rPr>
        <w:t xml:space="preserve">Det </w:t>
      </w:r>
      <w:r w:rsidRPr="0089641A">
        <w:rPr>
          <w:color w:val="000000"/>
          <w:szCs w:val="22"/>
          <w:lang w:val="sv-SE"/>
        </w:rPr>
        <w:t xml:space="preserve">hjälper till att skydda </w:t>
      </w:r>
      <w:r>
        <w:rPr>
          <w:color w:val="000000"/>
          <w:szCs w:val="22"/>
          <w:lang w:val="sv-SE"/>
        </w:rPr>
        <w:t>mot</w:t>
      </w:r>
      <w:r w:rsidRPr="0089641A">
        <w:rPr>
          <w:color w:val="000000"/>
          <w:szCs w:val="22"/>
          <w:lang w:val="sv-SE"/>
        </w:rPr>
        <w:t xml:space="preserve"> mag</w:t>
      </w:r>
      <w:r>
        <w:rPr>
          <w:color w:val="000000"/>
          <w:szCs w:val="22"/>
          <w:lang w:val="sv-SE"/>
        </w:rPr>
        <w:t>problem när du tar Glivec.</w:t>
      </w:r>
    </w:p>
    <w:p w14:paraId="21EFA671" w14:textId="77777777" w:rsidR="00CE607D" w:rsidRDefault="00CE607D" w:rsidP="00463647">
      <w:pPr>
        <w:pStyle w:val="EndnoteText"/>
        <w:widowControl w:val="0"/>
        <w:tabs>
          <w:tab w:val="clear" w:pos="567"/>
        </w:tabs>
        <w:ind w:left="567" w:hanging="567"/>
        <w:rPr>
          <w:color w:val="000000"/>
          <w:szCs w:val="22"/>
          <w:lang w:val="sv-SE"/>
        </w:rPr>
      </w:pPr>
      <w:r w:rsidRPr="000E7AE9">
        <w:rPr>
          <w:color w:val="000000"/>
          <w:szCs w:val="22"/>
          <w:lang w:val="sv-SE"/>
        </w:rPr>
        <w:t>-</w:t>
      </w:r>
      <w:r w:rsidRPr="000E7AE9">
        <w:rPr>
          <w:color w:val="000000"/>
          <w:szCs w:val="22"/>
          <w:lang w:val="sv-SE"/>
        </w:rPr>
        <w:tab/>
      </w:r>
      <w:r w:rsidRPr="000E7AE9">
        <w:rPr>
          <w:b/>
          <w:color w:val="000000"/>
          <w:szCs w:val="22"/>
          <w:lang w:val="sv-SE"/>
        </w:rPr>
        <w:t>Svälj kapslarna hela med ett stort glas vatten.</w:t>
      </w:r>
      <w:r w:rsidRPr="000E7AE9">
        <w:rPr>
          <w:color w:val="000000"/>
          <w:szCs w:val="22"/>
          <w:lang w:val="sv-SE"/>
        </w:rPr>
        <w:t xml:space="preserve"> Öppna inte eller krossa kapslarna, såvida du inte har svårigheter att svälja (t.ex. hos barn).</w:t>
      </w:r>
    </w:p>
    <w:p w14:paraId="01D106A2" w14:textId="77777777" w:rsidR="00CE607D" w:rsidRDefault="00CE607D" w:rsidP="00463647">
      <w:pPr>
        <w:pStyle w:val="EndnoteText"/>
        <w:widowControl w:val="0"/>
        <w:tabs>
          <w:tab w:val="clear" w:pos="567"/>
        </w:tabs>
        <w:ind w:left="567" w:hanging="567"/>
        <w:rPr>
          <w:color w:val="000000"/>
          <w:szCs w:val="22"/>
          <w:lang w:val="sv-SE"/>
        </w:rPr>
      </w:pPr>
      <w:r w:rsidRPr="000E7AE9">
        <w:rPr>
          <w:color w:val="000000"/>
          <w:szCs w:val="22"/>
          <w:lang w:val="sv-SE"/>
        </w:rPr>
        <w:t>-</w:t>
      </w:r>
      <w:r w:rsidRPr="000E7AE9">
        <w:rPr>
          <w:color w:val="000000"/>
          <w:szCs w:val="22"/>
          <w:lang w:val="sv-SE"/>
        </w:rPr>
        <w:tab/>
      </w:r>
      <w:r>
        <w:rPr>
          <w:color w:val="000000"/>
          <w:szCs w:val="22"/>
          <w:lang w:val="sv-SE"/>
        </w:rPr>
        <w:t xml:space="preserve">Om du inte kan svälja kapslarna </w:t>
      </w:r>
      <w:r w:rsidRPr="000E7AE9">
        <w:rPr>
          <w:color w:val="000000"/>
          <w:szCs w:val="22"/>
          <w:lang w:val="sv-SE"/>
        </w:rPr>
        <w:t xml:space="preserve">kan </w:t>
      </w:r>
      <w:r>
        <w:rPr>
          <w:color w:val="000000"/>
          <w:szCs w:val="22"/>
          <w:lang w:val="sv-SE"/>
        </w:rPr>
        <w:t xml:space="preserve">du öppna dem och hälla pulvret </w:t>
      </w:r>
      <w:r w:rsidRPr="000E7AE9">
        <w:rPr>
          <w:color w:val="000000"/>
          <w:szCs w:val="22"/>
          <w:lang w:val="sv-SE"/>
        </w:rPr>
        <w:t>i ett glas icke kolsyrat vatten eller äppeljuice.</w:t>
      </w:r>
    </w:p>
    <w:p w14:paraId="4AF83690" w14:textId="77777777" w:rsidR="00CE607D" w:rsidRPr="000E7AE9" w:rsidRDefault="00CE607D" w:rsidP="00463647">
      <w:pPr>
        <w:pStyle w:val="EndnoteText"/>
        <w:widowControl w:val="0"/>
        <w:tabs>
          <w:tab w:val="clear" w:pos="567"/>
        </w:tabs>
        <w:ind w:left="567" w:hanging="567"/>
        <w:rPr>
          <w:color w:val="000000"/>
          <w:szCs w:val="22"/>
          <w:lang w:val="sv-SE"/>
        </w:rPr>
      </w:pPr>
      <w:r w:rsidRPr="000E7AE9">
        <w:rPr>
          <w:color w:val="000000"/>
          <w:szCs w:val="22"/>
          <w:lang w:val="sv-SE"/>
        </w:rPr>
        <w:t>-</w:t>
      </w:r>
      <w:r w:rsidRPr="000E7AE9">
        <w:rPr>
          <w:color w:val="000000"/>
          <w:szCs w:val="22"/>
          <w:lang w:val="sv-SE"/>
        </w:rPr>
        <w:tab/>
        <w:t>Om du är en kvinna i fertil ålder, som försöker öppna kapslarna skall du vara uppmärksam på att hantera innehållet varsamt och undvika hud eller ögonkontakt eller inandning. Händerna skall tvättas omedelbart efter hantering av öppnade kapslar.</w:t>
      </w:r>
    </w:p>
    <w:p w14:paraId="2F52179F" w14:textId="77777777" w:rsidR="00CE607D" w:rsidRPr="000E7AE9" w:rsidRDefault="00CE607D" w:rsidP="00463647">
      <w:pPr>
        <w:pStyle w:val="EndnoteText"/>
        <w:widowControl w:val="0"/>
        <w:tabs>
          <w:tab w:val="clear" w:pos="567"/>
        </w:tabs>
        <w:rPr>
          <w:color w:val="000000"/>
          <w:szCs w:val="22"/>
          <w:lang w:val="sv-SE"/>
        </w:rPr>
      </w:pPr>
    </w:p>
    <w:p w14:paraId="7B60E90D" w14:textId="77777777" w:rsidR="00CE607D" w:rsidRPr="000E7AE9" w:rsidRDefault="00CE607D" w:rsidP="009E09A2">
      <w:pPr>
        <w:pStyle w:val="TextChar"/>
        <w:keepNext/>
        <w:widowControl w:val="0"/>
        <w:spacing w:before="0"/>
        <w:jc w:val="left"/>
        <w:rPr>
          <w:b/>
          <w:color w:val="000000"/>
          <w:sz w:val="22"/>
          <w:szCs w:val="22"/>
          <w:lang w:val="sv-SE"/>
        </w:rPr>
      </w:pPr>
      <w:r w:rsidRPr="000E7AE9">
        <w:rPr>
          <w:b/>
          <w:color w:val="000000"/>
          <w:sz w:val="22"/>
          <w:szCs w:val="22"/>
          <w:lang w:val="sv-SE"/>
        </w:rPr>
        <w:t>Hur länge skall man ta Glivec?</w:t>
      </w:r>
    </w:p>
    <w:p w14:paraId="4FD9A410" w14:textId="77777777" w:rsidR="00CE607D" w:rsidRDefault="00CE607D" w:rsidP="00463647">
      <w:pPr>
        <w:pStyle w:val="TextChar"/>
        <w:widowControl w:val="0"/>
        <w:spacing w:before="0"/>
        <w:jc w:val="left"/>
        <w:rPr>
          <w:color w:val="000000"/>
          <w:sz w:val="22"/>
          <w:szCs w:val="22"/>
          <w:lang w:val="sv-SE"/>
        </w:rPr>
      </w:pPr>
      <w:r>
        <w:rPr>
          <w:color w:val="000000"/>
          <w:sz w:val="22"/>
          <w:szCs w:val="22"/>
          <w:lang w:val="sv-SE"/>
        </w:rPr>
        <w:t>Fortsätt att t</w:t>
      </w:r>
      <w:r w:rsidRPr="000E7AE9">
        <w:rPr>
          <w:color w:val="000000"/>
          <w:sz w:val="22"/>
          <w:szCs w:val="22"/>
          <w:lang w:val="sv-SE"/>
        </w:rPr>
        <w:t xml:space="preserve">a Glivec varje dag </w:t>
      </w:r>
      <w:r>
        <w:rPr>
          <w:color w:val="000000"/>
          <w:sz w:val="22"/>
          <w:szCs w:val="22"/>
          <w:lang w:val="sv-SE"/>
        </w:rPr>
        <w:t>så länge</w:t>
      </w:r>
      <w:r w:rsidRPr="000E7AE9">
        <w:rPr>
          <w:color w:val="000000"/>
          <w:sz w:val="22"/>
          <w:szCs w:val="22"/>
          <w:lang w:val="sv-SE"/>
        </w:rPr>
        <w:t xml:space="preserve"> din läkare säger åt dig att </w:t>
      </w:r>
      <w:r>
        <w:rPr>
          <w:color w:val="000000"/>
          <w:sz w:val="22"/>
          <w:szCs w:val="22"/>
          <w:lang w:val="sv-SE"/>
        </w:rPr>
        <w:t>göra det.</w:t>
      </w:r>
    </w:p>
    <w:p w14:paraId="6B77DBE4" w14:textId="77777777" w:rsidR="00CE607D" w:rsidRPr="000E7AE9" w:rsidRDefault="00CE607D" w:rsidP="00463647">
      <w:pPr>
        <w:pStyle w:val="TextChar"/>
        <w:widowControl w:val="0"/>
        <w:spacing w:before="0"/>
        <w:jc w:val="left"/>
        <w:rPr>
          <w:color w:val="000000"/>
          <w:sz w:val="22"/>
          <w:szCs w:val="22"/>
          <w:lang w:val="sv-SE"/>
        </w:rPr>
      </w:pPr>
    </w:p>
    <w:p w14:paraId="703BB11D" w14:textId="77777777" w:rsidR="00CE607D" w:rsidRPr="000E7AE9" w:rsidRDefault="00CE607D" w:rsidP="009E09A2">
      <w:pPr>
        <w:keepNext/>
        <w:widowControl w:val="0"/>
        <w:numPr>
          <w:ilvl w:val="12"/>
          <w:numId w:val="0"/>
        </w:numPr>
        <w:tabs>
          <w:tab w:val="clear" w:pos="567"/>
        </w:tabs>
        <w:spacing w:line="240" w:lineRule="auto"/>
        <w:ind w:right="-2"/>
        <w:rPr>
          <w:color w:val="000000"/>
          <w:szCs w:val="22"/>
          <w:lang w:val="sv-SE"/>
        </w:rPr>
      </w:pPr>
      <w:r w:rsidRPr="000E7AE9">
        <w:rPr>
          <w:b/>
          <w:color w:val="000000"/>
          <w:szCs w:val="22"/>
          <w:lang w:val="sv-SE"/>
        </w:rPr>
        <w:t>Om du har tagit för stor mängd av Glivec</w:t>
      </w:r>
    </w:p>
    <w:p w14:paraId="3D0685F8" w14:textId="77777777" w:rsidR="00CE607D" w:rsidRPr="000E7AE9" w:rsidRDefault="00CE607D" w:rsidP="00463647">
      <w:pPr>
        <w:pStyle w:val="TextChar"/>
        <w:widowControl w:val="0"/>
        <w:spacing w:before="0"/>
        <w:jc w:val="left"/>
        <w:rPr>
          <w:color w:val="000000"/>
          <w:sz w:val="22"/>
          <w:szCs w:val="22"/>
          <w:lang w:val="sv-SE"/>
        </w:rPr>
      </w:pPr>
      <w:r w:rsidRPr="000E7AE9">
        <w:rPr>
          <w:color w:val="000000"/>
          <w:sz w:val="22"/>
          <w:szCs w:val="22"/>
          <w:lang w:val="sv-SE"/>
        </w:rPr>
        <w:t xml:space="preserve">Kontakta din läkare </w:t>
      </w:r>
      <w:r w:rsidRPr="000E7AE9">
        <w:rPr>
          <w:b/>
          <w:color w:val="000000"/>
          <w:sz w:val="22"/>
          <w:szCs w:val="22"/>
          <w:lang w:val="sv-SE"/>
        </w:rPr>
        <w:t xml:space="preserve">omedelbart </w:t>
      </w:r>
      <w:r w:rsidRPr="000E7AE9">
        <w:rPr>
          <w:color w:val="000000"/>
          <w:sz w:val="22"/>
          <w:szCs w:val="22"/>
          <w:lang w:val="sv-SE"/>
        </w:rPr>
        <w:t>om du av misstag tagit för många kapslar. Du kan behöva medicinsk vård.</w:t>
      </w:r>
      <w:r>
        <w:rPr>
          <w:color w:val="000000"/>
          <w:sz w:val="22"/>
          <w:szCs w:val="22"/>
          <w:lang w:val="sv-SE"/>
        </w:rPr>
        <w:t xml:space="preserve"> Ta med dig läkemedelsförpackningen.</w:t>
      </w:r>
    </w:p>
    <w:p w14:paraId="3E4E4C3E" w14:textId="77777777" w:rsidR="00CE607D" w:rsidRPr="000E7AE9" w:rsidRDefault="00CE607D" w:rsidP="00463647">
      <w:pPr>
        <w:pStyle w:val="TextChar"/>
        <w:widowControl w:val="0"/>
        <w:spacing w:before="0"/>
        <w:jc w:val="left"/>
        <w:rPr>
          <w:color w:val="000000"/>
          <w:sz w:val="22"/>
          <w:szCs w:val="22"/>
          <w:lang w:val="sv-SE"/>
        </w:rPr>
      </w:pPr>
    </w:p>
    <w:p w14:paraId="5CCFB57F" w14:textId="77777777" w:rsidR="00CE607D" w:rsidRPr="000E7AE9" w:rsidRDefault="00CE607D" w:rsidP="009E09A2">
      <w:pPr>
        <w:keepNext/>
        <w:widowControl w:val="0"/>
        <w:numPr>
          <w:ilvl w:val="12"/>
          <w:numId w:val="0"/>
        </w:numPr>
        <w:tabs>
          <w:tab w:val="clear" w:pos="567"/>
        </w:tabs>
        <w:spacing w:line="240" w:lineRule="auto"/>
        <w:ind w:right="-2"/>
        <w:rPr>
          <w:b/>
          <w:color w:val="000000"/>
          <w:szCs w:val="22"/>
          <w:lang w:val="sv-SE"/>
        </w:rPr>
      </w:pPr>
      <w:r w:rsidRPr="000E7AE9">
        <w:rPr>
          <w:b/>
          <w:color w:val="000000"/>
          <w:szCs w:val="22"/>
          <w:lang w:val="sv-SE"/>
        </w:rPr>
        <w:t>Om du har glömt att ta Glivec</w:t>
      </w:r>
    </w:p>
    <w:p w14:paraId="2772B436" w14:textId="77777777" w:rsidR="00CE607D" w:rsidRDefault="00CE607D" w:rsidP="00463647">
      <w:pPr>
        <w:widowControl w:val="0"/>
        <w:numPr>
          <w:ilvl w:val="12"/>
          <w:numId w:val="0"/>
        </w:numPr>
        <w:tabs>
          <w:tab w:val="clear" w:pos="567"/>
        </w:tabs>
        <w:spacing w:line="240" w:lineRule="auto"/>
        <w:ind w:left="567" w:right="-2" w:hanging="567"/>
        <w:rPr>
          <w:color w:val="000000"/>
          <w:szCs w:val="22"/>
          <w:lang w:val="sv-SE"/>
        </w:rPr>
      </w:pPr>
      <w:r w:rsidRPr="000E7AE9">
        <w:rPr>
          <w:color w:val="000000"/>
          <w:szCs w:val="22"/>
          <w:lang w:val="sv-SE"/>
        </w:rPr>
        <w:t>-</w:t>
      </w:r>
      <w:r w:rsidRPr="000E7AE9">
        <w:rPr>
          <w:color w:val="000000"/>
          <w:szCs w:val="22"/>
          <w:lang w:val="sv-SE"/>
        </w:rPr>
        <w:tab/>
      </w:r>
      <w:r>
        <w:rPr>
          <w:color w:val="000000"/>
          <w:szCs w:val="22"/>
          <w:lang w:val="sv-SE"/>
        </w:rPr>
        <w:t>Om du glömt att ta en dos, t</w:t>
      </w:r>
      <w:r w:rsidRPr="000E7AE9">
        <w:rPr>
          <w:color w:val="000000"/>
          <w:szCs w:val="22"/>
          <w:lang w:val="sv-SE"/>
        </w:rPr>
        <w:t>ag den så snart du kommer ihåg</w:t>
      </w:r>
      <w:r>
        <w:rPr>
          <w:color w:val="000000"/>
          <w:szCs w:val="22"/>
          <w:lang w:val="sv-SE"/>
        </w:rPr>
        <w:t>. Hoppa däremot över missad dos om det snart är dags att ta nästa dos</w:t>
      </w:r>
      <w:r w:rsidRPr="000E7AE9">
        <w:rPr>
          <w:color w:val="000000"/>
          <w:szCs w:val="22"/>
          <w:lang w:val="sv-SE"/>
        </w:rPr>
        <w:t>.</w:t>
      </w:r>
    </w:p>
    <w:p w14:paraId="767844BF" w14:textId="77777777" w:rsidR="00CE607D" w:rsidRDefault="00CE607D" w:rsidP="00463647">
      <w:pPr>
        <w:widowControl w:val="0"/>
        <w:numPr>
          <w:ilvl w:val="12"/>
          <w:numId w:val="0"/>
        </w:numPr>
        <w:tabs>
          <w:tab w:val="clear" w:pos="567"/>
        </w:tabs>
        <w:spacing w:line="240" w:lineRule="auto"/>
        <w:ind w:right="-2"/>
        <w:rPr>
          <w:color w:val="000000"/>
          <w:szCs w:val="22"/>
          <w:lang w:val="sv-SE"/>
        </w:rPr>
      </w:pPr>
      <w:r w:rsidRPr="000E7AE9">
        <w:rPr>
          <w:color w:val="000000"/>
          <w:szCs w:val="22"/>
          <w:lang w:val="sv-SE"/>
        </w:rPr>
        <w:t>-</w:t>
      </w:r>
      <w:r w:rsidRPr="000E7AE9">
        <w:rPr>
          <w:color w:val="000000"/>
          <w:szCs w:val="22"/>
          <w:lang w:val="sv-SE"/>
        </w:rPr>
        <w:tab/>
        <w:t>Fortsätt därefter med ditt normala schema.</w:t>
      </w:r>
    </w:p>
    <w:p w14:paraId="7EF23803" w14:textId="77777777" w:rsidR="00CE607D" w:rsidRPr="000E7AE9" w:rsidRDefault="00CE607D" w:rsidP="00463647">
      <w:pPr>
        <w:widowControl w:val="0"/>
        <w:numPr>
          <w:ilvl w:val="12"/>
          <w:numId w:val="0"/>
        </w:numPr>
        <w:tabs>
          <w:tab w:val="clear" w:pos="567"/>
        </w:tabs>
        <w:spacing w:line="240" w:lineRule="auto"/>
        <w:ind w:right="-2"/>
        <w:rPr>
          <w:color w:val="000000"/>
          <w:szCs w:val="22"/>
          <w:lang w:val="sv-SE"/>
        </w:rPr>
      </w:pPr>
      <w:r w:rsidRPr="000E7AE9">
        <w:rPr>
          <w:color w:val="000000"/>
          <w:szCs w:val="22"/>
          <w:lang w:val="sv-SE"/>
        </w:rPr>
        <w:t>-</w:t>
      </w:r>
      <w:r w:rsidRPr="000E7AE9">
        <w:rPr>
          <w:color w:val="000000"/>
          <w:szCs w:val="22"/>
          <w:lang w:val="sv-SE"/>
        </w:rPr>
        <w:tab/>
        <w:t>Ta inte dubbel dos för att kompensera för glömd dos.</w:t>
      </w:r>
    </w:p>
    <w:p w14:paraId="2D5BC932" w14:textId="77777777" w:rsidR="00CE607D" w:rsidRPr="000E7AE9" w:rsidRDefault="00CE607D" w:rsidP="00463647">
      <w:pPr>
        <w:widowControl w:val="0"/>
        <w:numPr>
          <w:ilvl w:val="12"/>
          <w:numId w:val="0"/>
        </w:numPr>
        <w:tabs>
          <w:tab w:val="clear" w:pos="567"/>
        </w:tabs>
        <w:spacing w:line="240" w:lineRule="auto"/>
        <w:ind w:right="-2"/>
        <w:rPr>
          <w:color w:val="000000"/>
          <w:szCs w:val="22"/>
          <w:lang w:val="sv-SE"/>
        </w:rPr>
      </w:pPr>
    </w:p>
    <w:p w14:paraId="3542519D" w14:textId="77777777" w:rsidR="00CE607D" w:rsidRPr="000E7AE9" w:rsidRDefault="00CE607D" w:rsidP="00463647">
      <w:pPr>
        <w:widowControl w:val="0"/>
        <w:numPr>
          <w:ilvl w:val="12"/>
          <w:numId w:val="0"/>
        </w:numPr>
        <w:tabs>
          <w:tab w:val="clear" w:pos="567"/>
        </w:tabs>
        <w:spacing w:line="240" w:lineRule="auto"/>
        <w:ind w:right="-2"/>
        <w:rPr>
          <w:color w:val="000000"/>
          <w:szCs w:val="22"/>
          <w:lang w:val="sv-SE"/>
        </w:rPr>
      </w:pPr>
      <w:r w:rsidRPr="000E7AE9">
        <w:rPr>
          <w:color w:val="000000"/>
          <w:szCs w:val="22"/>
          <w:lang w:val="sv-SE"/>
        </w:rPr>
        <w:t>Om du har ytterligare frågor om detta läkemedel kontakta läkare</w:t>
      </w:r>
      <w:r w:rsidR="005B1EFF">
        <w:rPr>
          <w:color w:val="000000"/>
          <w:szCs w:val="22"/>
          <w:lang w:val="sv-SE"/>
        </w:rPr>
        <w:t>,</w:t>
      </w:r>
      <w:r w:rsidRPr="000E7AE9">
        <w:rPr>
          <w:color w:val="000000"/>
          <w:szCs w:val="22"/>
          <w:lang w:val="sv-SE"/>
        </w:rPr>
        <w:t xml:space="preserve"> apotekspersonal</w:t>
      </w:r>
      <w:r w:rsidR="005B1EFF">
        <w:rPr>
          <w:color w:val="000000"/>
          <w:szCs w:val="22"/>
          <w:lang w:val="sv-SE"/>
        </w:rPr>
        <w:t xml:space="preserve"> eller sjuksköterska</w:t>
      </w:r>
      <w:r w:rsidRPr="000E7AE9">
        <w:rPr>
          <w:color w:val="000000"/>
          <w:szCs w:val="22"/>
          <w:lang w:val="sv-SE"/>
        </w:rPr>
        <w:t>.</w:t>
      </w:r>
    </w:p>
    <w:p w14:paraId="4C41D4B1" w14:textId="77777777" w:rsidR="00CE607D" w:rsidRPr="000E7AE9" w:rsidRDefault="00CE607D" w:rsidP="00463647">
      <w:pPr>
        <w:widowControl w:val="0"/>
        <w:numPr>
          <w:ilvl w:val="12"/>
          <w:numId w:val="0"/>
        </w:numPr>
        <w:tabs>
          <w:tab w:val="clear" w:pos="567"/>
        </w:tabs>
        <w:spacing w:line="240" w:lineRule="auto"/>
        <w:ind w:right="-2"/>
        <w:rPr>
          <w:color w:val="000000"/>
          <w:szCs w:val="22"/>
          <w:lang w:val="sv-SE"/>
        </w:rPr>
      </w:pPr>
    </w:p>
    <w:p w14:paraId="14897048" w14:textId="77777777" w:rsidR="00CE607D" w:rsidRPr="000E7AE9" w:rsidRDefault="00CE607D" w:rsidP="00463647">
      <w:pPr>
        <w:widowControl w:val="0"/>
        <w:numPr>
          <w:ilvl w:val="12"/>
          <w:numId w:val="0"/>
        </w:numPr>
        <w:tabs>
          <w:tab w:val="clear" w:pos="567"/>
        </w:tabs>
        <w:spacing w:line="240" w:lineRule="auto"/>
        <w:ind w:right="-2"/>
        <w:rPr>
          <w:color w:val="000000"/>
          <w:szCs w:val="22"/>
          <w:lang w:val="sv-SE"/>
        </w:rPr>
      </w:pPr>
    </w:p>
    <w:p w14:paraId="77A535CC" w14:textId="77777777" w:rsidR="00547CA2" w:rsidRPr="000E7AE9" w:rsidRDefault="00547CA2" w:rsidP="009E09A2">
      <w:pPr>
        <w:pStyle w:val="Heading4"/>
        <w:widowControl w:val="0"/>
        <w:spacing w:line="240" w:lineRule="auto"/>
        <w:rPr>
          <w:noProof w:val="0"/>
          <w:color w:val="000000"/>
          <w:szCs w:val="22"/>
          <w:lang w:val="sv-SE"/>
        </w:rPr>
      </w:pPr>
      <w:r w:rsidRPr="000E7AE9">
        <w:rPr>
          <w:noProof w:val="0"/>
          <w:color w:val="000000"/>
          <w:szCs w:val="22"/>
          <w:lang w:val="sv-SE"/>
        </w:rPr>
        <w:t>4.</w:t>
      </w:r>
      <w:r w:rsidRPr="000E7AE9">
        <w:rPr>
          <w:noProof w:val="0"/>
          <w:color w:val="000000"/>
          <w:szCs w:val="22"/>
          <w:lang w:val="sv-SE"/>
        </w:rPr>
        <w:tab/>
      </w:r>
      <w:r>
        <w:rPr>
          <w:noProof w:val="0"/>
          <w:color w:val="000000"/>
          <w:szCs w:val="22"/>
          <w:lang w:val="sv-SE"/>
        </w:rPr>
        <w:t>Eventuella biverkningar</w:t>
      </w:r>
    </w:p>
    <w:p w14:paraId="180DC36E" w14:textId="77777777" w:rsidR="00547CA2" w:rsidRPr="000E7AE9" w:rsidRDefault="00547CA2" w:rsidP="009E09A2">
      <w:pPr>
        <w:pStyle w:val="TextChar"/>
        <w:keepNext/>
        <w:widowControl w:val="0"/>
        <w:spacing w:before="0"/>
        <w:jc w:val="left"/>
        <w:rPr>
          <w:color w:val="000000"/>
          <w:sz w:val="22"/>
          <w:szCs w:val="22"/>
          <w:lang w:val="sv-SE"/>
        </w:rPr>
      </w:pPr>
    </w:p>
    <w:p w14:paraId="630F1139" w14:textId="77777777" w:rsidR="00547CA2" w:rsidRPr="00AB480A" w:rsidRDefault="00547CA2" w:rsidP="00463647">
      <w:pPr>
        <w:pStyle w:val="TextChar"/>
        <w:widowControl w:val="0"/>
        <w:spacing w:before="0"/>
        <w:jc w:val="left"/>
        <w:rPr>
          <w:bCs/>
          <w:color w:val="000000"/>
          <w:sz w:val="22"/>
          <w:szCs w:val="22"/>
          <w:lang w:val="sv-SE"/>
        </w:rPr>
      </w:pPr>
      <w:r w:rsidRPr="000E7AE9">
        <w:rPr>
          <w:color w:val="000000"/>
          <w:sz w:val="22"/>
          <w:szCs w:val="22"/>
          <w:lang w:val="sv-SE"/>
        </w:rPr>
        <w:t xml:space="preserve">Liksom alla läkemedel kan </w:t>
      </w:r>
      <w:r>
        <w:rPr>
          <w:color w:val="000000"/>
          <w:sz w:val="22"/>
          <w:szCs w:val="22"/>
          <w:lang w:val="sv-SE"/>
        </w:rPr>
        <w:t>detta läkemedel</w:t>
      </w:r>
      <w:r w:rsidRPr="000E7AE9">
        <w:rPr>
          <w:color w:val="000000"/>
          <w:sz w:val="22"/>
          <w:szCs w:val="22"/>
          <w:lang w:val="sv-SE"/>
        </w:rPr>
        <w:t xml:space="preserve"> orsaka biverkningar</w:t>
      </w:r>
      <w:r>
        <w:rPr>
          <w:color w:val="000000"/>
          <w:sz w:val="22"/>
          <w:szCs w:val="22"/>
          <w:lang w:val="sv-SE"/>
        </w:rPr>
        <w:t>,</w:t>
      </w:r>
      <w:r w:rsidRPr="000E7AE9">
        <w:rPr>
          <w:color w:val="000000"/>
          <w:sz w:val="22"/>
          <w:szCs w:val="22"/>
          <w:lang w:val="sv-SE"/>
        </w:rPr>
        <w:t xml:space="preserve"> men alla användare behöver inte få dem. De är vanligtvis av lätt till måttlig svårighetsgrad.</w:t>
      </w:r>
    </w:p>
    <w:p w14:paraId="5414B5BC" w14:textId="77777777" w:rsidR="00547CA2" w:rsidRPr="00862A7C" w:rsidRDefault="00547CA2" w:rsidP="00463647">
      <w:pPr>
        <w:pStyle w:val="TextChar"/>
        <w:widowControl w:val="0"/>
        <w:spacing w:before="0"/>
        <w:jc w:val="left"/>
        <w:rPr>
          <w:color w:val="000000"/>
          <w:sz w:val="22"/>
          <w:szCs w:val="22"/>
          <w:lang w:val="sv-SE"/>
        </w:rPr>
      </w:pPr>
    </w:p>
    <w:p w14:paraId="398CDB11" w14:textId="77777777" w:rsidR="00547CA2" w:rsidRPr="00862A7C" w:rsidRDefault="00547CA2" w:rsidP="009E09A2">
      <w:pPr>
        <w:pStyle w:val="TextChar"/>
        <w:keepNext/>
        <w:widowControl w:val="0"/>
        <w:spacing w:before="0"/>
        <w:jc w:val="left"/>
        <w:rPr>
          <w:b/>
          <w:color w:val="000000"/>
          <w:sz w:val="22"/>
          <w:szCs w:val="22"/>
          <w:lang w:val="sv-SE"/>
        </w:rPr>
      </w:pPr>
      <w:r w:rsidRPr="00862A7C">
        <w:rPr>
          <w:b/>
          <w:color w:val="000000"/>
          <w:sz w:val="22"/>
          <w:szCs w:val="22"/>
          <w:lang w:val="sv-SE"/>
        </w:rPr>
        <w:t>Vissa biverkningar kan vara allvarliga. Meddela din läkare omedelbart om du får några av följande:</w:t>
      </w:r>
    </w:p>
    <w:p w14:paraId="6BBCF8FC" w14:textId="77777777" w:rsidR="00547CA2" w:rsidRPr="000E7AE9" w:rsidRDefault="00547CA2" w:rsidP="009E09A2">
      <w:pPr>
        <w:pStyle w:val="TextChar"/>
        <w:keepNext/>
        <w:widowControl w:val="0"/>
        <w:spacing w:before="0"/>
        <w:jc w:val="left"/>
        <w:rPr>
          <w:color w:val="000000"/>
          <w:sz w:val="22"/>
          <w:szCs w:val="22"/>
          <w:lang w:val="sv-SE"/>
        </w:rPr>
      </w:pPr>
    </w:p>
    <w:p w14:paraId="4BA8C545" w14:textId="77777777" w:rsidR="00547CA2" w:rsidRPr="000E7AE9" w:rsidRDefault="00547CA2" w:rsidP="009E09A2">
      <w:pPr>
        <w:pStyle w:val="TextChar"/>
        <w:keepNext/>
        <w:widowControl w:val="0"/>
        <w:spacing w:before="0"/>
        <w:jc w:val="left"/>
        <w:rPr>
          <w:bCs/>
          <w:color w:val="000000"/>
          <w:sz w:val="22"/>
          <w:szCs w:val="22"/>
          <w:lang w:val="sv-SE"/>
        </w:rPr>
      </w:pPr>
      <w:r>
        <w:rPr>
          <w:b/>
          <w:color w:val="000000"/>
          <w:sz w:val="22"/>
          <w:szCs w:val="22"/>
          <w:lang w:val="sv-SE"/>
        </w:rPr>
        <w:t xml:space="preserve">Mycket vanliga </w:t>
      </w:r>
      <w:r w:rsidRPr="008504F2">
        <w:rPr>
          <w:color w:val="000000"/>
          <w:sz w:val="22"/>
          <w:szCs w:val="22"/>
          <w:lang w:val="sv-SE"/>
        </w:rPr>
        <w:t>(kan förekomma hos fler än 1 av 10 personer)</w:t>
      </w:r>
      <w:r>
        <w:rPr>
          <w:b/>
          <w:color w:val="000000"/>
          <w:sz w:val="22"/>
          <w:szCs w:val="22"/>
          <w:lang w:val="sv-SE"/>
        </w:rPr>
        <w:t xml:space="preserve"> eller vanliga </w:t>
      </w:r>
      <w:r w:rsidRPr="008504F2">
        <w:rPr>
          <w:color w:val="000000"/>
          <w:sz w:val="22"/>
          <w:szCs w:val="22"/>
          <w:lang w:val="sv-SE"/>
        </w:rPr>
        <w:t>(kan förekomma hos upp till 1 av 10</w:t>
      </w:r>
      <w:r>
        <w:rPr>
          <w:color w:val="000000"/>
          <w:sz w:val="22"/>
          <w:szCs w:val="22"/>
          <w:lang w:val="sv-SE"/>
        </w:rPr>
        <w:t> </w:t>
      </w:r>
      <w:r w:rsidRPr="008504F2">
        <w:rPr>
          <w:color w:val="000000"/>
          <w:sz w:val="22"/>
          <w:szCs w:val="22"/>
          <w:lang w:val="sv-SE"/>
        </w:rPr>
        <w:t>personer):</w:t>
      </w:r>
    </w:p>
    <w:p w14:paraId="24A4CD4C"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sidRPr="000E7AE9">
        <w:rPr>
          <w:color w:val="000000"/>
          <w:sz w:val="22"/>
          <w:szCs w:val="22"/>
          <w:lang w:val="sv-SE"/>
        </w:rPr>
        <w:t>Snabb viktökning. Glivec kan göra så att din kropp binder vatten (</w:t>
      </w:r>
      <w:r>
        <w:rPr>
          <w:color w:val="000000"/>
          <w:sz w:val="22"/>
          <w:szCs w:val="22"/>
          <w:lang w:val="sv-SE"/>
        </w:rPr>
        <w:t xml:space="preserve">svår </w:t>
      </w:r>
      <w:r w:rsidRPr="000E7AE9">
        <w:rPr>
          <w:color w:val="000000"/>
          <w:sz w:val="22"/>
          <w:szCs w:val="22"/>
          <w:lang w:val="sv-SE"/>
        </w:rPr>
        <w:t>vätskeretention).</w:t>
      </w:r>
    </w:p>
    <w:p w14:paraId="61649F4B" w14:textId="77777777" w:rsidR="00547CA2" w:rsidRPr="000E7AE9" w:rsidRDefault="00547CA2" w:rsidP="00463647">
      <w:pPr>
        <w:pStyle w:val="TextChar"/>
        <w:widowControl w:val="0"/>
        <w:numPr>
          <w:ilvl w:val="0"/>
          <w:numId w:val="5"/>
        </w:numPr>
        <w:tabs>
          <w:tab w:val="clear" w:pos="360"/>
        </w:tabs>
        <w:spacing w:before="0"/>
        <w:ind w:left="567" w:hanging="567"/>
        <w:jc w:val="left"/>
        <w:rPr>
          <w:color w:val="000000"/>
          <w:sz w:val="22"/>
          <w:szCs w:val="22"/>
          <w:lang w:val="sv-SE"/>
        </w:rPr>
      </w:pPr>
      <w:r w:rsidRPr="000E7AE9">
        <w:rPr>
          <w:color w:val="000000"/>
          <w:sz w:val="22"/>
          <w:szCs w:val="22"/>
          <w:lang w:val="sv-SE"/>
        </w:rPr>
        <w:lastRenderedPageBreak/>
        <w:t>Tecken på infektion, t.ex. feber, frossbrytningar, ont i halsen eller sår i munnen. Glivec kan leda till minskning av antalet vita blodkroppar</w:t>
      </w:r>
      <w:r>
        <w:rPr>
          <w:color w:val="000000"/>
          <w:sz w:val="22"/>
          <w:szCs w:val="22"/>
          <w:lang w:val="sv-SE"/>
        </w:rPr>
        <w:t xml:space="preserve"> så att du lättare kan</w:t>
      </w:r>
      <w:r w:rsidRPr="000E7AE9">
        <w:rPr>
          <w:color w:val="000000"/>
          <w:sz w:val="22"/>
          <w:szCs w:val="22"/>
          <w:lang w:val="sv-SE"/>
        </w:rPr>
        <w:t xml:space="preserve"> </w:t>
      </w:r>
      <w:r>
        <w:rPr>
          <w:color w:val="000000"/>
          <w:sz w:val="22"/>
          <w:szCs w:val="22"/>
          <w:lang w:val="sv-SE"/>
        </w:rPr>
        <w:t>få infektioner.</w:t>
      </w:r>
    </w:p>
    <w:p w14:paraId="6C3FF369" w14:textId="77777777" w:rsidR="00547CA2" w:rsidRPr="000E7AE9" w:rsidRDefault="00547CA2" w:rsidP="00463647">
      <w:pPr>
        <w:pStyle w:val="TextChar"/>
        <w:widowControl w:val="0"/>
        <w:numPr>
          <w:ilvl w:val="0"/>
          <w:numId w:val="6"/>
        </w:numPr>
        <w:tabs>
          <w:tab w:val="clear" w:pos="360"/>
        </w:tabs>
        <w:spacing w:before="0"/>
        <w:ind w:left="567" w:hanging="567"/>
        <w:jc w:val="left"/>
        <w:rPr>
          <w:color w:val="000000"/>
          <w:sz w:val="22"/>
          <w:szCs w:val="22"/>
          <w:lang w:val="sv-SE"/>
        </w:rPr>
      </w:pPr>
      <w:r w:rsidRPr="000E7AE9">
        <w:rPr>
          <w:color w:val="000000"/>
          <w:sz w:val="22"/>
          <w:szCs w:val="22"/>
          <w:lang w:val="sv-SE"/>
        </w:rPr>
        <w:t>Plötsliga blödningar eller sår</w:t>
      </w:r>
      <w:r>
        <w:rPr>
          <w:color w:val="000000"/>
          <w:sz w:val="22"/>
          <w:szCs w:val="22"/>
          <w:lang w:val="sv-SE"/>
        </w:rPr>
        <w:t xml:space="preserve"> (när du inte har skadat dig).</w:t>
      </w:r>
    </w:p>
    <w:p w14:paraId="6C69E3F3" w14:textId="77777777" w:rsidR="00547CA2" w:rsidRPr="000E7AE9" w:rsidRDefault="00547CA2" w:rsidP="00463647">
      <w:pPr>
        <w:pStyle w:val="TextChar"/>
        <w:widowControl w:val="0"/>
        <w:spacing w:before="0"/>
        <w:jc w:val="left"/>
        <w:rPr>
          <w:color w:val="000000"/>
          <w:sz w:val="22"/>
          <w:szCs w:val="22"/>
          <w:lang w:val="sv-SE"/>
        </w:rPr>
      </w:pPr>
    </w:p>
    <w:p w14:paraId="355AD531" w14:textId="77777777" w:rsidR="00547CA2" w:rsidRPr="008504F2" w:rsidRDefault="00547CA2" w:rsidP="009E09A2">
      <w:pPr>
        <w:pStyle w:val="TextChar"/>
        <w:keepNext/>
        <w:widowControl w:val="0"/>
        <w:spacing w:before="0"/>
        <w:jc w:val="left"/>
        <w:rPr>
          <w:bCs/>
          <w:iCs/>
          <w:color w:val="000000"/>
          <w:sz w:val="22"/>
          <w:szCs w:val="22"/>
          <w:lang w:val="sv-SE"/>
        </w:rPr>
      </w:pPr>
      <w:r w:rsidRPr="00902621">
        <w:rPr>
          <w:b/>
          <w:bCs/>
          <w:iCs/>
          <w:color w:val="000000"/>
          <w:sz w:val="22"/>
          <w:szCs w:val="22"/>
          <w:lang w:val="sv-SE"/>
        </w:rPr>
        <w:t xml:space="preserve">Mindre vanliga </w:t>
      </w:r>
      <w:r w:rsidRPr="008504F2">
        <w:rPr>
          <w:bCs/>
          <w:iCs/>
          <w:color w:val="000000"/>
          <w:sz w:val="22"/>
          <w:szCs w:val="22"/>
          <w:lang w:val="sv-SE"/>
        </w:rPr>
        <w:t>(kan förekomma hos upp till 1 av 100 personer)</w:t>
      </w:r>
      <w:r>
        <w:rPr>
          <w:b/>
          <w:bCs/>
          <w:iCs/>
          <w:color w:val="000000"/>
          <w:sz w:val="22"/>
          <w:szCs w:val="22"/>
          <w:lang w:val="sv-SE"/>
        </w:rPr>
        <w:t xml:space="preserve"> </w:t>
      </w:r>
      <w:r w:rsidRPr="00902621">
        <w:rPr>
          <w:b/>
          <w:bCs/>
          <w:iCs/>
          <w:color w:val="000000"/>
          <w:sz w:val="22"/>
          <w:szCs w:val="22"/>
          <w:lang w:val="sv-SE"/>
        </w:rPr>
        <w:t>eller sällsynta</w:t>
      </w:r>
      <w:r>
        <w:rPr>
          <w:b/>
          <w:bCs/>
          <w:iCs/>
          <w:color w:val="000000"/>
          <w:sz w:val="22"/>
          <w:szCs w:val="22"/>
          <w:lang w:val="sv-SE"/>
        </w:rPr>
        <w:t xml:space="preserve"> </w:t>
      </w:r>
      <w:r w:rsidRPr="008504F2">
        <w:rPr>
          <w:bCs/>
          <w:iCs/>
          <w:color w:val="000000"/>
          <w:sz w:val="22"/>
          <w:szCs w:val="22"/>
          <w:lang w:val="sv-SE"/>
        </w:rPr>
        <w:t>(kan förekomma hos upp till 1 av 1 000 personer):</w:t>
      </w:r>
    </w:p>
    <w:p w14:paraId="78B192A3"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sidRPr="000E7AE9">
        <w:rPr>
          <w:color w:val="000000"/>
          <w:sz w:val="22"/>
          <w:szCs w:val="22"/>
          <w:lang w:val="sv-SE"/>
        </w:rPr>
        <w:t>Bröstsmärta, oregelbunden hjärtrytm</w:t>
      </w:r>
      <w:r>
        <w:rPr>
          <w:color w:val="000000"/>
          <w:sz w:val="22"/>
          <w:szCs w:val="22"/>
          <w:lang w:val="sv-SE"/>
        </w:rPr>
        <w:t xml:space="preserve"> (tecken på hjärtproblem)</w:t>
      </w:r>
      <w:r w:rsidRPr="000E7AE9">
        <w:rPr>
          <w:color w:val="000000"/>
          <w:sz w:val="22"/>
          <w:szCs w:val="22"/>
          <w:lang w:val="sv-SE"/>
        </w:rPr>
        <w:t>.</w:t>
      </w:r>
    </w:p>
    <w:p w14:paraId="4F536F40"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sidRPr="000E7AE9">
        <w:rPr>
          <w:color w:val="000000"/>
          <w:sz w:val="22"/>
          <w:szCs w:val="22"/>
          <w:lang w:val="sv-SE"/>
        </w:rPr>
        <w:t>Hosta, svår</w:t>
      </w:r>
      <w:r>
        <w:rPr>
          <w:color w:val="000000"/>
          <w:sz w:val="22"/>
          <w:szCs w:val="22"/>
          <w:lang w:val="sv-SE"/>
        </w:rPr>
        <w:t>igheter</w:t>
      </w:r>
      <w:r w:rsidRPr="000E7AE9">
        <w:rPr>
          <w:color w:val="000000"/>
          <w:sz w:val="22"/>
          <w:szCs w:val="22"/>
          <w:lang w:val="sv-SE"/>
        </w:rPr>
        <w:t xml:space="preserve"> att andas eller smärtsam andning</w:t>
      </w:r>
      <w:r>
        <w:rPr>
          <w:color w:val="000000"/>
          <w:sz w:val="22"/>
          <w:szCs w:val="22"/>
          <w:lang w:val="sv-SE"/>
        </w:rPr>
        <w:t xml:space="preserve"> (tecken på lungproblem)</w:t>
      </w:r>
      <w:r w:rsidRPr="000E7AE9">
        <w:rPr>
          <w:color w:val="000000"/>
          <w:sz w:val="22"/>
          <w:szCs w:val="22"/>
          <w:lang w:val="sv-SE"/>
        </w:rPr>
        <w:t>.</w:t>
      </w:r>
    </w:p>
    <w:p w14:paraId="4EDFC3CA"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Pr>
          <w:color w:val="000000"/>
          <w:sz w:val="22"/>
          <w:szCs w:val="22"/>
          <w:lang w:val="sv-SE"/>
        </w:rPr>
        <w:t>Känna sig snurrig, y</w:t>
      </w:r>
      <w:r w:rsidRPr="000E7AE9">
        <w:rPr>
          <w:color w:val="000000"/>
          <w:sz w:val="22"/>
          <w:szCs w:val="22"/>
          <w:lang w:val="sv-SE"/>
        </w:rPr>
        <w:t>rsel eller svimning</w:t>
      </w:r>
      <w:r>
        <w:rPr>
          <w:color w:val="000000"/>
          <w:sz w:val="22"/>
          <w:szCs w:val="22"/>
          <w:lang w:val="sv-SE"/>
        </w:rPr>
        <w:t xml:space="preserve"> (tecken på lågt blodtryck)</w:t>
      </w:r>
      <w:r w:rsidRPr="000E7AE9">
        <w:rPr>
          <w:color w:val="000000"/>
          <w:sz w:val="22"/>
          <w:szCs w:val="22"/>
          <w:lang w:val="sv-SE"/>
        </w:rPr>
        <w:t>.</w:t>
      </w:r>
    </w:p>
    <w:p w14:paraId="7966F88B"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sidRPr="000E7AE9">
        <w:rPr>
          <w:color w:val="000000"/>
          <w:sz w:val="22"/>
          <w:szCs w:val="22"/>
          <w:lang w:val="sv-SE"/>
        </w:rPr>
        <w:t xml:space="preserve">Illamående, </w:t>
      </w:r>
      <w:r>
        <w:rPr>
          <w:color w:val="000000"/>
          <w:sz w:val="22"/>
          <w:szCs w:val="22"/>
          <w:lang w:val="sv-SE"/>
        </w:rPr>
        <w:t xml:space="preserve">med </w:t>
      </w:r>
      <w:r w:rsidRPr="000E7AE9">
        <w:rPr>
          <w:color w:val="000000"/>
          <w:sz w:val="22"/>
          <w:szCs w:val="22"/>
          <w:lang w:val="sv-SE"/>
        </w:rPr>
        <w:t xml:space="preserve">minskad aptit, </w:t>
      </w:r>
      <w:r>
        <w:rPr>
          <w:color w:val="000000"/>
          <w:sz w:val="22"/>
          <w:szCs w:val="22"/>
          <w:lang w:val="sv-SE"/>
        </w:rPr>
        <w:t>mörk</w:t>
      </w:r>
      <w:r w:rsidRPr="000E7AE9">
        <w:rPr>
          <w:color w:val="000000"/>
          <w:sz w:val="22"/>
          <w:szCs w:val="22"/>
          <w:lang w:val="sv-SE"/>
        </w:rPr>
        <w:t xml:space="preserve"> urin, gulfärgning av hud eller ögon</w:t>
      </w:r>
      <w:r>
        <w:rPr>
          <w:color w:val="000000"/>
          <w:sz w:val="22"/>
          <w:szCs w:val="22"/>
          <w:lang w:val="sv-SE"/>
        </w:rPr>
        <w:t xml:space="preserve"> (tecken på leverproblem)</w:t>
      </w:r>
      <w:r w:rsidRPr="000E7AE9">
        <w:rPr>
          <w:color w:val="000000"/>
          <w:sz w:val="22"/>
          <w:szCs w:val="22"/>
          <w:lang w:val="sv-SE"/>
        </w:rPr>
        <w:t>.</w:t>
      </w:r>
    </w:p>
    <w:p w14:paraId="7E59D65E"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Hudutslag, rodnad</w:t>
      </w:r>
      <w:r>
        <w:rPr>
          <w:color w:val="000000"/>
          <w:sz w:val="22"/>
          <w:szCs w:val="22"/>
          <w:lang w:val="sv-SE"/>
        </w:rPr>
        <w:t xml:space="preserve"> med</w:t>
      </w:r>
      <w:r w:rsidRPr="000E7AE9">
        <w:rPr>
          <w:color w:val="000000"/>
          <w:sz w:val="22"/>
          <w:szCs w:val="22"/>
          <w:lang w:val="sv-SE"/>
        </w:rPr>
        <w:t xml:space="preserve"> blåsor på läppar, ögon, hud eller mun, flagning av huden, feber, upphöjda röda eller lila hudområden, klåda, brännande känsla</w:t>
      </w:r>
      <w:r>
        <w:rPr>
          <w:color w:val="000000"/>
          <w:sz w:val="22"/>
          <w:szCs w:val="22"/>
          <w:lang w:val="sv-SE"/>
        </w:rPr>
        <w:t>, utslag med små varfyllda blåsor (tecken på hudproblem)</w:t>
      </w:r>
      <w:r w:rsidRPr="000E7AE9">
        <w:rPr>
          <w:color w:val="000000"/>
          <w:sz w:val="22"/>
          <w:szCs w:val="22"/>
          <w:lang w:val="sv-SE"/>
        </w:rPr>
        <w:t>.</w:t>
      </w:r>
    </w:p>
    <w:p w14:paraId="5781C750"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Svår buksmärta, blod i uppkastning, avföring eller urin, svartfärgad avföring</w:t>
      </w:r>
      <w:r>
        <w:rPr>
          <w:color w:val="000000"/>
          <w:sz w:val="22"/>
          <w:szCs w:val="22"/>
          <w:lang w:val="sv-SE"/>
        </w:rPr>
        <w:t xml:space="preserve"> (tecken på magtarmsjukdom)</w:t>
      </w:r>
      <w:r w:rsidRPr="000E7AE9">
        <w:rPr>
          <w:color w:val="000000"/>
          <w:sz w:val="22"/>
          <w:szCs w:val="22"/>
          <w:lang w:val="sv-SE"/>
        </w:rPr>
        <w:t>.</w:t>
      </w:r>
    </w:p>
    <w:p w14:paraId="28C828F2"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Kraftig urinminskning, törst</w:t>
      </w:r>
      <w:r>
        <w:rPr>
          <w:color w:val="000000"/>
          <w:sz w:val="22"/>
          <w:szCs w:val="22"/>
          <w:lang w:val="sv-SE"/>
        </w:rPr>
        <w:t xml:space="preserve"> (tecken på njurproblem)</w:t>
      </w:r>
      <w:r w:rsidRPr="000E7AE9">
        <w:rPr>
          <w:color w:val="000000"/>
          <w:sz w:val="22"/>
          <w:szCs w:val="22"/>
          <w:lang w:val="sv-SE"/>
        </w:rPr>
        <w:t>.</w:t>
      </w:r>
    </w:p>
    <w:p w14:paraId="21D7A06F"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Illamående,</w:t>
      </w:r>
      <w:r>
        <w:rPr>
          <w:color w:val="000000"/>
          <w:sz w:val="22"/>
          <w:szCs w:val="22"/>
          <w:lang w:val="sv-SE"/>
        </w:rPr>
        <w:t xml:space="preserve"> med</w:t>
      </w:r>
      <w:r w:rsidRPr="000E7AE9">
        <w:rPr>
          <w:color w:val="000000"/>
          <w:sz w:val="22"/>
          <w:szCs w:val="22"/>
          <w:lang w:val="sv-SE"/>
        </w:rPr>
        <w:t xml:space="preserve"> diarré</w:t>
      </w:r>
      <w:r>
        <w:rPr>
          <w:color w:val="000000"/>
          <w:sz w:val="22"/>
          <w:szCs w:val="22"/>
          <w:lang w:val="sv-SE"/>
        </w:rPr>
        <w:t xml:space="preserve"> och</w:t>
      </w:r>
      <w:r w:rsidRPr="000E7AE9">
        <w:rPr>
          <w:color w:val="000000"/>
          <w:sz w:val="22"/>
          <w:szCs w:val="22"/>
          <w:lang w:val="sv-SE"/>
        </w:rPr>
        <w:t xml:space="preserve"> kräkningar, buksmärta eller feber (tecken på </w:t>
      </w:r>
      <w:r>
        <w:rPr>
          <w:color w:val="000000"/>
          <w:sz w:val="22"/>
          <w:szCs w:val="22"/>
          <w:lang w:val="sv-SE"/>
        </w:rPr>
        <w:t>tarmproblem</w:t>
      </w:r>
      <w:r w:rsidRPr="000E7AE9">
        <w:rPr>
          <w:color w:val="000000"/>
          <w:sz w:val="22"/>
          <w:szCs w:val="22"/>
          <w:lang w:val="sv-SE"/>
        </w:rPr>
        <w:t>).</w:t>
      </w:r>
    </w:p>
    <w:p w14:paraId="683297F7"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 xml:space="preserve">Svår huvudvärk, svaghet eller förlamning i ben eller ansikte, svårighet att prata, plötslig medvetslöshet (tecken på </w:t>
      </w:r>
      <w:r>
        <w:rPr>
          <w:color w:val="000000"/>
          <w:sz w:val="22"/>
          <w:szCs w:val="22"/>
          <w:lang w:val="sv-SE"/>
        </w:rPr>
        <w:t>problem i</w:t>
      </w:r>
      <w:r w:rsidRPr="000E7AE9">
        <w:rPr>
          <w:color w:val="000000"/>
          <w:sz w:val="22"/>
          <w:szCs w:val="22"/>
          <w:lang w:val="sv-SE"/>
        </w:rPr>
        <w:t xml:space="preserve"> nervsystemet</w:t>
      </w:r>
      <w:r>
        <w:rPr>
          <w:color w:val="000000"/>
          <w:sz w:val="22"/>
          <w:szCs w:val="22"/>
          <w:lang w:val="sv-SE"/>
        </w:rPr>
        <w:t xml:space="preserve"> så som blödning eller svullnad i skalle/hjärna</w:t>
      </w:r>
      <w:r w:rsidRPr="000E7AE9">
        <w:rPr>
          <w:color w:val="000000"/>
          <w:sz w:val="22"/>
          <w:szCs w:val="22"/>
          <w:lang w:val="sv-SE"/>
        </w:rPr>
        <w:t>).</w:t>
      </w:r>
    </w:p>
    <w:p w14:paraId="77FCD02B"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Blekhet, trötthet</w:t>
      </w:r>
      <w:r>
        <w:rPr>
          <w:color w:val="000000"/>
          <w:sz w:val="22"/>
          <w:szCs w:val="22"/>
          <w:lang w:val="sv-SE"/>
        </w:rPr>
        <w:t xml:space="preserve"> och</w:t>
      </w:r>
      <w:r w:rsidRPr="000E7AE9">
        <w:rPr>
          <w:color w:val="000000"/>
          <w:sz w:val="22"/>
          <w:szCs w:val="22"/>
          <w:lang w:val="sv-SE"/>
        </w:rPr>
        <w:t xml:space="preserve"> andfåddhet</w:t>
      </w:r>
      <w:r>
        <w:rPr>
          <w:color w:val="000000"/>
          <w:sz w:val="22"/>
          <w:szCs w:val="22"/>
          <w:lang w:val="sv-SE"/>
        </w:rPr>
        <w:t xml:space="preserve"> med</w:t>
      </w:r>
      <w:r w:rsidRPr="000E7AE9">
        <w:rPr>
          <w:color w:val="000000"/>
          <w:sz w:val="22"/>
          <w:szCs w:val="22"/>
          <w:lang w:val="sv-SE"/>
        </w:rPr>
        <w:t xml:space="preserve"> mörk urin (tecken på låg nivå av röda blodkroppar).</w:t>
      </w:r>
    </w:p>
    <w:p w14:paraId="38CB01F9"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Ögonsmärtor eller försämrad syn</w:t>
      </w:r>
      <w:r>
        <w:rPr>
          <w:color w:val="000000"/>
          <w:sz w:val="22"/>
          <w:szCs w:val="22"/>
          <w:lang w:val="sv-SE"/>
        </w:rPr>
        <w:t>, blödning i ögonen</w:t>
      </w:r>
      <w:r w:rsidRPr="000E7AE9">
        <w:rPr>
          <w:color w:val="000000"/>
          <w:sz w:val="22"/>
          <w:szCs w:val="22"/>
          <w:lang w:val="sv-SE"/>
        </w:rPr>
        <w:t>.</w:t>
      </w:r>
    </w:p>
    <w:p w14:paraId="5F178D24"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Smärta i höfterna eller svårighet att gå.</w:t>
      </w:r>
    </w:p>
    <w:p w14:paraId="258E7632"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Domnade eller kalla tår och fingrar (tecken på Raynauds syndrom).</w:t>
      </w:r>
    </w:p>
    <w:p w14:paraId="65592704"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 xml:space="preserve">Plötslig svullnad och rodnad i hud </w:t>
      </w:r>
      <w:r w:rsidRPr="000E7AE9">
        <w:rPr>
          <w:color w:val="000000"/>
          <w:sz w:val="22"/>
          <w:szCs w:val="22"/>
          <w:lang w:val="sv-SE"/>
        </w:rPr>
        <w:t>(tecken på</w:t>
      </w:r>
      <w:r>
        <w:rPr>
          <w:color w:val="000000"/>
          <w:sz w:val="22"/>
          <w:szCs w:val="22"/>
          <w:lang w:val="sv-SE"/>
        </w:rPr>
        <w:t xml:space="preserve"> en hudinfektion som kallas</w:t>
      </w:r>
      <w:r w:rsidRPr="000E7AE9">
        <w:rPr>
          <w:color w:val="000000"/>
          <w:sz w:val="22"/>
          <w:szCs w:val="22"/>
          <w:lang w:val="sv-SE"/>
        </w:rPr>
        <w:t xml:space="preserve"> cellulit).</w:t>
      </w:r>
    </w:p>
    <w:p w14:paraId="283AAFE7" w14:textId="77777777" w:rsidR="00547CA2" w:rsidRPr="000E7AE9" w:rsidRDefault="00A009DC"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Nedsatt hörsel</w:t>
      </w:r>
      <w:r w:rsidR="00547CA2" w:rsidRPr="000E7AE9">
        <w:rPr>
          <w:color w:val="000000"/>
          <w:sz w:val="22"/>
          <w:szCs w:val="22"/>
          <w:lang w:val="sv-SE"/>
        </w:rPr>
        <w:t>.</w:t>
      </w:r>
    </w:p>
    <w:p w14:paraId="6E7AF686"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Muskelsvaghet</w:t>
      </w:r>
      <w:r>
        <w:rPr>
          <w:color w:val="000000"/>
          <w:sz w:val="22"/>
          <w:szCs w:val="22"/>
          <w:lang w:val="sv-SE"/>
        </w:rPr>
        <w:t xml:space="preserve"> och</w:t>
      </w:r>
      <w:r w:rsidRPr="000E7AE9">
        <w:rPr>
          <w:color w:val="000000"/>
          <w:sz w:val="22"/>
          <w:szCs w:val="22"/>
          <w:lang w:val="sv-SE"/>
        </w:rPr>
        <w:t xml:space="preserve"> muskelkramper</w:t>
      </w:r>
      <w:r>
        <w:rPr>
          <w:color w:val="000000"/>
          <w:sz w:val="22"/>
          <w:szCs w:val="22"/>
          <w:lang w:val="sv-SE"/>
        </w:rPr>
        <w:t xml:space="preserve"> med</w:t>
      </w:r>
      <w:r w:rsidRPr="000E7AE9">
        <w:rPr>
          <w:color w:val="000000"/>
          <w:sz w:val="22"/>
          <w:szCs w:val="22"/>
          <w:lang w:val="sv-SE"/>
        </w:rPr>
        <w:t xml:space="preserve"> onormal hjärtrytm (tecken som tyder på förändringar i </w:t>
      </w:r>
      <w:r>
        <w:rPr>
          <w:color w:val="000000"/>
          <w:sz w:val="22"/>
          <w:szCs w:val="22"/>
          <w:lang w:val="sv-SE"/>
        </w:rPr>
        <w:t xml:space="preserve">mängden </w:t>
      </w:r>
      <w:r w:rsidRPr="000E7AE9">
        <w:rPr>
          <w:color w:val="000000"/>
          <w:sz w:val="22"/>
          <w:szCs w:val="22"/>
          <w:lang w:val="sv-SE"/>
        </w:rPr>
        <w:t xml:space="preserve">kalium i </w:t>
      </w:r>
      <w:r>
        <w:rPr>
          <w:color w:val="000000"/>
          <w:sz w:val="22"/>
          <w:szCs w:val="22"/>
          <w:lang w:val="sv-SE"/>
        </w:rPr>
        <w:t xml:space="preserve">ditt </w:t>
      </w:r>
      <w:r w:rsidRPr="000E7AE9">
        <w:rPr>
          <w:color w:val="000000"/>
          <w:sz w:val="22"/>
          <w:szCs w:val="22"/>
          <w:lang w:val="sv-SE"/>
        </w:rPr>
        <w:t>blod).</w:t>
      </w:r>
    </w:p>
    <w:p w14:paraId="7E506910"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Tendens att få blåmärken.</w:t>
      </w:r>
    </w:p>
    <w:p w14:paraId="6DDB8AB6"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Magsmärta</w:t>
      </w:r>
      <w:r>
        <w:rPr>
          <w:color w:val="000000"/>
          <w:sz w:val="22"/>
          <w:szCs w:val="22"/>
          <w:lang w:val="sv-SE"/>
        </w:rPr>
        <w:t>, med</w:t>
      </w:r>
      <w:r w:rsidRPr="000E7AE9">
        <w:rPr>
          <w:color w:val="000000"/>
          <w:sz w:val="22"/>
          <w:szCs w:val="22"/>
          <w:lang w:val="sv-SE"/>
        </w:rPr>
        <w:t xml:space="preserve"> illamående.</w:t>
      </w:r>
    </w:p>
    <w:p w14:paraId="1A656AB8"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Muskelkramper, med feber, röd-brun urin, smärta eller svaghet i dina muskler (tecken på muskelproblem).</w:t>
      </w:r>
    </w:p>
    <w:p w14:paraId="3FBBDF66"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Bäckensmärta ibland med illamående och kräkningar, med oväntad vaginalblödning, yrsel eller svimning på grund av lågt blodtryck (tecken på problem med äggstockar eller livmoder).</w:t>
      </w:r>
    </w:p>
    <w:p w14:paraId="25761BA1"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Illamående, andfåddhet, oregelbundna hjärtslag, grumlig urin, trötthet och/eller led</w:t>
      </w:r>
      <w:r w:rsidRPr="0038538F">
        <w:rPr>
          <w:color w:val="000000"/>
          <w:sz w:val="22"/>
          <w:szCs w:val="22"/>
          <w:lang w:val="sv-SE"/>
        </w:rPr>
        <w:t>b</w:t>
      </w:r>
      <w:r>
        <w:rPr>
          <w:color w:val="000000"/>
          <w:sz w:val="22"/>
          <w:szCs w:val="22"/>
          <w:lang w:val="sv-SE"/>
        </w:rPr>
        <w:t xml:space="preserve">esvär associerat med onormala laboratorievärden (t.ex. höga kalium-, urinsyra- och </w:t>
      </w:r>
      <w:r w:rsidR="00197F00">
        <w:rPr>
          <w:color w:val="000000"/>
          <w:sz w:val="22"/>
          <w:szCs w:val="22"/>
          <w:lang w:val="sv-SE"/>
        </w:rPr>
        <w:t>kalcium</w:t>
      </w:r>
      <w:r>
        <w:rPr>
          <w:color w:val="000000"/>
          <w:sz w:val="22"/>
          <w:szCs w:val="22"/>
          <w:lang w:val="sv-SE"/>
        </w:rPr>
        <w:t xml:space="preserve">nivåer, samt låga </w:t>
      </w:r>
      <w:r w:rsidR="00197F00">
        <w:rPr>
          <w:color w:val="000000"/>
          <w:sz w:val="22"/>
          <w:szCs w:val="22"/>
          <w:lang w:val="sv-SE"/>
        </w:rPr>
        <w:t>fosfor</w:t>
      </w:r>
      <w:r>
        <w:rPr>
          <w:color w:val="000000"/>
          <w:sz w:val="22"/>
          <w:szCs w:val="22"/>
          <w:lang w:val="sv-SE"/>
        </w:rPr>
        <w:t>nivåer i blodet).</w:t>
      </w:r>
    </w:p>
    <w:p w14:paraId="3F0EC595" w14:textId="77777777" w:rsidR="00F72B98" w:rsidRPr="000E7AE9" w:rsidRDefault="00F72B98"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Blodproppar i små blodkärl (trombotisk mikroangiopati).</w:t>
      </w:r>
    </w:p>
    <w:p w14:paraId="34BEB3A8" w14:textId="77777777" w:rsidR="00D046C5" w:rsidRPr="004460CB" w:rsidRDefault="00D046C5" w:rsidP="00463647">
      <w:pPr>
        <w:pStyle w:val="TextChar"/>
        <w:widowControl w:val="0"/>
        <w:spacing w:before="0"/>
        <w:jc w:val="left"/>
        <w:rPr>
          <w:color w:val="000000"/>
          <w:sz w:val="22"/>
          <w:szCs w:val="22"/>
          <w:lang w:val="sv-SE"/>
        </w:rPr>
      </w:pPr>
    </w:p>
    <w:p w14:paraId="12FEF54C" w14:textId="77777777" w:rsidR="00D046C5" w:rsidRPr="00E5348D" w:rsidRDefault="00453BCB" w:rsidP="009E09A2">
      <w:pPr>
        <w:keepNext/>
        <w:widowControl w:val="0"/>
        <w:spacing w:line="240" w:lineRule="auto"/>
        <w:rPr>
          <w:lang w:val="sv-SE"/>
        </w:rPr>
      </w:pPr>
      <w:r w:rsidRPr="005B4486">
        <w:rPr>
          <w:b/>
          <w:color w:val="000000"/>
          <w:szCs w:val="22"/>
          <w:lang w:val="sv-SE"/>
        </w:rPr>
        <w:t xml:space="preserve">Har rapporterats </w:t>
      </w:r>
      <w:r w:rsidRPr="005B4486">
        <w:rPr>
          <w:color w:val="000000"/>
          <w:szCs w:val="22"/>
          <w:lang w:val="sv-SE"/>
        </w:rPr>
        <w:t>(förekommer hos okänt antal användare)</w:t>
      </w:r>
      <w:r w:rsidR="00197F00">
        <w:rPr>
          <w:color w:val="000000"/>
          <w:szCs w:val="22"/>
          <w:lang w:val="sv-SE"/>
        </w:rPr>
        <w:t>:</w:t>
      </w:r>
    </w:p>
    <w:p w14:paraId="5A15201A" w14:textId="77777777" w:rsidR="00D046C5" w:rsidRDefault="00D046C5"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Kombination av svåra utbredda hudutslag, illamående, feber, höga nivåer av vissa vita blodkroppar eller gul hud eller ögon (tecken på gulsot) med andfåddhet, bröstsmärta/obehag, kraftigt minskad urinproduktion och känsla av törst etc. (tecken på behandlingsrelaterad allergisk reaktion).</w:t>
      </w:r>
    </w:p>
    <w:p w14:paraId="777D67D3" w14:textId="77777777" w:rsidR="0009507F" w:rsidRDefault="0009507F"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Kronisk njursvikt</w:t>
      </w:r>
      <w:r w:rsidR="005F1948">
        <w:rPr>
          <w:color w:val="000000"/>
          <w:sz w:val="22"/>
          <w:szCs w:val="22"/>
          <w:lang w:val="sv-SE"/>
        </w:rPr>
        <w:t>.</w:t>
      </w:r>
    </w:p>
    <w:p w14:paraId="2104F673" w14:textId="77777777" w:rsidR="00AE1541" w:rsidRPr="00AE1541" w:rsidRDefault="00AE1541"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Återkomst (reaktivering) av hepatit B-infektion när du tidigare haft hepatit B (en leverinfektion).</w:t>
      </w:r>
    </w:p>
    <w:p w14:paraId="566F69BA" w14:textId="77777777" w:rsidR="00D046C5" w:rsidRPr="004460CB" w:rsidRDefault="00D046C5" w:rsidP="00463647">
      <w:pPr>
        <w:pStyle w:val="TextChar"/>
        <w:widowControl w:val="0"/>
        <w:spacing w:before="0"/>
        <w:jc w:val="left"/>
        <w:rPr>
          <w:color w:val="000000"/>
          <w:sz w:val="22"/>
          <w:szCs w:val="22"/>
          <w:lang w:val="sv-SE"/>
        </w:rPr>
      </w:pPr>
    </w:p>
    <w:p w14:paraId="0B37D725" w14:textId="77777777" w:rsidR="00547CA2" w:rsidRDefault="00547CA2" w:rsidP="00463647">
      <w:pPr>
        <w:pStyle w:val="TextChar"/>
        <w:widowControl w:val="0"/>
        <w:spacing w:before="0"/>
        <w:jc w:val="left"/>
        <w:rPr>
          <w:color w:val="000000"/>
          <w:sz w:val="22"/>
          <w:szCs w:val="22"/>
          <w:lang w:val="sv-SE"/>
        </w:rPr>
      </w:pPr>
      <w:r w:rsidRPr="006C7A3E">
        <w:rPr>
          <w:b/>
          <w:color w:val="000000"/>
          <w:sz w:val="22"/>
          <w:szCs w:val="22"/>
          <w:lang w:val="sv-SE"/>
        </w:rPr>
        <w:t xml:space="preserve">Meddela </w:t>
      </w:r>
      <w:r>
        <w:rPr>
          <w:b/>
          <w:color w:val="000000"/>
          <w:sz w:val="22"/>
          <w:szCs w:val="22"/>
          <w:lang w:val="sv-SE"/>
        </w:rPr>
        <w:t xml:space="preserve">omedelbart </w:t>
      </w:r>
      <w:r w:rsidRPr="006C7A3E">
        <w:rPr>
          <w:b/>
          <w:color w:val="000000"/>
          <w:sz w:val="22"/>
          <w:szCs w:val="22"/>
          <w:lang w:val="sv-SE"/>
        </w:rPr>
        <w:t>din läkare</w:t>
      </w:r>
      <w:r>
        <w:rPr>
          <w:color w:val="000000"/>
          <w:sz w:val="22"/>
          <w:szCs w:val="22"/>
          <w:lang w:val="sv-SE"/>
        </w:rPr>
        <w:t xml:space="preserve"> om du får något av ovanstående.</w:t>
      </w:r>
    </w:p>
    <w:p w14:paraId="7845605C" w14:textId="77777777" w:rsidR="00547CA2" w:rsidRDefault="00547CA2" w:rsidP="00463647">
      <w:pPr>
        <w:pStyle w:val="TextChar"/>
        <w:widowControl w:val="0"/>
        <w:spacing w:before="0"/>
        <w:jc w:val="left"/>
        <w:rPr>
          <w:color w:val="000000"/>
          <w:sz w:val="22"/>
          <w:szCs w:val="22"/>
          <w:lang w:val="sv-SE"/>
        </w:rPr>
      </w:pPr>
    </w:p>
    <w:p w14:paraId="188E92EC" w14:textId="77777777" w:rsidR="00547CA2" w:rsidRDefault="00547CA2" w:rsidP="009E09A2">
      <w:pPr>
        <w:pStyle w:val="TextChar"/>
        <w:keepNext/>
        <w:widowControl w:val="0"/>
        <w:spacing w:before="0"/>
        <w:jc w:val="left"/>
        <w:rPr>
          <w:b/>
          <w:color w:val="000000"/>
          <w:sz w:val="22"/>
          <w:szCs w:val="22"/>
          <w:lang w:val="sv-SE"/>
        </w:rPr>
      </w:pPr>
      <w:r w:rsidRPr="00F224AA">
        <w:rPr>
          <w:b/>
          <w:color w:val="000000"/>
          <w:sz w:val="22"/>
          <w:szCs w:val="22"/>
          <w:lang w:val="sv-SE"/>
        </w:rPr>
        <w:t>Andra biverkningar kan omfatta:</w:t>
      </w:r>
    </w:p>
    <w:p w14:paraId="30A737FC" w14:textId="77777777" w:rsidR="00547CA2" w:rsidRPr="00862A7C" w:rsidRDefault="00547CA2" w:rsidP="009E09A2">
      <w:pPr>
        <w:pStyle w:val="TextChar"/>
        <w:keepNext/>
        <w:widowControl w:val="0"/>
        <w:spacing w:before="0"/>
        <w:jc w:val="left"/>
        <w:rPr>
          <w:color w:val="000000"/>
          <w:sz w:val="22"/>
          <w:szCs w:val="22"/>
          <w:lang w:val="sv-SE"/>
        </w:rPr>
      </w:pPr>
    </w:p>
    <w:p w14:paraId="1A1B86A1" w14:textId="77777777" w:rsidR="00547CA2" w:rsidRPr="008504F2" w:rsidRDefault="00547CA2" w:rsidP="009E09A2">
      <w:pPr>
        <w:pStyle w:val="TextChar"/>
        <w:keepNext/>
        <w:widowControl w:val="0"/>
        <w:spacing w:before="0"/>
        <w:jc w:val="left"/>
        <w:rPr>
          <w:color w:val="000000"/>
          <w:sz w:val="22"/>
          <w:szCs w:val="22"/>
          <w:lang w:val="sv-SE"/>
        </w:rPr>
      </w:pPr>
      <w:r>
        <w:rPr>
          <w:b/>
          <w:color w:val="000000"/>
          <w:sz w:val="22"/>
          <w:szCs w:val="22"/>
          <w:lang w:val="sv-SE"/>
        </w:rPr>
        <w:t xml:space="preserve">Mycket </w:t>
      </w:r>
      <w:r w:rsidRPr="004C1A96">
        <w:rPr>
          <w:b/>
          <w:color w:val="000000"/>
          <w:sz w:val="22"/>
          <w:szCs w:val="22"/>
          <w:lang w:val="sv-SE"/>
        </w:rPr>
        <w:t xml:space="preserve">vanliga </w:t>
      </w:r>
      <w:r w:rsidRPr="008504F2">
        <w:rPr>
          <w:color w:val="000000"/>
          <w:sz w:val="22"/>
          <w:szCs w:val="22"/>
          <w:lang w:val="sv-SE"/>
        </w:rPr>
        <w:t>(kan förekomma hos fler än 1 av 10 personer):</w:t>
      </w:r>
    </w:p>
    <w:p w14:paraId="2D089E4A"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Huvudvärk eller trötthet.</w:t>
      </w:r>
    </w:p>
    <w:p w14:paraId="3EAD4184"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lastRenderedPageBreak/>
        <w:t>Illamående, kräkningar, diarré eller matsmältningsbesvär.</w:t>
      </w:r>
    </w:p>
    <w:p w14:paraId="17B74D7B"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Hudutslag.</w:t>
      </w:r>
    </w:p>
    <w:p w14:paraId="6E242A11" w14:textId="442DEF15" w:rsidR="00547CA2" w:rsidRPr="0001442D"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1442D">
        <w:rPr>
          <w:color w:val="000000"/>
          <w:sz w:val="22"/>
          <w:szCs w:val="22"/>
          <w:lang w:val="sv-SE"/>
        </w:rPr>
        <w:t>Muskelkramper eller</w:t>
      </w:r>
      <w:r>
        <w:rPr>
          <w:color w:val="000000"/>
          <w:sz w:val="22"/>
          <w:szCs w:val="22"/>
          <w:lang w:val="sv-SE"/>
        </w:rPr>
        <w:t xml:space="preserve"> smärta i leder</w:t>
      </w:r>
      <w:r w:rsidRPr="0001442D">
        <w:rPr>
          <w:color w:val="000000"/>
          <w:sz w:val="22"/>
          <w:szCs w:val="22"/>
          <w:lang w:val="sv-SE"/>
        </w:rPr>
        <w:t xml:space="preserve">, </w:t>
      </w:r>
      <w:r>
        <w:rPr>
          <w:color w:val="000000"/>
          <w:sz w:val="22"/>
          <w:szCs w:val="22"/>
          <w:lang w:val="sv-SE"/>
        </w:rPr>
        <w:t>muskler eller</w:t>
      </w:r>
      <w:r w:rsidRPr="0001442D">
        <w:rPr>
          <w:color w:val="000000"/>
          <w:sz w:val="22"/>
          <w:szCs w:val="22"/>
          <w:lang w:val="sv-SE"/>
        </w:rPr>
        <w:t xml:space="preserve"> skelett</w:t>
      </w:r>
      <w:r w:rsidR="00AD7816">
        <w:rPr>
          <w:color w:val="000000"/>
          <w:sz w:val="22"/>
          <w:szCs w:val="22"/>
          <w:lang w:val="sv-SE"/>
        </w:rPr>
        <w:t xml:space="preserve"> under behandling med Glivec eller efter du har slutat ta Glivec.</w:t>
      </w:r>
    </w:p>
    <w:p w14:paraId="7C6ECBD4"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Svullnad runt leder eller uppsvullna ögon.</w:t>
      </w:r>
    </w:p>
    <w:p w14:paraId="418E7562" w14:textId="77777777" w:rsidR="00547CA2" w:rsidRPr="0001442D"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Viktuppgång.</w:t>
      </w:r>
    </w:p>
    <w:p w14:paraId="113A03B3" w14:textId="77777777" w:rsidR="00547CA2" w:rsidRDefault="00547CA2" w:rsidP="00463647">
      <w:pPr>
        <w:pStyle w:val="TextChar"/>
        <w:widowControl w:val="0"/>
        <w:spacing w:before="0"/>
        <w:jc w:val="left"/>
        <w:rPr>
          <w:color w:val="000000"/>
          <w:sz w:val="22"/>
          <w:szCs w:val="22"/>
          <w:lang w:val="sv-SE"/>
        </w:rPr>
      </w:pPr>
      <w:r w:rsidRPr="000E7AE9">
        <w:rPr>
          <w:b/>
          <w:color w:val="000000"/>
          <w:sz w:val="22"/>
          <w:szCs w:val="22"/>
          <w:lang w:val="sv-SE"/>
        </w:rPr>
        <w:t>Meddela din läkare</w:t>
      </w:r>
      <w:r w:rsidRPr="000E7AE9">
        <w:rPr>
          <w:color w:val="000000"/>
          <w:sz w:val="22"/>
          <w:szCs w:val="22"/>
          <w:lang w:val="sv-SE"/>
        </w:rPr>
        <w:t xml:space="preserve"> om något av detta påverkar dig allvarligt.</w:t>
      </w:r>
    </w:p>
    <w:p w14:paraId="79ACAE5C" w14:textId="77777777" w:rsidR="00547CA2" w:rsidRDefault="00547CA2" w:rsidP="00463647">
      <w:pPr>
        <w:pStyle w:val="TextChar"/>
        <w:widowControl w:val="0"/>
        <w:spacing w:before="0"/>
        <w:jc w:val="left"/>
        <w:rPr>
          <w:color w:val="000000"/>
          <w:sz w:val="22"/>
          <w:szCs w:val="22"/>
          <w:lang w:val="sv-SE"/>
        </w:rPr>
      </w:pPr>
    </w:p>
    <w:p w14:paraId="70A9F26F" w14:textId="77777777" w:rsidR="00547CA2" w:rsidRPr="008504F2" w:rsidRDefault="00547CA2" w:rsidP="009E09A2">
      <w:pPr>
        <w:pStyle w:val="TextChar"/>
        <w:keepNext/>
        <w:widowControl w:val="0"/>
        <w:spacing w:before="0"/>
        <w:jc w:val="left"/>
        <w:rPr>
          <w:color w:val="000000"/>
          <w:sz w:val="22"/>
          <w:szCs w:val="22"/>
          <w:lang w:val="sv-SE"/>
        </w:rPr>
      </w:pPr>
      <w:r>
        <w:rPr>
          <w:b/>
          <w:color w:val="000000"/>
          <w:sz w:val="22"/>
          <w:szCs w:val="22"/>
          <w:lang w:val="sv-SE"/>
        </w:rPr>
        <w:t>Vanliga</w:t>
      </w:r>
      <w:r w:rsidRPr="004C1A96">
        <w:rPr>
          <w:b/>
          <w:color w:val="000000"/>
          <w:sz w:val="22"/>
          <w:szCs w:val="22"/>
          <w:lang w:val="sv-SE"/>
        </w:rPr>
        <w:t xml:space="preserve"> </w:t>
      </w:r>
      <w:r w:rsidRPr="008504F2">
        <w:rPr>
          <w:color w:val="000000"/>
          <w:sz w:val="22"/>
          <w:szCs w:val="22"/>
          <w:lang w:val="sv-SE"/>
        </w:rPr>
        <w:t>(kan förekomma hos upp till 1 av 10 personer):</w:t>
      </w:r>
    </w:p>
    <w:p w14:paraId="42C685A2"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Minskad aptit, viktnedgång eller smakstörningar.</w:t>
      </w:r>
    </w:p>
    <w:p w14:paraId="550174B0"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Yrsel eller svaghet.</w:t>
      </w:r>
    </w:p>
    <w:p w14:paraId="33E65FCD"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Sömnproblem (insomnia).</w:t>
      </w:r>
    </w:p>
    <w:p w14:paraId="27F6097A"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Rinnande ögon med klåda, rodnad och svullnad (bindhinneinflammation), vätskande ögon eller dimsyn.</w:t>
      </w:r>
    </w:p>
    <w:p w14:paraId="24D6442B"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Näsblödning.</w:t>
      </w:r>
    </w:p>
    <w:p w14:paraId="4B01FDF6"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Buksmärta eller utspänd buk, väderspänning, halsbränna, förstoppning.</w:t>
      </w:r>
    </w:p>
    <w:p w14:paraId="2678A621"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Klåda.</w:t>
      </w:r>
    </w:p>
    <w:p w14:paraId="7D89F8B5"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Oväntat kraftigt håravfall eller uttunning av håret.</w:t>
      </w:r>
    </w:p>
    <w:p w14:paraId="311724DA"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Domningar i händer och fötter.</w:t>
      </w:r>
    </w:p>
    <w:p w14:paraId="5FED84A7"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Sår i munnen.</w:t>
      </w:r>
    </w:p>
    <w:p w14:paraId="3606E31E"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Ledsmärta med svullnad.</w:t>
      </w:r>
    </w:p>
    <w:p w14:paraId="4143D7AE"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Muntorrhet, torr hud eller torra ögon.</w:t>
      </w:r>
    </w:p>
    <w:p w14:paraId="62B6099F"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Minskad eller ökad känslighet i huden.</w:t>
      </w:r>
    </w:p>
    <w:p w14:paraId="7C9C09AD"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Heta blodvallningar, frossa eller nattsvettning.</w:t>
      </w:r>
    </w:p>
    <w:p w14:paraId="092C27CA" w14:textId="77777777" w:rsidR="00547CA2" w:rsidRPr="000E7AE9" w:rsidRDefault="00547CA2" w:rsidP="00463647">
      <w:pPr>
        <w:pStyle w:val="TextChar"/>
        <w:widowControl w:val="0"/>
        <w:spacing w:before="0"/>
        <w:jc w:val="left"/>
        <w:rPr>
          <w:color w:val="000000"/>
          <w:sz w:val="22"/>
          <w:szCs w:val="22"/>
          <w:lang w:val="sv-SE"/>
        </w:rPr>
      </w:pPr>
      <w:r w:rsidRPr="000E7AE9">
        <w:rPr>
          <w:b/>
          <w:color w:val="000000"/>
          <w:sz w:val="22"/>
          <w:szCs w:val="22"/>
          <w:lang w:val="sv-SE"/>
        </w:rPr>
        <w:t xml:space="preserve">Meddela din läkare </w:t>
      </w:r>
      <w:r w:rsidRPr="000E7AE9">
        <w:rPr>
          <w:color w:val="000000"/>
          <w:sz w:val="22"/>
          <w:szCs w:val="22"/>
          <w:lang w:val="sv-SE"/>
        </w:rPr>
        <w:t>om något av detta påverkar dig allvarligt.</w:t>
      </w:r>
    </w:p>
    <w:p w14:paraId="7DFF2042" w14:textId="77777777" w:rsidR="00547CA2" w:rsidRPr="000E7AE9" w:rsidRDefault="00547CA2" w:rsidP="00463647">
      <w:pPr>
        <w:pStyle w:val="TextChar"/>
        <w:widowControl w:val="0"/>
        <w:spacing w:before="0"/>
        <w:jc w:val="left"/>
        <w:rPr>
          <w:color w:val="000000"/>
          <w:sz w:val="22"/>
          <w:szCs w:val="22"/>
          <w:lang w:val="sv-SE"/>
        </w:rPr>
      </w:pPr>
    </w:p>
    <w:p w14:paraId="3F8586CD" w14:textId="77777777" w:rsidR="00547CA2" w:rsidRPr="00E5348D" w:rsidRDefault="00453BCB" w:rsidP="009E09A2">
      <w:pPr>
        <w:keepNext/>
        <w:widowControl w:val="0"/>
        <w:spacing w:line="240" w:lineRule="auto"/>
        <w:rPr>
          <w:lang w:val="sv-SE"/>
        </w:rPr>
      </w:pPr>
      <w:r w:rsidRPr="005B4486">
        <w:rPr>
          <w:b/>
          <w:color w:val="000000"/>
          <w:szCs w:val="22"/>
          <w:lang w:val="sv-SE"/>
        </w:rPr>
        <w:t xml:space="preserve">Har rapporterats </w:t>
      </w:r>
      <w:r w:rsidRPr="005B4486">
        <w:rPr>
          <w:color w:val="000000"/>
          <w:szCs w:val="22"/>
          <w:lang w:val="sv-SE"/>
        </w:rPr>
        <w:t>(förekommer hos okänt antal användare)</w:t>
      </w:r>
      <w:r w:rsidR="00547CA2" w:rsidRPr="008504F2">
        <w:rPr>
          <w:color w:val="000000"/>
          <w:szCs w:val="22"/>
          <w:lang w:val="sv-SE"/>
        </w:rPr>
        <w:t>:</w:t>
      </w:r>
    </w:p>
    <w:p w14:paraId="00914603"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 xml:space="preserve">Rodnad och/eller svullnad i handflatorna och på fotsulorna som kan vara åtföljt av en </w:t>
      </w:r>
      <w:r w:rsidRPr="00C846F7">
        <w:rPr>
          <w:color w:val="000000"/>
          <w:sz w:val="22"/>
          <w:szCs w:val="22"/>
          <w:lang w:val="sv-SE"/>
        </w:rPr>
        <w:t>stickande känsla</w:t>
      </w:r>
      <w:r>
        <w:rPr>
          <w:color w:val="000000"/>
          <w:sz w:val="22"/>
          <w:szCs w:val="22"/>
          <w:lang w:val="sv-SE"/>
        </w:rPr>
        <w:t xml:space="preserve"> eller brännande smärta.</w:t>
      </w:r>
    </w:p>
    <w:p w14:paraId="603784E7" w14:textId="77777777" w:rsidR="00676CAE" w:rsidRDefault="00676CAE"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Smärtsamma förändringar i huden med eller utan blås</w:t>
      </w:r>
      <w:r w:rsidR="00E50AD8">
        <w:rPr>
          <w:color w:val="000000"/>
          <w:sz w:val="22"/>
          <w:szCs w:val="22"/>
          <w:lang w:val="sv-SE"/>
        </w:rPr>
        <w:t>or</w:t>
      </w:r>
      <w:r>
        <w:rPr>
          <w:color w:val="000000"/>
          <w:sz w:val="22"/>
          <w:szCs w:val="22"/>
          <w:lang w:val="sv-SE"/>
        </w:rPr>
        <w:t>.</w:t>
      </w:r>
    </w:p>
    <w:p w14:paraId="4CF28B61"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Långsam tillväxt hos barn och ungdomar.</w:t>
      </w:r>
    </w:p>
    <w:p w14:paraId="0FD9D80A" w14:textId="77777777" w:rsidR="00547CA2" w:rsidRPr="00C846F7" w:rsidRDefault="00547CA2" w:rsidP="00463647">
      <w:pPr>
        <w:pStyle w:val="TextChar"/>
        <w:widowControl w:val="0"/>
        <w:spacing w:before="0"/>
        <w:jc w:val="left"/>
        <w:rPr>
          <w:color w:val="000000"/>
          <w:sz w:val="22"/>
          <w:szCs w:val="22"/>
          <w:lang w:val="sv-SE"/>
        </w:rPr>
      </w:pPr>
      <w:r>
        <w:rPr>
          <w:b/>
          <w:color w:val="000000"/>
          <w:sz w:val="22"/>
          <w:szCs w:val="22"/>
          <w:lang w:val="sv-SE"/>
        </w:rPr>
        <w:t xml:space="preserve">Meddela din läkare </w:t>
      </w:r>
      <w:r>
        <w:rPr>
          <w:color w:val="000000"/>
          <w:sz w:val="22"/>
          <w:szCs w:val="22"/>
          <w:lang w:val="sv-SE"/>
        </w:rPr>
        <w:t>om något av detta påverkar dig allvarligt.</w:t>
      </w:r>
    </w:p>
    <w:p w14:paraId="3341BC45" w14:textId="77777777" w:rsidR="00547CA2" w:rsidRPr="00547CA2" w:rsidRDefault="00547CA2" w:rsidP="00463647">
      <w:pPr>
        <w:widowControl w:val="0"/>
        <w:numPr>
          <w:ilvl w:val="12"/>
          <w:numId w:val="0"/>
        </w:numPr>
        <w:spacing w:line="240" w:lineRule="auto"/>
        <w:outlineLvl w:val="0"/>
        <w:rPr>
          <w:noProof/>
          <w:szCs w:val="22"/>
          <w:lang w:val="sv-SE"/>
        </w:rPr>
      </w:pPr>
    </w:p>
    <w:p w14:paraId="7BE0653A" w14:textId="77777777" w:rsidR="00547CA2" w:rsidRPr="00547CA2" w:rsidRDefault="00547CA2" w:rsidP="009E09A2">
      <w:pPr>
        <w:keepNext/>
        <w:widowControl w:val="0"/>
        <w:numPr>
          <w:ilvl w:val="12"/>
          <w:numId w:val="0"/>
        </w:numPr>
        <w:spacing w:line="240" w:lineRule="auto"/>
        <w:outlineLvl w:val="0"/>
        <w:rPr>
          <w:b/>
          <w:noProof/>
          <w:szCs w:val="22"/>
          <w:lang w:val="sv-SE"/>
        </w:rPr>
      </w:pPr>
      <w:r w:rsidRPr="00547CA2">
        <w:rPr>
          <w:b/>
          <w:noProof/>
          <w:szCs w:val="22"/>
          <w:lang w:val="sv-SE"/>
        </w:rPr>
        <w:t>Rapportering av biverkningar</w:t>
      </w:r>
    </w:p>
    <w:p w14:paraId="6A984AD1" w14:textId="77777777" w:rsidR="00547CA2" w:rsidRPr="00547CA2" w:rsidRDefault="00547CA2" w:rsidP="00463647">
      <w:pPr>
        <w:pStyle w:val="TextChar"/>
        <w:widowControl w:val="0"/>
        <w:spacing w:before="0"/>
        <w:jc w:val="left"/>
        <w:rPr>
          <w:color w:val="000000"/>
          <w:sz w:val="22"/>
          <w:szCs w:val="22"/>
          <w:lang w:val="sv-SE"/>
        </w:rPr>
      </w:pPr>
      <w:r w:rsidRPr="00547CA2">
        <w:rPr>
          <w:noProof/>
          <w:sz w:val="22"/>
          <w:szCs w:val="22"/>
          <w:lang w:val="sv-SE"/>
        </w:rPr>
        <w:t>Om du får biverkningar, tala med läkare, apotekspersonal eller sjuksköterska.</w:t>
      </w:r>
      <w:r w:rsidRPr="00547CA2">
        <w:rPr>
          <w:color w:val="FF0000"/>
          <w:sz w:val="22"/>
          <w:szCs w:val="22"/>
          <w:lang w:val="sv-SE"/>
        </w:rPr>
        <w:t xml:space="preserve"> </w:t>
      </w:r>
      <w:r w:rsidRPr="00547CA2">
        <w:rPr>
          <w:noProof/>
          <w:sz w:val="22"/>
          <w:szCs w:val="22"/>
          <w:lang w:val="sv-SE"/>
        </w:rPr>
        <w:t>Detta gäller även</w:t>
      </w:r>
      <w:r w:rsidRPr="00547CA2">
        <w:rPr>
          <w:sz w:val="22"/>
          <w:szCs w:val="22"/>
          <w:lang w:val="sv-SE"/>
        </w:rPr>
        <w:t xml:space="preserve"> </w:t>
      </w:r>
      <w:r w:rsidR="0039431C">
        <w:rPr>
          <w:sz w:val="22"/>
          <w:szCs w:val="22"/>
          <w:lang w:val="sv-SE"/>
        </w:rPr>
        <w:t xml:space="preserve">eventuella </w:t>
      </w:r>
      <w:r w:rsidRPr="00547CA2">
        <w:rPr>
          <w:noProof/>
          <w:sz w:val="22"/>
          <w:szCs w:val="22"/>
          <w:lang w:val="sv-SE"/>
        </w:rPr>
        <w:t xml:space="preserve">biverkningar som inte nämns i denna information. Du kan också rapportera biverkningar direkt </w:t>
      </w:r>
      <w:r w:rsidRPr="00547CA2">
        <w:rPr>
          <w:noProof/>
          <w:sz w:val="22"/>
          <w:szCs w:val="22"/>
          <w:shd w:val="pct15" w:color="auto" w:fill="auto"/>
          <w:lang w:val="sv-SE"/>
        </w:rPr>
        <w:t xml:space="preserve">via det nationella rapporteringssystemet listat i </w:t>
      </w:r>
      <w:hyperlink r:id="rId16" w:history="1">
        <w:r w:rsidRPr="00547CA2">
          <w:rPr>
            <w:rStyle w:val="Hyperlink"/>
            <w:noProof/>
            <w:sz w:val="22"/>
            <w:szCs w:val="22"/>
            <w:shd w:val="pct15" w:color="auto" w:fill="auto"/>
            <w:lang w:val="sv-SE"/>
          </w:rPr>
          <w:t>bilaga V</w:t>
        </w:r>
      </w:hyperlink>
      <w:r w:rsidRPr="00547CA2">
        <w:rPr>
          <w:noProof/>
          <w:color w:val="92D050"/>
          <w:sz w:val="22"/>
          <w:szCs w:val="22"/>
          <w:lang w:val="sv-SE"/>
        </w:rPr>
        <w:t>.</w:t>
      </w:r>
      <w:r w:rsidRPr="00547CA2">
        <w:rPr>
          <w:noProof/>
          <w:sz w:val="22"/>
          <w:szCs w:val="22"/>
          <w:lang w:val="sv-SE"/>
        </w:rPr>
        <w:t xml:space="preserve"> Genom att rapportera biverkningar kan du bidra till att öka informationen om läkemedels säkerhet.</w:t>
      </w:r>
    </w:p>
    <w:p w14:paraId="6F7B31BA" w14:textId="77777777" w:rsidR="00547CA2" w:rsidRPr="00547CA2" w:rsidRDefault="00547CA2" w:rsidP="00463647">
      <w:pPr>
        <w:widowControl w:val="0"/>
        <w:numPr>
          <w:ilvl w:val="12"/>
          <w:numId w:val="0"/>
        </w:numPr>
        <w:tabs>
          <w:tab w:val="clear" w:pos="567"/>
        </w:tabs>
        <w:spacing w:line="240" w:lineRule="auto"/>
        <w:ind w:right="-2"/>
        <w:rPr>
          <w:color w:val="000000"/>
          <w:szCs w:val="22"/>
          <w:lang w:val="sv-SE"/>
        </w:rPr>
      </w:pPr>
    </w:p>
    <w:p w14:paraId="642FABCC" w14:textId="77777777" w:rsidR="00547CA2" w:rsidRPr="000E7AE9" w:rsidRDefault="00547CA2" w:rsidP="00463647">
      <w:pPr>
        <w:widowControl w:val="0"/>
        <w:numPr>
          <w:ilvl w:val="12"/>
          <w:numId w:val="0"/>
        </w:numPr>
        <w:tabs>
          <w:tab w:val="clear" w:pos="567"/>
        </w:tabs>
        <w:spacing w:line="240" w:lineRule="auto"/>
        <w:ind w:right="-2"/>
        <w:rPr>
          <w:color w:val="000000"/>
          <w:szCs w:val="22"/>
          <w:lang w:val="sv-SE"/>
        </w:rPr>
      </w:pPr>
    </w:p>
    <w:p w14:paraId="13DE9B70" w14:textId="77777777" w:rsidR="00AB699C" w:rsidRPr="000E7AE9" w:rsidRDefault="00AB699C" w:rsidP="009E09A2">
      <w:pPr>
        <w:pStyle w:val="Heading4"/>
        <w:widowControl w:val="0"/>
        <w:spacing w:line="240" w:lineRule="auto"/>
        <w:rPr>
          <w:noProof w:val="0"/>
          <w:color w:val="000000"/>
          <w:szCs w:val="22"/>
          <w:lang w:val="sv-SE"/>
        </w:rPr>
      </w:pPr>
      <w:r w:rsidRPr="000E7AE9">
        <w:rPr>
          <w:noProof w:val="0"/>
          <w:color w:val="000000"/>
          <w:szCs w:val="22"/>
          <w:lang w:val="sv-SE"/>
        </w:rPr>
        <w:t>5.</w:t>
      </w:r>
      <w:r w:rsidRPr="000E7AE9">
        <w:rPr>
          <w:noProof w:val="0"/>
          <w:color w:val="000000"/>
          <w:szCs w:val="22"/>
          <w:lang w:val="sv-SE"/>
        </w:rPr>
        <w:tab/>
      </w:r>
      <w:r>
        <w:rPr>
          <w:noProof w:val="0"/>
          <w:color w:val="000000"/>
          <w:szCs w:val="22"/>
          <w:lang w:val="sv-SE"/>
        </w:rPr>
        <w:t>Hur Glivec ska förvaras</w:t>
      </w:r>
    </w:p>
    <w:p w14:paraId="5DFDC17F" w14:textId="77777777" w:rsidR="00AB699C" w:rsidRPr="000E7AE9" w:rsidRDefault="00AB699C" w:rsidP="009E09A2">
      <w:pPr>
        <w:keepNext/>
        <w:widowControl w:val="0"/>
        <w:numPr>
          <w:ilvl w:val="12"/>
          <w:numId w:val="0"/>
        </w:numPr>
        <w:tabs>
          <w:tab w:val="clear" w:pos="567"/>
        </w:tabs>
        <w:spacing w:line="240" w:lineRule="auto"/>
        <w:ind w:right="-2"/>
        <w:rPr>
          <w:color w:val="000000"/>
          <w:szCs w:val="22"/>
          <w:lang w:val="sv-SE"/>
        </w:rPr>
      </w:pPr>
    </w:p>
    <w:p w14:paraId="6AF50C9C" w14:textId="77777777" w:rsidR="00AB699C" w:rsidRPr="000E7AE9"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 xml:space="preserve">Förvara </w:t>
      </w:r>
      <w:r>
        <w:rPr>
          <w:color w:val="000000"/>
          <w:sz w:val="22"/>
          <w:szCs w:val="22"/>
          <w:lang w:val="sv-SE"/>
        </w:rPr>
        <w:t xml:space="preserve">detta läkemedel </w:t>
      </w:r>
      <w:r w:rsidRPr="000E7AE9">
        <w:rPr>
          <w:color w:val="000000"/>
          <w:sz w:val="22"/>
          <w:szCs w:val="22"/>
          <w:lang w:val="sv-SE"/>
        </w:rPr>
        <w:t>utom syn- och räckhåll för barn.</w:t>
      </w:r>
    </w:p>
    <w:p w14:paraId="55F1B6F4" w14:textId="77777777" w:rsidR="00AB699C" w:rsidRPr="000E7AE9"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Används före utgångsdatum som anges på kartongen</w:t>
      </w:r>
      <w:r w:rsidR="00676CAE">
        <w:rPr>
          <w:color w:val="000000"/>
          <w:sz w:val="22"/>
          <w:szCs w:val="22"/>
          <w:lang w:val="sv-SE"/>
        </w:rPr>
        <w:t xml:space="preserve"> efter EXP</w:t>
      </w:r>
      <w:r w:rsidRPr="000E7AE9">
        <w:rPr>
          <w:color w:val="000000"/>
          <w:sz w:val="22"/>
          <w:szCs w:val="22"/>
          <w:lang w:val="sv-SE"/>
        </w:rPr>
        <w:t>.</w:t>
      </w:r>
    </w:p>
    <w:p w14:paraId="35049944" w14:textId="77777777" w:rsidR="00AB699C" w:rsidRPr="000E7AE9"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Förvaras vid högst 30 C.</w:t>
      </w:r>
    </w:p>
    <w:p w14:paraId="0C788B64" w14:textId="77777777" w:rsidR="00AB699C" w:rsidRPr="000E7AE9"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Förvaras i originalförpackningen. Fuktkänsligt.</w:t>
      </w:r>
    </w:p>
    <w:p w14:paraId="07882BF6" w14:textId="77777777" w:rsidR="00AB699C"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Användes inte om någon förpackning är skadad eller visar tecken på att ha öppnats eller hanterats på annat otillbörligt sätt.</w:t>
      </w:r>
    </w:p>
    <w:p w14:paraId="0E0B2B6D" w14:textId="77777777" w:rsidR="00BF75F9" w:rsidRPr="00BF75F9" w:rsidRDefault="00BF75F9" w:rsidP="00463647">
      <w:pPr>
        <w:pStyle w:val="TextChar"/>
        <w:widowControl w:val="0"/>
        <w:numPr>
          <w:ilvl w:val="0"/>
          <w:numId w:val="11"/>
        </w:numPr>
        <w:spacing w:before="0"/>
        <w:jc w:val="left"/>
        <w:rPr>
          <w:color w:val="000000"/>
          <w:sz w:val="22"/>
          <w:szCs w:val="22"/>
          <w:lang w:val="sv-SE"/>
        </w:rPr>
      </w:pPr>
      <w:r>
        <w:rPr>
          <w:color w:val="000000"/>
          <w:sz w:val="22"/>
          <w:szCs w:val="22"/>
          <w:lang w:val="sv-SE"/>
        </w:rPr>
        <w:t xml:space="preserve">Läkemedel ska inte kastas i avloppet eller bland hushållsavfall. Fråga apotekspersonalen hur man kastar </w:t>
      </w:r>
      <w:r w:rsidR="006460C9">
        <w:rPr>
          <w:color w:val="000000"/>
          <w:sz w:val="22"/>
          <w:szCs w:val="22"/>
          <w:lang w:val="sv-SE"/>
        </w:rPr>
        <w:t>läkemedel</w:t>
      </w:r>
      <w:r>
        <w:rPr>
          <w:color w:val="000000"/>
          <w:sz w:val="22"/>
          <w:szCs w:val="22"/>
          <w:lang w:val="sv-SE"/>
        </w:rPr>
        <w:t xml:space="preserve"> som inte längre används. Dessa åtgärder är till för att skydda miljön.</w:t>
      </w:r>
    </w:p>
    <w:p w14:paraId="5D8DAAC5" w14:textId="77777777" w:rsidR="00AB699C" w:rsidRPr="00C846F7" w:rsidRDefault="00AB699C" w:rsidP="00463647">
      <w:pPr>
        <w:pStyle w:val="TextChar"/>
        <w:widowControl w:val="0"/>
        <w:spacing w:before="0"/>
        <w:jc w:val="left"/>
        <w:rPr>
          <w:color w:val="000000"/>
          <w:sz w:val="22"/>
          <w:szCs w:val="22"/>
          <w:lang w:val="sv-SE"/>
        </w:rPr>
      </w:pPr>
    </w:p>
    <w:p w14:paraId="1EDD2DEC"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p>
    <w:p w14:paraId="26376EDC" w14:textId="77777777" w:rsidR="00CE607D" w:rsidRPr="000E7AE9" w:rsidRDefault="00CE607D" w:rsidP="009E09A2">
      <w:pPr>
        <w:pStyle w:val="Heading4"/>
        <w:widowControl w:val="0"/>
        <w:spacing w:line="240" w:lineRule="auto"/>
        <w:rPr>
          <w:noProof w:val="0"/>
          <w:color w:val="000000"/>
          <w:szCs w:val="22"/>
          <w:lang w:val="sv-SE"/>
        </w:rPr>
      </w:pPr>
      <w:r w:rsidRPr="000E7AE9">
        <w:rPr>
          <w:noProof w:val="0"/>
          <w:color w:val="000000"/>
          <w:szCs w:val="22"/>
          <w:lang w:val="sv-SE"/>
        </w:rPr>
        <w:lastRenderedPageBreak/>
        <w:t>6.</w:t>
      </w:r>
      <w:r w:rsidRPr="000E7AE9">
        <w:rPr>
          <w:noProof w:val="0"/>
          <w:color w:val="000000"/>
          <w:szCs w:val="22"/>
          <w:lang w:val="sv-SE"/>
        </w:rPr>
        <w:tab/>
      </w:r>
      <w:r w:rsidR="00513248">
        <w:rPr>
          <w:noProof w:val="0"/>
          <w:color w:val="000000"/>
          <w:szCs w:val="22"/>
          <w:lang w:val="sv-SE"/>
        </w:rPr>
        <w:t>Förpackningens innehåll och övriga upplysningar</w:t>
      </w:r>
    </w:p>
    <w:p w14:paraId="37A4A346" w14:textId="77777777" w:rsidR="00CE607D" w:rsidRPr="000E7AE9" w:rsidRDefault="00CE607D" w:rsidP="009E09A2">
      <w:pPr>
        <w:keepNext/>
        <w:widowControl w:val="0"/>
        <w:numPr>
          <w:ilvl w:val="12"/>
          <w:numId w:val="0"/>
        </w:numPr>
        <w:tabs>
          <w:tab w:val="clear" w:pos="567"/>
        </w:tabs>
        <w:spacing w:line="240" w:lineRule="auto"/>
        <w:ind w:right="-2"/>
        <w:rPr>
          <w:color w:val="000000"/>
          <w:szCs w:val="22"/>
          <w:lang w:val="sv-SE"/>
        </w:rPr>
      </w:pPr>
    </w:p>
    <w:p w14:paraId="4218747E" w14:textId="77777777" w:rsidR="00CE607D" w:rsidRPr="000E7AE9" w:rsidRDefault="00CE607D" w:rsidP="009E09A2">
      <w:pPr>
        <w:pStyle w:val="EndnoteText"/>
        <w:keepNext/>
        <w:widowControl w:val="0"/>
        <w:tabs>
          <w:tab w:val="clear" w:pos="567"/>
        </w:tabs>
        <w:rPr>
          <w:b/>
          <w:color w:val="000000"/>
          <w:szCs w:val="22"/>
          <w:lang w:val="sv-SE"/>
        </w:rPr>
      </w:pPr>
      <w:r w:rsidRPr="000E7AE9">
        <w:rPr>
          <w:b/>
          <w:color w:val="000000"/>
          <w:szCs w:val="22"/>
          <w:lang w:val="sv-SE"/>
        </w:rPr>
        <w:t>Innehållsdeklaration</w:t>
      </w:r>
    </w:p>
    <w:p w14:paraId="3F39EB3A" w14:textId="77777777" w:rsidR="00CE607D" w:rsidRPr="000E7AE9" w:rsidRDefault="00CE607D"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Den aktiva substansen är imatinibmesylat.</w:t>
      </w:r>
      <w:r>
        <w:rPr>
          <w:color w:val="000000"/>
          <w:szCs w:val="22"/>
          <w:lang w:val="sv-SE"/>
        </w:rPr>
        <w:t xml:space="preserve"> Varje Glivec kapsel innehåller 100 mg imatinib</w:t>
      </w:r>
      <w:r w:rsidR="00513248">
        <w:rPr>
          <w:color w:val="000000"/>
          <w:szCs w:val="22"/>
          <w:lang w:val="sv-SE"/>
        </w:rPr>
        <w:t xml:space="preserve"> (som </w:t>
      </w:r>
      <w:r>
        <w:rPr>
          <w:color w:val="000000"/>
          <w:szCs w:val="22"/>
          <w:lang w:val="sv-SE"/>
        </w:rPr>
        <w:t>mesylat</w:t>
      </w:r>
      <w:r w:rsidR="00513248">
        <w:rPr>
          <w:color w:val="000000"/>
          <w:szCs w:val="22"/>
          <w:lang w:val="sv-SE"/>
        </w:rPr>
        <w:t>)</w:t>
      </w:r>
      <w:r>
        <w:rPr>
          <w:color w:val="000000"/>
          <w:szCs w:val="22"/>
          <w:lang w:val="sv-SE"/>
        </w:rPr>
        <w:t>.</w:t>
      </w:r>
    </w:p>
    <w:p w14:paraId="2C01E7AA" w14:textId="77777777" w:rsidR="00CE607D" w:rsidRPr="000E7AE9" w:rsidRDefault="00CE607D"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 xml:space="preserve">Övriga innehållsämnen är mikrokristallin cellulosa, krospovidon, magnesiumstearat och vattenfri, kolloidal kiseldioxid. Kapselns skal består av gelatin, röd järnoxid (E172), gul järnoxid (E172) och titandioxid (E171). </w:t>
      </w:r>
      <w:r w:rsidR="00A72E1D" w:rsidRPr="000E7AE9">
        <w:rPr>
          <w:color w:val="000000"/>
          <w:szCs w:val="22"/>
          <w:lang w:val="sv-SE"/>
        </w:rPr>
        <w:t>Trycksvärtan består av röd järnoxid (E172)</w:t>
      </w:r>
      <w:r w:rsidR="00A72E1D">
        <w:rPr>
          <w:color w:val="000000"/>
          <w:szCs w:val="22"/>
          <w:lang w:val="sv-SE"/>
        </w:rPr>
        <w:t xml:space="preserve"> </w:t>
      </w:r>
      <w:r w:rsidR="00A72E1D" w:rsidRPr="000E7AE9">
        <w:rPr>
          <w:color w:val="000000"/>
          <w:szCs w:val="22"/>
          <w:lang w:val="sv-SE"/>
        </w:rPr>
        <w:t>och shellack.</w:t>
      </w:r>
    </w:p>
    <w:p w14:paraId="60212532" w14:textId="77777777" w:rsidR="00CE607D" w:rsidRPr="000E7AE9" w:rsidRDefault="00CE607D" w:rsidP="00463647">
      <w:pPr>
        <w:widowControl w:val="0"/>
        <w:tabs>
          <w:tab w:val="clear" w:pos="567"/>
        </w:tabs>
        <w:spacing w:line="240" w:lineRule="auto"/>
        <w:ind w:right="-2"/>
        <w:rPr>
          <w:color w:val="000000"/>
          <w:szCs w:val="22"/>
          <w:lang w:val="sv-SE"/>
        </w:rPr>
      </w:pPr>
    </w:p>
    <w:p w14:paraId="729CD118" w14:textId="77777777" w:rsidR="00CE607D" w:rsidRPr="000E7AE9" w:rsidRDefault="00CE607D" w:rsidP="009E09A2">
      <w:pPr>
        <w:keepNext/>
        <w:widowControl w:val="0"/>
        <w:tabs>
          <w:tab w:val="clear" w:pos="567"/>
        </w:tabs>
        <w:spacing w:line="240" w:lineRule="auto"/>
        <w:ind w:right="-2"/>
        <w:rPr>
          <w:color w:val="000000"/>
          <w:szCs w:val="22"/>
          <w:lang w:val="sv-SE"/>
        </w:rPr>
      </w:pPr>
      <w:r w:rsidRPr="000E7AE9">
        <w:rPr>
          <w:b/>
          <w:noProof/>
          <w:color w:val="000000"/>
          <w:szCs w:val="22"/>
          <w:lang w:val="sv-SE"/>
        </w:rPr>
        <w:t>Läkemedlets utseende och förpackningsstorlekar</w:t>
      </w:r>
    </w:p>
    <w:p w14:paraId="050E6F12" w14:textId="77777777" w:rsidR="00CE607D" w:rsidRPr="000E7AE9" w:rsidRDefault="00CE607D" w:rsidP="00463647">
      <w:pPr>
        <w:pStyle w:val="EndnoteText"/>
        <w:widowControl w:val="0"/>
        <w:numPr>
          <w:ilvl w:val="12"/>
          <w:numId w:val="0"/>
        </w:numPr>
        <w:tabs>
          <w:tab w:val="clear" w:pos="567"/>
        </w:tabs>
        <w:rPr>
          <w:color w:val="000000"/>
          <w:szCs w:val="22"/>
          <w:lang w:val="sv-SE"/>
        </w:rPr>
      </w:pPr>
      <w:r w:rsidRPr="000E7AE9">
        <w:rPr>
          <w:color w:val="000000"/>
          <w:szCs w:val="22"/>
          <w:lang w:val="sv-SE"/>
        </w:rPr>
        <w:t>Glivec 100</w:t>
      </w:r>
      <w:r w:rsidRPr="000E7AE9">
        <w:rPr>
          <w:iCs/>
          <w:color w:val="000000"/>
          <w:szCs w:val="22"/>
          <w:lang w:val="sv-SE"/>
        </w:rPr>
        <w:t> </w:t>
      </w:r>
      <w:r w:rsidRPr="000E7AE9">
        <w:rPr>
          <w:color w:val="000000"/>
          <w:szCs w:val="22"/>
          <w:lang w:val="sv-SE"/>
        </w:rPr>
        <w:t>mg kapslar är orange till grå-orange och märkta ”NVR SI”. De innehåller ett vitt till gult pulver.</w:t>
      </w:r>
    </w:p>
    <w:p w14:paraId="15C7C801" w14:textId="77777777" w:rsidR="00CE607D" w:rsidRPr="000E7AE9" w:rsidRDefault="00CE607D" w:rsidP="00463647">
      <w:pPr>
        <w:pStyle w:val="EndnoteText"/>
        <w:widowControl w:val="0"/>
        <w:numPr>
          <w:ilvl w:val="12"/>
          <w:numId w:val="0"/>
        </w:numPr>
        <w:tabs>
          <w:tab w:val="clear" w:pos="567"/>
        </w:tabs>
        <w:rPr>
          <w:color w:val="000000"/>
          <w:szCs w:val="22"/>
          <w:lang w:val="sv-SE"/>
        </w:rPr>
      </w:pPr>
    </w:p>
    <w:p w14:paraId="2C508643" w14:textId="77777777" w:rsidR="00CE607D" w:rsidRPr="000E7AE9" w:rsidRDefault="00CE607D" w:rsidP="00463647">
      <w:pPr>
        <w:pStyle w:val="EndnoteText"/>
        <w:widowControl w:val="0"/>
        <w:numPr>
          <w:ilvl w:val="12"/>
          <w:numId w:val="0"/>
        </w:numPr>
        <w:tabs>
          <w:tab w:val="clear" w:pos="567"/>
        </w:tabs>
        <w:rPr>
          <w:color w:val="000000"/>
          <w:szCs w:val="22"/>
          <w:lang w:val="sv-SE"/>
        </w:rPr>
      </w:pPr>
      <w:r w:rsidRPr="000E7AE9">
        <w:rPr>
          <w:color w:val="000000"/>
          <w:szCs w:val="22"/>
          <w:lang w:val="sv-SE"/>
        </w:rPr>
        <w:t>De tillhandahålls i förpackningsstorlekarna 24, 48, 96, 120 eller 180</w:t>
      </w:r>
      <w:r w:rsidRPr="000E7AE9">
        <w:rPr>
          <w:iCs/>
          <w:color w:val="000000"/>
          <w:szCs w:val="22"/>
          <w:lang w:val="sv-SE"/>
        </w:rPr>
        <w:t> </w:t>
      </w:r>
      <w:r w:rsidRPr="000E7AE9">
        <w:rPr>
          <w:color w:val="000000"/>
          <w:szCs w:val="22"/>
          <w:lang w:val="sv-SE"/>
        </w:rPr>
        <w:t>kapslar men kanske inte alla dessa är tillgängliga i ditt land.</w:t>
      </w:r>
    </w:p>
    <w:p w14:paraId="283B7F26" w14:textId="77777777" w:rsidR="00CE607D" w:rsidRPr="000E7AE9" w:rsidRDefault="00CE607D" w:rsidP="00463647">
      <w:pPr>
        <w:pStyle w:val="EndnoteText"/>
        <w:widowControl w:val="0"/>
        <w:numPr>
          <w:ilvl w:val="12"/>
          <w:numId w:val="0"/>
        </w:numPr>
        <w:tabs>
          <w:tab w:val="clear" w:pos="567"/>
        </w:tabs>
        <w:rPr>
          <w:color w:val="000000"/>
          <w:szCs w:val="22"/>
          <w:lang w:val="sv-SE"/>
        </w:rPr>
      </w:pPr>
    </w:p>
    <w:p w14:paraId="0D89A13C" w14:textId="77777777" w:rsidR="00CE607D" w:rsidRPr="000E7AE9" w:rsidRDefault="00CE607D" w:rsidP="009E09A2">
      <w:pPr>
        <w:pStyle w:val="Heading2"/>
        <w:widowControl w:val="0"/>
        <w:spacing w:before="0" w:after="0" w:line="240" w:lineRule="auto"/>
        <w:rPr>
          <w:rFonts w:ascii="Times New Roman" w:hAnsi="Times New Roman"/>
          <w:i w:val="0"/>
          <w:color w:val="000000"/>
          <w:sz w:val="22"/>
          <w:szCs w:val="22"/>
          <w:lang w:val="sv-SE"/>
        </w:rPr>
      </w:pPr>
      <w:r w:rsidRPr="000E7AE9">
        <w:rPr>
          <w:rFonts w:ascii="Times New Roman" w:hAnsi="Times New Roman"/>
          <w:i w:val="0"/>
          <w:color w:val="000000"/>
          <w:sz w:val="22"/>
          <w:szCs w:val="22"/>
          <w:lang w:val="sv-SE"/>
        </w:rPr>
        <w:t>Innehavare av godkännande för försäljning</w:t>
      </w:r>
    </w:p>
    <w:p w14:paraId="73FB38C2" w14:textId="77777777" w:rsidR="00CE607D" w:rsidRPr="000E7AE9" w:rsidRDefault="00CE607D" w:rsidP="009E09A2">
      <w:pPr>
        <w:pStyle w:val="EndnoteText"/>
        <w:keepNext/>
        <w:widowControl w:val="0"/>
        <w:tabs>
          <w:tab w:val="clear" w:pos="567"/>
        </w:tabs>
        <w:rPr>
          <w:color w:val="000000"/>
          <w:szCs w:val="22"/>
          <w:lang w:val="sv-SE"/>
        </w:rPr>
      </w:pPr>
      <w:r w:rsidRPr="000E7AE9">
        <w:rPr>
          <w:color w:val="000000"/>
          <w:szCs w:val="22"/>
          <w:lang w:val="sv-SE"/>
        </w:rPr>
        <w:t>Novartis Europharm Limited</w:t>
      </w:r>
    </w:p>
    <w:p w14:paraId="07BD7300" w14:textId="77777777" w:rsidR="00A57EF9" w:rsidRPr="00644A2E" w:rsidRDefault="00A57EF9" w:rsidP="009E09A2">
      <w:pPr>
        <w:keepNext/>
        <w:widowControl w:val="0"/>
        <w:spacing w:line="240" w:lineRule="auto"/>
        <w:rPr>
          <w:color w:val="000000"/>
          <w:lang w:val="en-US"/>
        </w:rPr>
      </w:pPr>
      <w:r w:rsidRPr="00644A2E">
        <w:rPr>
          <w:color w:val="000000"/>
          <w:lang w:val="en-US"/>
        </w:rPr>
        <w:t>Vista Building</w:t>
      </w:r>
    </w:p>
    <w:p w14:paraId="09F178AE" w14:textId="77777777" w:rsidR="00A57EF9" w:rsidRPr="00EB33FE" w:rsidRDefault="00A57EF9" w:rsidP="009E09A2">
      <w:pPr>
        <w:keepNext/>
        <w:widowControl w:val="0"/>
        <w:spacing w:line="240" w:lineRule="auto"/>
        <w:rPr>
          <w:color w:val="000000"/>
        </w:rPr>
      </w:pPr>
      <w:r w:rsidRPr="00EB33FE">
        <w:rPr>
          <w:color w:val="000000"/>
        </w:rPr>
        <w:t>Elm Park, Merrion Road</w:t>
      </w:r>
    </w:p>
    <w:p w14:paraId="0FAF6F19" w14:textId="77777777" w:rsidR="00A57EF9" w:rsidRPr="00B10EAC" w:rsidRDefault="00A57EF9" w:rsidP="009E09A2">
      <w:pPr>
        <w:keepNext/>
        <w:widowControl w:val="0"/>
        <w:spacing w:line="240" w:lineRule="auto"/>
        <w:rPr>
          <w:color w:val="000000"/>
          <w:lang w:val="sv-SE"/>
        </w:rPr>
      </w:pPr>
      <w:r w:rsidRPr="00B10EAC">
        <w:rPr>
          <w:color w:val="000000"/>
          <w:lang w:val="sv-SE"/>
        </w:rPr>
        <w:t>Dublin 4</w:t>
      </w:r>
    </w:p>
    <w:p w14:paraId="5845DB49" w14:textId="77777777" w:rsidR="00A57EF9" w:rsidRPr="00B10EAC" w:rsidRDefault="00A57EF9" w:rsidP="00463647">
      <w:pPr>
        <w:widowControl w:val="0"/>
        <w:spacing w:line="240" w:lineRule="auto"/>
        <w:rPr>
          <w:color w:val="000000"/>
          <w:lang w:val="sv-SE"/>
        </w:rPr>
      </w:pPr>
      <w:r w:rsidRPr="00B10EAC">
        <w:rPr>
          <w:color w:val="000000"/>
          <w:lang w:val="sv-SE"/>
        </w:rPr>
        <w:t>Irland</w:t>
      </w:r>
    </w:p>
    <w:p w14:paraId="0AFA6B1F" w14:textId="77777777" w:rsidR="00CE607D" w:rsidRPr="00A57EF9" w:rsidRDefault="00CE607D" w:rsidP="00463647">
      <w:pPr>
        <w:pStyle w:val="TextChar"/>
        <w:widowControl w:val="0"/>
        <w:spacing w:before="0"/>
        <w:jc w:val="left"/>
        <w:rPr>
          <w:color w:val="000000"/>
          <w:sz w:val="22"/>
          <w:szCs w:val="22"/>
          <w:lang w:val="sv-SE"/>
        </w:rPr>
      </w:pPr>
    </w:p>
    <w:p w14:paraId="43EC3172" w14:textId="77777777" w:rsidR="00CE607D" w:rsidRPr="000E7AE9" w:rsidRDefault="00CE607D" w:rsidP="009E09A2">
      <w:pPr>
        <w:pStyle w:val="Heading2"/>
        <w:widowControl w:val="0"/>
        <w:spacing w:before="0" w:after="0" w:line="240" w:lineRule="auto"/>
        <w:rPr>
          <w:rFonts w:ascii="Times New Roman" w:hAnsi="Times New Roman"/>
          <w:i w:val="0"/>
          <w:color w:val="000000"/>
          <w:sz w:val="22"/>
          <w:szCs w:val="22"/>
          <w:lang w:val="sv-SE"/>
        </w:rPr>
      </w:pPr>
      <w:r w:rsidRPr="000E7AE9">
        <w:rPr>
          <w:rFonts w:ascii="Times New Roman" w:hAnsi="Times New Roman"/>
          <w:i w:val="0"/>
          <w:color w:val="000000"/>
          <w:sz w:val="22"/>
          <w:szCs w:val="22"/>
          <w:lang w:val="sv-SE"/>
        </w:rPr>
        <w:t>Tillverkare</w:t>
      </w:r>
    </w:p>
    <w:p w14:paraId="5731AA32" w14:textId="77777777" w:rsidR="00CE607D" w:rsidRPr="000E7AE9" w:rsidRDefault="00CE607D" w:rsidP="009E09A2">
      <w:pPr>
        <w:pStyle w:val="TextChar"/>
        <w:keepNext/>
        <w:widowControl w:val="0"/>
        <w:spacing w:before="0"/>
        <w:jc w:val="left"/>
        <w:rPr>
          <w:color w:val="000000"/>
          <w:sz w:val="22"/>
          <w:szCs w:val="22"/>
          <w:lang w:val="sv-SE"/>
        </w:rPr>
      </w:pPr>
      <w:r w:rsidRPr="000E7AE9">
        <w:rPr>
          <w:color w:val="000000"/>
          <w:sz w:val="22"/>
          <w:szCs w:val="22"/>
          <w:lang w:val="sv-SE"/>
        </w:rPr>
        <w:t>Novartis Pharma GmbH</w:t>
      </w:r>
    </w:p>
    <w:p w14:paraId="275B1A74" w14:textId="77777777" w:rsidR="00CE607D" w:rsidRPr="000E7AE9" w:rsidRDefault="00CE607D" w:rsidP="009E09A2">
      <w:pPr>
        <w:pStyle w:val="TextChar"/>
        <w:keepNext/>
        <w:widowControl w:val="0"/>
        <w:spacing w:before="0"/>
        <w:jc w:val="left"/>
        <w:rPr>
          <w:color w:val="000000"/>
          <w:sz w:val="22"/>
          <w:szCs w:val="22"/>
          <w:lang w:val="sv-SE"/>
        </w:rPr>
      </w:pPr>
      <w:r w:rsidRPr="000E7AE9">
        <w:rPr>
          <w:color w:val="000000"/>
          <w:sz w:val="22"/>
          <w:szCs w:val="22"/>
          <w:lang w:val="sv-SE"/>
        </w:rPr>
        <w:t>Roonstra</w:t>
      </w:r>
      <w:r>
        <w:rPr>
          <w:color w:val="000000"/>
          <w:sz w:val="22"/>
          <w:szCs w:val="22"/>
          <w:lang w:val="sv-SE"/>
        </w:rPr>
        <w:t>ss</w:t>
      </w:r>
      <w:r w:rsidRPr="000E7AE9">
        <w:rPr>
          <w:color w:val="000000"/>
          <w:sz w:val="22"/>
          <w:szCs w:val="22"/>
          <w:lang w:val="sv-SE"/>
        </w:rPr>
        <w:t>e 25</w:t>
      </w:r>
    </w:p>
    <w:p w14:paraId="6D12A942" w14:textId="77777777" w:rsidR="00CE607D" w:rsidRPr="000E7AE9" w:rsidRDefault="00CE607D" w:rsidP="009E09A2">
      <w:pPr>
        <w:pStyle w:val="TextChar"/>
        <w:keepNext/>
        <w:widowControl w:val="0"/>
        <w:spacing w:before="0"/>
        <w:jc w:val="left"/>
        <w:rPr>
          <w:color w:val="000000"/>
          <w:sz w:val="22"/>
          <w:szCs w:val="22"/>
          <w:lang w:val="sv-SE"/>
        </w:rPr>
      </w:pPr>
      <w:r w:rsidRPr="000E7AE9">
        <w:rPr>
          <w:color w:val="000000"/>
          <w:sz w:val="22"/>
          <w:szCs w:val="22"/>
          <w:lang w:val="sv-SE"/>
        </w:rPr>
        <w:t>D-90429 Nürnberg</w:t>
      </w:r>
    </w:p>
    <w:p w14:paraId="7FF43000" w14:textId="77777777" w:rsidR="00CE607D" w:rsidRPr="000E7AE9" w:rsidRDefault="00CE607D" w:rsidP="00463647">
      <w:pPr>
        <w:pStyle w:val="TextChar"/>
        <w:widowControl w:val="0"/>
        <w:spacing w:before="0"/>
        <w:jc w:val="left"/>
        <w:rPr>
          <w:color w:val="000000"/>
          <w:sz w:val="22"/>
          <w:szCs w:val="22"/>
          <w:lang w:val="sv-SE"/>
        </w:rPr>
      </w:pPr>
      <w:r w:rsidRPr="000E7AE9">
        <w:rPr>
          <w:color w:val="000000"/>
          <w:sz w:val="22"/>
          <w:szCs w:val="22"/>
          <w:lang w:val="sv-SE"/>
        </w:rPr>
        <w:t>Tyskland</w:t>
      </w:r>
    </w:p>
    <w:p w14:paraId="55E266E9" w14:textId="6961CAB1" w:rsidR="00CE607D" w:rsidRDefault="00CE607D" w:rsidP="00463647">
      <w:pPr>
        <w:pStyle w:val="TextChar"/>
        <w:widowControl w:val="0"/>
        <w:spacing w:before="0"/>
        <w:jc w:val="left"/>
        <w:rPr>
          <w:color w:val="000000"/>
          <w:sz w:val="22"/>
          <w:szCs w:val="22"/>
          <w:lang w:val="sv-SE"/>
        </w:rPr>
      </w:pPr>
    </w:p>
    <w:p w14:paraId="01A944DF" w14:textId="77777777" w:rsidR="00893419" w:rsidRPr="00893419" w:rsidRDefault="00893419" w:rsidP="00893419">
      <w:pPr>
        <w:keepNext/>
        <w:widowControl w:val="0"/>
        <w:numPr>
          <w:ilvl w:val="12"/>
          <w:numId w:val="0"/>
        </w:numPr>
        <w:spacing w:line="240" w:lineRule="auto"/>
        <w:rPr>
          <w:szCs w:val="22"/>
          <w:shd w:val="pct15" w:color="auto" w:fill="auto"/>
          <w:lang w:val="sv-SE"/>
        </w:rPr>
      </w:pPr>
      <w:r w:rsidRPr="00893419">
        <w:rPr>
          <w:szCs w:val="22"/>
          <w:shd w:val="pct15" w:color="auto" w:fill="auto"/>
          <w:lang w:val="sv-SE"/>
        </w:rPr>
        <w:t>Sandoz S.R.L.</w:t>
      </w:r>
    </w:p>
    <w:p w14:paraId="55C3C2D4" w14:textId="77777777" w:rsidR="00893419" w:rsidRPr="00644A2E" w:rsidRDefault="00893419" w:rsidP="00893419">
      <w:pPr>
        <w:keepNext/>
        <w:widowControl w:val="0"/>
        <w:numPr>
          <w:ilvl w:val="12"/>
          <w:numId w:val="0"/>
        </w:numPr>
        <w:spacing w:line="240" w:lineRule="auto"/>
        <w:rPr>
          <w:szCs w:val="22"/>
          <w:shd w:val="pct15" w:color="auto" w:fill="auto"/>
          <w:lang w:val="en-US"/>
        </w:rPr>
      </w:pPr>
      <w:r w:rsidRPr="00644A2E">
        <w:rPr>
          <w:szCs w:val="22"/>
          <w:shd w:val="pct15" w:color="auto" w:fill="auto"/>
          <w:lang w:val="en-US"/>
        </w:rPr>
        <w:t>Str. Livezeni nr. 7A</w:t>
      </w:r>
    </w:p>
    <w:p w14:paraId="5216121D" w14:textId="77777777" w:rsidR="00893419" w:rsidRPr="00644A2E" w:rsidRDefault="00893419" w:rsidP="00893419">
      <w:pPr>
        <w:keepNext/>
        <w:widowControl w:val="0"/>
        <w:numPr>
          <w:ilvl w:val="12"/>
          <w:numId w:val="0"/>
        </w:numPr>
        <w:spacing w:line="240" w:lineRule="auto"/>
        <w:rPr>
          <w:szCs w:val="22"/>
          <w:shd w:val="pct15" w:color="auto" w:fill="auto"/>
          <w:lang w:val="en-US"/>
        </w:rPr>
      </w:pPr>
      <w:r w:rsidRPr="00644A2E">
        <w:rPr>
          <w:szCs w:val="22"/>
          <w:shd w:val="pct15" w:color="auto" w:fill="auto"/>
          <w:lang w:val="en-US"/>
        </w:rPr>
        <w:t>540472, Targu Mures</w:t>
      </w:r>
    </w:p>
    <w:p w14:paraId="67A9CC2E" w14:textId="62387814" w:rsidR="00893419" w:rsidRPr="00893419" w:rsidRDefault="00893419" w:rsidP="00893419">
      <w:pPr>
        <w:pStyle w:val="TextChar"/>
        <w:widowControl w:val="0"/>
        <w:spacing w:before="0"/>
        <w:jc w:val="left"/>
        <w:rPr>
          <w:szCs w:val="22"/>
          <w:shd w:val="pct15" w:color="auto" w:fill="auto"/>
          <w:lang w:val="sv-SE"/>
        </w:rPr>
      </w:pPr>
      <w:r w:rsidRPr="00893419">
        <w:rPr>
          <w:szCs w:val="22"/>
          <w:shd w:val="pct15" w:color="auto" w:fill="auto"/>
          <w:lang w:val="sv-SE"/>
        </w:rPr>
        <w:t>Rumänien</w:t>
      </w:r>
    </w:p>
    <w:p w14:paraId="2B637839" w14:textId="77777777" w:rsidR="00893419" w:rsidRPr="000E7AE9" w:rsidRDefault="00893419" w:rsidP="00893419">
      <w:pPr>
        <w:pStyle w:val="TextChar"/>
        <w:widowControl w:val="0"/>
        <w:spacing w:before="0"/>
        <w:jc w:val="left"/>
        <w:rPr>
          <w:color w:val="000000"/>
          <w:sz w:val="22"/>
          <w:szCs w:val="22"/>
          <w:lang w:val="sv-SE"/>
        </w:rPr>
      </w:pPr>
    </w:p>
    <w:p w14:paraId="6992DCAC" w14:textId="77777777" w:rsidR="00CE607D" w:rsidRPr="000E7AE9" w:rsidRDefault="00513248" w:rsidP="00893419">
      <w:pPr>
        <w:keepNext/>
        <w:keepLines/>
        <w:widowControl w:val="0"/>
        <w:suppressAutoHyphens/>
        <w:spacing w:line="240" w:lineRule="auto"/>
        <w:rPr>
          <w:color w:val="000000"/>
          <w:szCs w:val="22"/>
          <w:lang w:val="sv-SE"/>
        </w:rPr>
      </w:pPr>
      <w:r>
        <w:rPr>
          <w:color w:val="000000"/>
          <w:szCs w:val="22"/>
          <w:lang w:val="sv-SE"/>
        </w:rPr>
        <w:t>Kontakta ombudet för innehavaren av godkännandet för försäljning om du vill veta mer om detta läkemedel</w:t>
      </w:r>
      <w:r w:rsidR="008D6F86">
        <w:rPr>
          <w:color w:val="000000"/>
          <w:szCs w:val="22"/>
          <w:lang w:val="sv-SE"/>
        </w:rPr>
        <w:t>:</w:t>
      </w:r>
    </w:p>
    <w:p w14:paraId="42289F21" w14:textId="77777777" w:rsidR="004E5FBC" w:rsidRPr="007C7ADA" w:rsidRDefault="004E5FBC" w:rsidP="009E09A2">
      <w:pPr>
        <w:keepNext/>
        <w:widowControl w:val="0"/>
        <w:tabs>
          <w:tab w:val="clear" w:pos="567"/>
        </w:tabs>
        <w:spacing w:line="240" w:lineRule="auto"/>
        <w:ind w:right="-449"/>
        <w:rPr>
          <w:color w:val="000000"/>
          <w:szCs w:val="22"/>
          <w:lang w:val="sv-SE"/>
        </w:rPr>
      </w:pPr>
    </w:p>
    <w:tbl>
      <w:tblPr>
        <w:tblW w:w="9300" w:type="dxa"/>
        <w:tblLayout w:type="fixed"/>
        <w:tblLook w:val="0000" w:firstRow="0" w:lastRow="0" w:firstColumn="0" w:lastColumn="0" w:noHBand="0" w:noVBand="0"/>
      </w:tblPr>
      <w:tblGrid>
        <w:gridCol w:w="4650"/>
        <w:gridCol w:w="4650"/>
      </w:tblGrid>
      <w:tr w:rsidR="004E5FBC" w:rsidRPr="007C7ADA" w14:paraId="7BDAECBB" w14:textId="77777777" w:rsidTr="00A57EF9">
        <w:trPr>
          <w:cantSplit/>
        </w:trPr>
        <w:tc>
          <w:tcPr>
            <w:tcW w:w="4650" w:type="dxa"/>
          </w:tcPr>
          <w:p w14:paraId="2B6D9D5D" w14:textId="77777777" w:rsidR="004E5FBC" w:rsidRPr="0087411B" w:rsidRDefault="004E5FBC" w:rsidP="00463647">
            <w:pPr>
              <w:widowControl w:val="0"/>
              <w:spacing w:line="240" w:lineRule="auto"/>
              <w:rPr>
                <w:b/>
                <w:color w:val="000000"/>
                <w:szCs w:val="22"/>
                <w:lang w:val="fr-FR"/>
              </w:rPr>
            </w:pPr>
            <w:r w:rsidRPr="0087411B">
              <w:rPr>
                <w:b/>
                <w:color w:val="000000"/>
                <w:szCs w:val="22"/>
                <w:lang w:val="fr-FR"/>
              </w:rPr>
              <w:t>België/Belgique/Belgien</w:t>
            </w:r>
          </w:p>
          <w:p w14:paraId="273AD39A"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Novartis Pharma N.V.</w:t>
            </w:r>
          </w:p>
          <w:p w14:paraId="16D4741E" w14:textId="77777777" w:rsidR="004E5FBC" w:rsidRPr="0087411B" w:rsidRDefault="004E5FBC" w:rsidP="00463647">
            <w:pPr>
              <w:widowControl w:val="0"/>
              <w:spacing w:line="240" w:lineRule="auto"/>
              <w:rPr>
                <w:color w:val="000000"/>
                <w:szCs w:val="22"/>
              </w:rPr>
            </w:pPr>
            <w:r w:rsidRPr="0087411B">
              <w:rPr>
                <w:color w:val="000000"/>
                <w:szCs w:val="22"/>
              </w:rPr>
              <w:t>Tél/Tel: +32 2 246 16 11</w:t>
            </w:r>
          </w:p>
          <w:p w14:paraId="6F776D13" w14:textId="77777777" w:rsidR="004E5FBC" w:rsidRPr="0087411B" w:rsidRDefault="004E5FBC" w:rsidP="00463647">
            <w:pPr>
              <w:widowControl w:val="0"/>
              <w:spacing w:line="240" w:lineRule="auto"/>
              <w:rPr>
                <w:b/>
                <w:color w:val="000000"/>
                <w:szCs w:val="22"/>
              </w:rPr>
            </w:pPr>
          </w:p>
        </w:tc>
        <w:tc>
          <w:tcPr>
            <w:tcW w:w="4650" w:type="dxa"/>
          </w:tcPr>
          <w:p w14:paraId="53A06B5C" w14:textId="77777777" w:rsidR="004E5FBC" w:rsidRPr="006861E6" w:rsidRDefault="004E5FBC" w:rsidP="00463647">
            <w:pPr>
              <w:widowControl w:val="0"/>
              <w:spacing w:line="240" w:lineRule="auto"/>
              <w:rPr>
                <w:b/>
                <w:color w:val="000000"/>
                <w:szCs w:val="22"/>
                <w:lang w:val="es-ES"/>
              </w:rPr>
            </w:pPr>
            <w:r w:rsidRPr="006861E6">
              <w:rPr>
                <w:b/>
                <w:color w:val="000000"/>
                <w:szCs w:val="22"/>
                <w:lang w:val="es-ES"/>
              </w:rPr>
              <w:t>Lietuva</w:t>
            </w:r>
          </w:p>
          <w:p w14:paraId="4C439332" w14:textId="60FA5467" w:rsidR="004E5FBC" w:rsidRPr="006861E6" w:rsidRDefault="00965E7B" w:rsidP="00463647">
            <w:pPr>
              <w:widowControl w:val="0"/>
              <w:spacing w:line="240" w:lineRule="auto"/>
              <w:rPr>
                <w:color w:val="000000"/>
                <w:szCs w:val="22"/>
                <w:lang w:val="es-ES"/>
              </w:rPr>
            </w:pPr>
            <w:r w:rsidRPr="006861E6">
              <w:rPr>
                <w:color w:val="000000"/>
                <w:szCs w:val="22"/>
                <w:lang w:val="es-ES"/>
              </w:rPr>
              <w:t>SIA</w:t>
            </w:r>
            <w:r w:rsidR="00F3274E">
              <w:rPr>
                <w:color w:val="000000"/>
                <w:szCs w:val="22"/>
                <w:lang w:val="es-ES"/>
              </w:rPr>
              <w:t xml:space="preserve"> </w:t>
            </w:r>
            <w:r w:rsidRPr="00965E7B">
              <w:rPr>
                <w:color w:val="000000"/>
                <w:szCs w:val="22"/>
                <w:lang w:val="es-ES"/>
              </w:rPr>
              <w:t>Novartis Baltics Lietuvos filialas</w:t>
            </w:r>
          </w:p>
          <w:p w14:paraId="5772B8C8" w14:textId="77777777" w:rsidR="004E5FBC" w:rsidRPr="007C7ADA" w:rsidRDefault="004E5FBC" w:rsidP="00463647">
            <w:pPr>
              <w:widowControl w:val="0"/>
              <w:spacing w:line="240" w:lineRule="auto"/>
              <w:rPr>
                <w:color w:val="000000"/>
                <w:szCs w:val="22"/>
                <w:lang w:val="fr-FR"/>
              </w:rPr>
            </w:pPr>
            <w:r w:rsidRPr="007C7ADA">
              <w:rPr>
                <w:color w:val="000000"/>
                <w:szCs w:val="22"/>
                <w:lang w:val="fr-FR"/>
              </w:rPr>
              <w:t>Tel: +370 5 269 16 50</w:t>
            </w:r>
          </w:p>
          <w:p w14:paraId="6727C5C4" w14:textId="77777777" w:rsidR="004E5FBC" w:rsidRPr="007C7ADA" w:rsidRDefault="004E5FBC" w:rsidP="00463647">
            <w:pPr>
              <w:widowControl w:val="0"/>
              <w:spacing w:line="240" w:lineRule="auto"/>
              <w:rPr>
                <w:color w:val="000000"/>
                <w:szCs w:val="22"/>
                <w:lang w:val="fr-FR"/>
              </w:rPr>
            </w:pPr>
          </w:p>
        </w:tc>
      </w:tr>
      <w:tr w:rsidR="004E5FBC" w:rsidRPr="0087411B" w14:paraId="55679792" w14:textId="77777777" w:rsidTr="00A57EF9">
        <w:trPr>
          <w:cantSplit/>
        </w:trPr>
        <w:tc>
          <w:tcPr>
            <w:tcW w:w="4650" w:type="dxa"/>
          </w:tcPr>
          <w:p w14:paraId="18B8BDCB" w14:textId="77777777" w:rsidR="004E5FBC" w:rsidRPr="006861E6" w:rsidRDefault="004E5FBC" w:rsidP="00463647">
            <w:pPr>
              <w:widowControl w:val="0"/>
              <w:spacing w:line="240" w:lineRule="auto"/>
              <w:rPr>
                <w:b/>
                <w:noProof/>
                <w:color w:val="000000"/>
                <w:szCs w:val="22"/>
                <w:lang w:val="es-ES"/>
              </w:rPr>
            </w:pPr>
            <w:r w:rsidRPr="0087411B">
              <w:rPr>
                <w:b/>
                <w:noProof/>
                <w:color w:val="000000"/>
                <w:szCs w:val="22"/>
              </w:rPr>
              <w:t>България</w:t>
            </w:r>
          </w:p>
          <w:p w14:paraId="0255D1F7" w14:textId="77777777" w:rsidR="004E5FBC" w:rsidRPr="006861E6" w:rsidRDefault="00676CAE" w:rsidP="00463647">
            <w:pPr>
              <w:widowControl w:val="0"/>
              <w:spacing w:line="240" w:lineRule="auto"/>
              <w:rPr>
                <w:noProof/>
                <w:color w:val="000000"/>
                <w:szCs w:val="22"/>
                <w:lang w:val="es-ES"/>
              </w:rPr>
            </w:pPr>
            <w:r w:rsidRPr="006861E6">
              <w:rPr>
                <w:noProof/>
                <w:color w:val="000000"/>
                <w:szCs w:val="22"/>
                <w:lang w:val="es-ES"/>
              </w:rPr>
              <w:t>Novartis Bulgaria EOOD</w:t>
            </w:r>
          </w:p>
          <w:p w14:paraId="3164B391" w14:textId="77777777" w:rsidR="004E5FBC" w:rsidRPr="006861E6" w:rsidRDefault="004E5FBC" w:rsidP="00463647">
            <w:pPr>
              <w:widowControl w:val="0"/>
              <w:spacing w:line="240" w:lineRule="auto"/>
              <w:rPr>
                <w:noProof/>
                <w:color w:val="000000"/>
                <w:szCs w:val="22"/>
                <w:lang w:val="es-ES"/>
              </w:rPr>
            </w:pPr>
            <w:r w:rsidRPr="0087411B">
              <w:rPr>
                <w:noProof/>
                <w:color w:val="000000"/>
                <w:szCs w:val="22"/>
              </w:rPr>
              <w:t>Тел</w:t>
            </w:r>
            <w:r w:rsidRPr="006861E6">
              <w:rPr>
                <w:noProof/>
                <w:color w:val="000000"/>
                <w:szCs w:val="22"/>
                <w:lang w:val="es-ES"/>
              </w:rPr>
              <w:t>.: +359 2 489 98 28</w:t>
            </w:r>
          </w:p>
          <w:p w14:paraId="7F499C6A" w14:textId="77777777" w:rsidR="004E5FBC" w:rsidRPr="0087411B" w:rsidRDefault="004E5FBC" w:rsidP="00463647">
            <w:pPr>
              <w:widowControl w:val="0"/>
              <w:spacing w:line="240" w:lineRule="auto"/>
              <w:rPr>
                <w:b/>
                <w:color w:val="000000"/>
                <w:szCs w:val="22"/>
                <w:lang w:val="pt-BR"/>
              </w:rPr>
            </w:pPr>
          </w:p>
        </w:tc>
        <w:tc>
          <w:tcPr>
            <w:tcW w:w="4650" w:type="dxa"/>
          </w:tcPr>
          <w:p w14:paraId="46027E13" w14:textId="77777777" w:rsidR="004E5FBC" w:rsidRPr="0087411B" w:rsidRDefault="004E5FBC" w:rsidP="00463647">
            <w:pPr>
              <w:widowControl w:val="0"/>
              <w:spacing w:line="240" w:lineRule="auto"/>
              <w:rPr>
                <w:b/>
                <w:color w:val="000000"/>
                <w:szCs w:val="22"/>
                <w:lang w:val="de-CH"/>
              </w:rPr>
            </w:pPr>
            <w:r w:rsidRPr="0087411B">
              <w:rPr>
                <w:b/>
                <w:color w:val="000000"/>
                <w:szCs w:val="22"/>
                <w:lang w:val="de-CH"/>
              </w:rPr>
              <w:t>Luxembourg/Luxemburg</w:t>
            </w:r>
          </w:p>
          <w:p w14:paraId="68AB8A92"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Novartis Pharma N.V.</w:t>
            </w:r>
          </w:p>
          <w:p w14:paraId="17F003EB"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Tél/Tel: +32 2 246 16 11</w:t>
            </w:r>
          </w:p>
          <w:p w14:paraId="6DD31207" w14:textId="77777777" w:rsidR="004E5FBC" w:rsidRPr="0087411B" w:rsidRDefault="004E5FBC" w:rsidP="00463647">
            <w:pPr>
              <w:widowControl w:val="0"/>
              <w:spacing w:line="240" w:lineRule="auto"/>
              <w:rPr>
                <w:color w:val="000000"/>
                <w:szCs w:val="22"/>
                <w:lang w:val="de-CH"/>
              </w:rPr>
            </w:pPr>
          </w:p>
        </w:tc>
      </w:tr>
      <w:tr w:rsidR="004E5FBC" w:rsidRPr="0087411B" w14:paraId="06550E3C" w14:textId="77777777" w:rsidTr="00A57EF9">
        <w:trPr>
          <w:cantSplit/>
        </w:trPr>
        <w:tc>
          <w:tcPr>
            <w:tcW w:w="4650" w:type="dxa"/>
          </w:tcPr>
          <w:p w14:paraId="022E8DCA"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Česká republika</w:t>
            </w:r>
          </w:p>
          <w:p w14:paraId="4F023860"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s.r.o.</w:t>
            </w:r>
          </w:p>
          <w:p w14:paraId="2339AB59" w14:textId="77777777" w:rsidR="004E5FBC" w:rsidRPr="0087411B" w:rsidRDefault="004E5FBC" w:rsidP="00463647">
            <w:pPr>
              <w:widowControl w:val="0"/>
              <w:spacing w:line="240" w:lineRule="auto"/>
              <w:rPr>
                <w:color w:val="000000"/>
                <w:szCs w:val="22"/>
              </w:rPr>
            </w:pPr>
            <w:r w:rsidRPr="0087411B">
              <w:rPr>
                <w:color w:val="000000"/>
                <w:szCs w:val="22"/>
              </w:rPr>
              <w:t>Tel: +420 225 775 111</w:t>
            </w:r>
          </w:p>
          <w:p w14:paraId="766F3219" w14:textId="77777777" w:rsidR="004E5FBC" w:rsidRPr="0087411B" w:rsidRDefault="004E5FBC" w:rsidP="00463647">
            <w:pPr>
              <w:widowControl w:val="0"/>
              <w:spacing w:line="240" w:lineRule="auto"/>
              <w:rPr>
                <w:b/>
                <w:color w:val="000000"/>
                <w:szCs w:val="22"/>
              </w:rPr>
            </w:pPr>
          </w:p>
        </w:tc>
        <w:tc>
          <w:tcPr>
            <w:tcW w:w="4650" w:type="dxa"/>
          </w:tcPr>
          <w:p w14:paraId="22E1CED6"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Magyarország</w:t>
            </w:r>
          </w:p>
          <w:p w14:paraId="4BC8B4FE"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Hungária Kft.</w:t>
            </w:r>
          </w:p>
          <w:p w14:paraId="6DD45886"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Tel.: +36 1 457 65 00</w:t>
            </w:r>
          </w:p>
        </w:tc>
      </w:tr>
      <w:tr w:rsidR="004E5FBC" w:rsidRPr="0087411B" w14:paraId="069063D8" w14:textId="77777777" w:rsidTr="00A57EF9">
        <w:trPr>
          <w:cantSplit/>
        </w:trPr>
        <w:tc>
          <w:tcPr>
            <w:tcW w:w="4650" w:type="dxa"/>
          </w:tcPr>
          <w:p w14:paraId="080FC986" w14:textId="77777777" w:rsidR="004E5FBC" w:rsidRPr="0087411B" w:rsidRDefault="004E5FBC" w:rsidP="00463647">
            <w:pPr>
              <w:widowControl w:val="0"/>
              <w:spacing w:line="240" w:lineRule="auto"/>
              <w:rPr>
                <w:b/>
                <w:color w:val="000000"/>
                <w:szCs w:val="22"/>
                <w:lang w:val="en-US"/>
              </w:rPr>
            </w:pPr>
            <w:r w:rsidRPr="0087411B">
              <w:rPr>
                <w:b/>
                <w:color w:val="000000"/>
                <w:szCs w:val="22"/>
                <w:lang w:val="en-US"/>
              </w:rPr>
              <w:t>Danmark</w:t>
            </w:r>
          </w:p>
          <w:p w14:paraId="60B2D638"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Novartis Healthcare A/S</w:t>
            </w:r>
          </w:p>
          <w:p w14:paraId="47D1198E"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Tlf: +45 39 16 84 00</w:t>
            </w:r>
          </w:p>
          <w:p w14:paraId="3BCE360D" w14:textId="77777777" w:rsidR="004E5FBC" w:rsidRPr="0087411B" w:rsidRDefault="004E5FBC" w:rsidP="00463647">
            <w:pPr>
              <w:widowControl w:val="0"/>
              <w:spacing w:line="240" w:lineRule="auto"/>
              <w:rPr>
                <w:b/>
                <w:color w:val="000000"/>
                <w:szCs w:val="22"/>
                <w:lang w:val="en-US"/>
              </w:rPr>
            </w:pPr>
          </w:p>
        </w:tc>
        <w:tc>
          <w:tcPr>
            <w:tcW w:w="4650" w:type="dxa"/>
          </w:tcPr>
          <w:p w14:paraId="70FC65EA"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Malta</w:t>
            </w:r>
          </w:p>
          <w:p w14:paraId="1DDEB001"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Pharma Services Inc.</w:t>
            </w:r>
          </w:p>
          <w:p w14:paraId="0312E2B8" w14:textId="77777777" w:rsidR="004E5FBC" w:rsidRPr="0087411B" w:rsidRDefault="004E5FBC" w:rsidP="00463647">
            <w:pPr>
              <w:widowControl w:val="0"/>
              <w:spacing w:line="240" w:lineRule="auto"/>
              <w:rPr>
                <w:color w:val="000000"/>
                <w:szCs w:val="22"/>
              </w:rPr>
            </w:pPr>
            <w:r w:rsidRPr="0087411B">
              <w:rPr>
                <w:color w:val="000000"/>
                <w:szCs w:val="22"/>
              </w:rPr>
              <w:t>Tel: +356 2122 2872</w:t>
            </w:r>
          </w:p>
        </w:tc>
      </w:tr>
      <w:tr w:rsidR="004E5FBC" w:rsidRPr="0087411B" w14:paraId="5B6C79B5" w14:textId="77777777" w:rsidTr="00A57EF9">
        <w:trPr>
          <w:cantSplit/>
        </w:trPr>
        <w:tc>
          <w:tcPr>
            <w:tcW w:w="4650" w:type="dxa"/>
          </w:tcPr>
          <w:p w14:paraId="6C531562" w14:textId="77777777" w:rsidR="004E5FBC" w:rsidRPr="0087411B" w:rsidRDefault="004E5FBC" w:rsidP="00463647">
            <w:pPr>
              <w:widowControl w:val="0"/>
              <w:spacing w:line="240" w:lineRule="auto"/>
              <w:rPr>
                <w:b/>
                <w:color w:val="000000"/>
                <w:szCs w:val="22"/>
                <w:lang w:val="de-CH"/>
              </w:rPr>
            </w:pPr>
            <w:r w:rsidRPr="0087411B">
              <w:rPr>
                <w:b/>
                <w:color w:val="000000"/>
                <w:szCs w:val="22"/>
                <w:lang w:val="de-CH"/>
              </w:rPr>
              <w:lastRenderedPageBreak/>
              <w:t>Deutschland</w:t>
            </w:r>
          </w:p>
          <w:p w14:paraId="4A683F1C"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Novartis Pharma GmbH</w:t>
            </w:r>
          </w:p>
          <w:p w14:paraId="1C4A0318"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Tel: +49 911 273 0</w:t>
            </w:r>
          </w:p>
          <w:p w14:paraId="5E65751A" w14:textId="77777777" w:rsidR="004E5FBC" w:rsidRPr="0087411B" w:rsidRDefault="004E5FBC" w:rsidP="00463647">
            <w:pPr>
              <w:widowControl w:val="0"/>
              <w:spacing w:line="240" w:lineRule="auto"/>
              <w:rPr>
                <w:b/>
                <w:color w:val="000000"/>
                <w:szCs w:val="22"/>
                <w:lang w:val="de-CH"/>
              </w:rPr>
            </w:pPr>
          </w:p>
        </w:tc>
        <w:tc>
          <w:tcPr>
            <w:tcW w:w="4650" w:type="dxa"/>
          </w:tcPr>
          <w:p w14:paraId="754A47ED" w14:textId="77777777" w:rsidR="004E5FBC" w:rsidRPr="007C7ADA" w:rsidRDefault="004E5FBC" w:rsidP="00463647">
            <w:pPr>
              <w:widowControl w:val="0"/>
              <w:spacing w:line="240" w:lineRule="auto"/>
              <w:rPr>
                <w:b/>
                <w:color w:val="000000"/>
                <w:szCs w:val="22"/>
                <w:lang w:val="sv-SE"/>
              </w:rPr>
            </w:pPr>
            <w:r w:rsidRPr="007C7ADA">
              <w:rPr>
                <w:b/>
                <w:color w:val="000000"/>
                <w:szCs w:val="22"/>
                <w:lang w:val="sv-SE"/>
              </w:rPr>
              <w:t>Nederland</w:t>
            </w:r>
          </w:p>
          <w:p w14:paraId="3DB63500"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Novartis Pharma B.V.</w:t>
            </w:r>
          </w:p>
          <w:p w14:paraId="121C1C0A" w14:textId="7E84D665" w:rsidR="004E5FBC" w:rsidRPr="0087411B" w:rsidRDefault="004E5FBC" w:rsidP="00A41E56">
            <w:pPr>
              <w:widowControl w:val="0"/>
              <w:spacing w:line="240" w:lineRule="auto"/>
              <w:rPr>
                <w:color w:val="000000"/>
                <w:szCs w:val="22"/>
              </w:rPr>
            </w:pPr>
            <w:r w:rsidRPr="0087411B">
              <w:rPr>
                <w:color w:val="000000"/>
                <w:szCs w:val="22"/>
              </w:rPr>
              <w:t xml:space="preserve">Tel: +31 </w:t>
            </w:r>
            <w:r w:rsidR="00A41E56">
              <w:rPr>
                <w:color w:val="000000"/>
                <w:szCs w:val="22"/>
              </w:rPr>
              <w:t>88 04 52</w:t>
            </w:r>
            <w:r w:rsidRPr="0087411B">
              <w:rPr>
                <w:color w:val="000000"/>
                <w:szCs w:val="22"/>
              </w:rPr>
              <w:t xml:space="preserve"> </w:t>
            </w:r>
            <w:r w:rsidR="006460C9">
              <w:rPr>
                <w:color w:val="000000"/>
                <w:szCs w:val="22"/>
              </w:rPr>
              <w:t>555</w:t>
            </w:r>
          </w:p>
        </w:tc>
      </w:tr>
      <w:tr w:rsidR="004E5FBC" w:rsidRPr="00F60A89" w14:paraId="1B00DF44" w14:textId="77777777" w:rsidTr="00A57EF9">
        <w:trPr>
          <w:cantSplit/>
        </w:trPr>
        <w:tc>
          <w:tcPr>
            <w:tcW w:w="4650" w:type="dxa"/>
          </w:tcPr>
          <w:p w14:paraId="6B85F8EE" w14:textId="77777777" w:rsidR="004E5FBC" w:rsidRPr="0087411B" w:rsidRDefault="004E5FBC" w:rsidP="00463647">
            <w:pPr>
              <w:widowControl w:val="0"/>
              <w:spacing w:line="240" w:lineRule="auto"/>
              <w:rPr>
                <w:b/>
                <w:color w:val="000000"/>
                <w:szCs w:val="22"/>
                <w:lang w:val="fr-FR"/>
              </w:rPr>
            </w:pPr>
            <w:r w:rsidRPr="0087411B">
              <w:rPr>
                <w:b/>
                <w:color w:val="000000"/>
                <w:szCs w:val="22"/>
                <w:lang w:val="fr-FR"/>
              </w:rPr>
              <w:t>Eesti</w:t>
            </w:r>
          </w:p>
          <w:p w14:paraId="0DABBD0C" w14:textId="77777777" w:rsidR="004E5FBC" w:rsidRPr="0087411B" w:rsidRDefault="00965E7B" w:rsidP="00463647">
            <w:pPr>
              <w:widowControl w:val="0"/>
              <w:spacing w:line="240" w:lineRule="auto"/>
              <w:rPr>
                <w:color w:val="000000"/>
                <w:szCs w:val="22"/>
                <w:lang w:val="fr-FR"/>
              </w:rPr>
            </w:pPr>
            <w:r w:rsidRPr="00965E7B">
              <w:rPr>
                <w:color w:val="000000"/>
                <w:szCs w:val="22"/>
                <w:lang w:val="it-IT"/>
              </w:rPr>
              <w:t>SIA Novartis Baltics Eesti filiaal</w:t>
            </w:r>
          </w:p>
          <w:p w14:paraId="10802F22" w14:textId="77777777" w:rsidR="004E5FBC" w:rsidRPr="007C7ADA" w:rsidRDefault="004E5FBC" w:rsidP="00463647">
            <w:pPr>
              <w:widowControl w:val="0"/>
              <w:spacing w:line="240" w:lineRule="auto"/>
              <w:rPr>
                <w:color w:val="000000"/>
                <w:szCs w:val="22"/>
                <w:lang w:val="fr-FR"/>
              </w:rPr>
            </w:pPr>
            <w:r w:rsidRPr="007C7ADA">
              <w:rPr>
                <w:color w:val="000000"/>
                <w:szCs w:val="22"/>
                <w:lang w:val="fr-FR"/>
              </w:rPr>
              <w:t>Tel: +372 66 30 810</w:t>
            </w:r>
          </w:p>
          <w:p w14:paraId="209CE08E" w14:textId="77777777" w:rsidR="004E5FBC" w:rsidRPr="007C7ADA" w:rsidRDefault="004E5FBC" w:rsidP="00463647">
            <w:pPr>
              <w:widowControl w:val="0"/>
              <w:spacing w:line="240" w:lineRule="auto"/>
              <w:rPr>
                <w:b/>
                <w:color w:val="000000"/>
                <w:szCs w:val="22"/>
                <w:lang w:val="fr-FR"/>
              </w:rPr>
            </w:pPr>
          </w:p>
        </w:tc>
        <w:tc>
          <w:tcPr>
            <w:tcW w:w="4650" w:type="dxa"/>
          </w:tcPr>
          <w:p w14:paraId="3D5F59B7"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Norge</w:t>
            </w:r>
          </w:p>
          <w:p w14:paraId="0E0188D1"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Norge AS</w:t>
            </w:r>
          </w:p>
          <w:p w14:paraId="6BEA6A67"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Tlf: +47 23 05 20 00</w:t>
            </w:r>
          </w:p>
        </w:tc>
      </w:tr>
      <w:tr w:rsidR="004E5FBC" w:rsidRPr="00644A2E" w14:paraId="3C050E8A" w14:textId="77777777" w:rsidTr="00A57EF9">
        <w:trPr>
          <w:cantSplit/>
        </w:trPr>
        <w:tc>
          <w:tcPr>
            <w:tcW w:w="4650" w:type="dxa"/>
          </w:tcPr>
          <w:p w14:paraId="0B81F246" w14:textId="77777777" w:rsidR="004E5FBC" w:rsidRPr="0087411B" w:rsidRDefault="004E5FBC" w:rsidP="00463647">
            <w:pPr>
              <w:widowControl w:val="0"/>
              <w:spacing w:line="240" w:lineRule="auto"/>
              <w:rPr>
                <w:b/>
                <w:color w:val="000000"/>
                <w:szCs w:val="22"/>
                <w:lang w:val="pt-BR"/>
              </w:rPr>
            </w:pPr>
            <w:r w:rsidRPr="0087411B">
              <w:rPr>
                <w:b/>
                <w:color w:val="000000"/>
                <w:szCs w:val="22"/>
              </w:rPr>
              <w:t>Ελλάδα</w:t>
            </w:r>
          </w:p>
          <w:p w14:paraId="13380E3F"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(Hellas) A.E.B.E.</w:t>
            </w:r>
          </w:p>
          <w:p w14:paraId="68873DCF" w14:textId="77777777" w:rsidR="004E5FBC" w:rsidRPr="0087411B" w:rsidRDefault="004E5FBC" w:rsidP="00463647">
            <w:pPr>
              <w:widowControl w:val="0"/>
              <w:spacing w:line="240" w:lineRule="auto"/>
              <w:rPr>
                <w:color w:val="000000"/>
                <w:szCs w:val="22"/>
                <w:lang w:val="pt-BR"/>
              </w:rPr>
            </w:pPr>
            <w:r w:rsidRPr="0087411B">
              <w:rPr>
                <w:color w:val="000000"/>
                <w:szCs w:val="22"/>
              </w:rPr>
              <w:t>Τηλ</w:t>
            </w:r>
            <w:r w:rsidRPr="0087411B">
              <w:rPr>
                <w:color w:val="000000"/>
                <w:szCs w:val="22"/>
                <w:lang w:val="pt-BR"/>
              </w:rPr>
              <w:t>: +30 210 281 17 12</w:t>
            </w:r>
          </w:p>
          <w:p w14:paraId="275B0D83" w14:textId="77777777" w:rsidR="004E5FBC" w:rsidRPr="0087411B" w:rsidRDefault="004E5FBC" w:rsidP="00463647">
            <w:pPr>
              <w:widowControl w:val="0"/>
              <w:spacing w:line="240" w:lineRule="auto"/>
              <w:rPr>
                <w:b/>
                <w:color w:val="000000"/>
                <w:szCs w:val="22"/>
                <w:lang w:val="pt-BR"/>
              </w:rPr>
            </w:pPr>
          </w:p>
        </w:tc>
        <w:tc>
          <w:tcPr>
            <w:tcW w:w="4650" w:type="dxa"/>
          </w:tcPr>
          <w:p w14:paraId="6B220FDD" w14:textId="77777777" w:rsidR="004E5FBC" w:rsidRPr="0087411B" w:rsidRDefault="004E5FBC" w:rsidP="00463647">
            <w:pPr>
              <w:widowControl w:val="0"/>
              <w:spacing w:line="240" w:lineRule="auto"/>
              <w:rPr>
                <w:b/>
                <w:color w:val="000000"/>
                <w:szCs w:val="22"/>
                <w:lang w:val="de-CH"/>
              </w:rPr>
            </w:pPr>
            <w:r w:rsidRPr="0087411B">
              <w:rPr>
                <w:b/>
                <w:color w:val="000000"/>
                <w:szCs w:val="22"/>
                <w:lang w:val="de-CH"/>
              </w:rPr>
              <w:t>Österreich</w:t>
            </w:r>
          </w:p>
          <w:p w14:paraId="14C770BF"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Novartis Pharma GmbH</w:t>
            </w:r>
          </w:p>
          <w:p w14:paraId="423D12BF"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Tel: +43 1 86 6570</w:t>
            </w:r>
          </w:p>
        </w:tc>
      </w:tr>
      <w:tr w:rsidR="004E5FBC" w:rsidRPr="00A21ED4" w14:paraId="6F52BFAB" w14:textId="77777777" w:rsidTr="00A57EF9">
        <w:trPr>
          <w:cantSplit/>
        </w:trPr>
        <w:tc>
          <w:tcPr>
            <w:tcW w:w="4650" w:type="dxa"/>
          </w:tcPr>
          <w:p w14:paraId="290BA637"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España</w:t>
            </w:r>
          </w:p>
          <w:p w14:paraId="3EF45CE7"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Farmacéutica, S.A.</w:t>
            </w:r>
          </w:p>
          <w:p w14:paraId="3F9CEA5A" w14:textId="77777777" w:rsidR="004E5FBC" w:rsidRPr="0087411B" w:rsidRDefault="004E5FBC" w:rsidP="00463647">
            <w:pPr>
              <w:widowControl w:val="0"/>
              <w:spacing w:line="240" w:lineRule="auto"/>
              <w:rPr>
                <w:color w:val="000000"/>
                <w:szCs w:val="22"/>
              </w:rPr>
            </w:pPr>
            <w:r w:rsidRPr="0087411B">
              <w:rPr>
                <w:color w:val="000000"/>
                <w:szCs w:val="22"/>
              </w:rPr>
              <w:t>Tel: +34 93 306 42 00</w:t>
            </w:r>
          </w:p>
          <w:p w14:paraId="01D74FC6" w14:textId="77777777" w:rsidR="004E5FBC" w:rsidRPr="0087411B" w:rsidRDefault="004E5FBC" w:rsidP="00463647">
            <w:pPr>
              <w:widowControl w:val="0"/>
              <w:spacing w:line="240" w:lineRule="auto"/>
              <w:rPr>
                <w:b/>
                <w:color w:val="000000"/>
                <w:szCs w:val="22"/>
              </w:rPr>
            </w:pPr>
          </w:p>
        </w:tc>
        <w:tc>
          <w:tcPr>
            <w:tcW w:w="4650" w:type="dxa"/>
          </w:tcPr>
          <w:p w14:paraId="3C1C0093"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Polska</w:t>
            </w:r>
          </w:p>
          <w:p w14:paraId="194ED03D"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Poland Sp. z o.o.</w:t>
            </w:r>
          </w:p>
          <w:p w14:paraId="7F976D8D"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 xml:space="preserve">Tel.: +48 22 </w:t>
            </w:r>
            <w:r w:rsidRPr="006861E6">
              <w:rPr>
                <w:szCs w:val="22"/>
                <w:lang w:val="fr-CH"/>
              </w:rPr>
              <w:t>375 4888</w:t>
            </w:r>
          </w:p>
        </w:tc>
      </w:tr>
      <w:tr w:rsidR="004E5FBC" w:rsidRPr="0087411B" w14:paraId="30CE3DE7" w14:textId="77777777" w:rsidTr="00A57EF9">
        <w:trPr>
          <w:cantSplit/>
        </w:trPr>
        <w:tc>
          <w:tcPr>
            <w:tcW w:w="4650" w:type="dxa"/>
          </w:tcPr>
          <w:p w14:paraId="548FF04A" w14:textId="77777777" w:rsidR="004E5FBC" w:rsidRPr="0087411B" w:rsidRDefault="004E5FBC" w:rsidP="00463647">
            <w:pPr>
              <w:widowControl w:val="0"/>
              <w:spacing w:line="240" w:lineRule="auto"/>
              <w:rPr>
                <w:b/>
                <w:color w:val="000000"/>
                <w:szCs w:val="22"/>
                <w:lang w:val="fr-FR"/>
              </w:rPr>
            </w:pPr>
            <w:r w:rsidRPr="0087411B">
              <w:rPr>
                <w:b/>
                <w:color w:val="000000"/>
                <w:szCs w:val="22"/>
                <w:lang w:val="fr-FR"/>
              </w:rPr>
              <w:t>France</w:t>
            </w:r>
          </w:p>
          <w:p w14:paraId="310239C0"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Novartis Pharma S.A.S.</w:t>
            </w:r>
          </w:p>
          <w:p w14:paraId="3D6E3FAF"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Tél: +33 1 55 47 66 00</w:t>
            </w:r>
          </w:p>
          <w:p w14:paraId="498DFA9C" w14:textId="77777777" w:rsidR="004E5FBC" w:rsidRPr="0087411B" w:rsidRDefault="004E5FBC" w:rsidP="00463647">
            <w:pPr>
              <w:widowControl w:val="0"/>
              <w:spacing w:line="240" w:lineRule="auto"/>
              <w:rPr>
                <w:b/>
                <w:color w:val="000000"/>
                <w:szCs w:val="22"/>
                <w:lang w:val="fr-FR"/>
              </w:rPr>
            </w:pPr>
          </w:p>
        </w:tc>
        <w:tc>
          <w:tcPr>
            <w:tcW w:w="4650" w:type="dxa"/>
          </w:tcPr>
          <w:p w14:paraId="66D40AEF"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Portugal</w:t>
            </w:r>
          </w:p>
          <w:p w14:paraId="6FB471FA"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Farma - Produtos Farmacêuticos, S.A.</w:t>
            </w:r>
          </w:p>
          <w:p w14:paraId="78856706" w14:textId="77777777" w:rsidR="004E5FBC" w:rsidRPr="0087411B" w:rsidRDefault="004E5FBC" w:rsidP="00463647">
            <w:pPr>
              <w:widowControl w:val="0"/>
              <w:spacing w:line="240" w:lineRule="auto"/>
              <w:rPr>
                <w:color w:val="000000"/>
                <w:szCs w:val="22"/>
              </w:rPr>
            </w:pPr>
            <w:r w:rsidRPr="0087411B">
              <w:rPr>
                <w:color w:val="000000"/>
                <w:szCs w:val="22"/>
              </w:rPr>
              <w:t>Tel: +351 21 000 8600</w:t>
            </w:r>
          </w:p>
        </w:tc>
      </w:tr>
      <w:tr w:rsidR="004E5FBC" w:rsidRPr="0087411B" w14:paraId="7B0B725B" w14:textId="77777777" w:rsidTr="00A57EF9">
        <w:trPr>
          <w:cantSplit/>
        </w:trPr>
        <w:tc>
          <w:tcPr>
            <w:tcW w:w="4650" w:type="dxa"/>
          </w:tcPr>
          <w:p w14:paraId="73298FF8" w14:textId="77777777" w:rsidR="004E5FBC" w:rsidRPr="007C7ADA" w:rsidRDefault="004E5FBC" w:rsidP="00463647">
            <w:pPr>
              <w:widowControl w:val="0"/>
              <w:spacing w:line="240" w:lineRule="auto"/>
              <w:rPr>
                <w:rFonts w:eastAsia="PMingLiU"/>
                <w:b/>
                <w:szCs w:val="22"/>
                <w:lang w:val="sv-SE"/>
              </w:rPr>
            </w:pPr>
            <w:r w:rsidRPr="007C7ADA">
              <w:rPr>
                <w:rFonts w:eastAsia="PMingLiU"/>
                <w:b/>
                <w:szCs w:val="22"/>
                <w:lang w:val="sv-SE"/>
              </w:rPr>
              <w:t>Hrvatska</w:t>
            </w:r>
          </w:p>
          <w:p w14:paraId="1C85211F" w14:textId="77777777" w:rsidR="004E5FBC" w:rsidRPr="007C7ADA" w:rsidRDefault="004E5FBC" w:rsidP="00463647">
            <w:pPr>
              <w:widowControl w:val="0"/>
              <w:spacing w:line="240" w:lineRule="auto"/>
              <w:rPr>
                <w:szCs w:val="22"/>
                <w:lang w:val="sv-SE"/>
              </w:rPr>
            </w:pPr>
            <w:r w:rsidRPr="007C7ADA">
              <w:rPr>
                <w:szCs w:val="22"/>
                <w:lang w:val="sv-SE"/>
              </w:rPr>
              <w:t>Novartis Hrvatska d.o.o.</w:t>
            </w:r>
          </w:p>
          <w:p w14:paraId="3A5457D6" w14:textId="77777777" w:rsidR="004E5FBC" w:rsidRPr="0087411B" w:rsidRDefault="004E5FBC" w:rsidP="00463647">
            <w:pPr>
              <w:widowControl w:val="0"/>
              <w:spacing w:line="240" w:lineRule="auto"/>
              <w:rPr>
                <w:szCs w:val="22"/>
              </w:rPr>
            </w:pPr>
            <w:r w:rsidRPr="0087411B">
              <w:rPr>
                <w:szCs w:val="22"/>
              </w:rPr>
              <w:t>Tel. +385 1 6274 220</w:t>
            </w:r>
          </w:p>
          <w:p w14:paraId="50BA81B6" w14:textId="77777777" w:rsidR="004E5FBC" w:rsidRPr="0087411B" w:rsidRDefault="004E5FBC" w:rsidP="00463647">
            <w:pPr>
              <w:widowControl w:val="0"/>
              <w:spacing w:line="240" w:lineRule="auto"/>
              <w:rPr>
                <w:b/>
                <w:color w:val="000000"/>
                <w:szCs w:val="22"/>
                <w:lang w:val="fr-FR"/>
              </w:rPr>
            </w:pPr>
          </w:p>
        </w:tc>
        <w:tc>
          <w:tcPr>
            <w:tcW w:w="4650" w:type="dxa"/>
          </w:tcPr>
          <w:p w14:paraId="1E0EFC36" w14:textId="77777777" w:rsidR="004E5FBC" w:rsidRPr="0087411B" w:rsidRDefault="004E5FBC" w:rsidP="00463647">
            <w:pPr>
              <w:widowControl w:val="0"/>
              <w:spacing w:line="240" w:lineRule="auto"/>
              <w:rPr>
                <w:b/>
                <w:noProof/>
                <w:color w:val="000000"/>
                <w:szCs w:val="22"/>
                <w:lang w:val="it-IT"/>
              </w:rPr>
            </w:pPr>
            <w:r w:rsidRPr="0087411B">
              <w:rPr>
                <w:b/>
                <w:noProof/>
                <w:color w:val="000000"/>
                <w:szCs w:val="22"/>
                <w:lang w:val="it-IT"/>
              </w:rPr>
              <w:t>România</w:t>
            </w:r>
          </w:p>
          <w:p w14:paraId="3FEE55F8" w14:textId="77777777" w:rsidR="004E5FBC" w:rsidRPr="0087411B" w:rsidRDefault="004E5FBC" w:rsidP="00463647">
            <w:pPr>
              <w:widowControl w:val="0"/>
              <w:spacing w:line="240" w:lineRule="auto"/>
              <w:rPr>
                <w:noProof/>
                <w:color w:val="000000"/>
                <w:szCs w:val="22"/>
                <w:lang w:val="it-IT"/>
              </w:rPr>
            </w:pPr>
            <w:r w:rsidRPr="0087411B">
              <w:rPr>
                <w:noProof/>
                <w:color w:val="000000"/>
                <w:szCs w:val="22"/>
                <w:lang w:val="it-IT"/>
              </w:rPr>
              <w:t xml:space="preserve">Novartis Pharma Services </w:t>
            </w:r>
            <w:r w:rsidRPr="0087411B">
              <w:rPr>
                <w:color w:val="2F2F2F"/>
                <w:szCs w:val="22"/>
              </w:rPr>
              <w:t>Romania SRL</w:t>
            </w:r>
          </w:p>
          <w:p w14:paraId="3564E755" w14:textId="77777777" w:rsidR="004E5FBC" w:rsidRPr="0087411B" w:rsidRDefault="004E5FBC" w:rsidP="00463647">
            <w:pPr>
              <w:widowControl w:val="0"/>
              <w:spacing w:line="240" w:lineRule="auto"/>
              <w:rPr>
                <w:color w:val="000000"/>
                <w:szCs w:val="22"/>
              </w:rPr>
            </w:pPr>
            <w:r w:rsidRPr="0087411B">
              <w:rPr>
                <w:noProof/>
                <w:color w:val="000000"/>
                <w:szCs w:val="22"/>
                <w:lang w:val="it-IT"/>
              </w:rPr>
              <w:t>Tel: +40 21 31299 01</w:t>
            </w:r>
          </w:p>
        </w:tc>
      </w:tr>
      <w:tr w:rsidR="004E5FBC" w:rsidRPr="0087411B" w14:paraId="645049A2" w14:textId="77777777" w:rsidTr="00A57EF9">
        <w:trPr>
          <w:cantSplit/>
        </w:trPr>
        <w:tc>
          <w:tcPr>
            <w:tcW w:w="4650" w:type="dxa"/>
          </w:tcPr>
          <w:p w14:paraId="012EFC08" w14:textId="77777777" w:rsidR="004E5FBC" w:rsidRPr="0087411B" w:rsidRDefault="004E5FBC" w:rsidP="00463647">
            <w:pPr>
              <w:widowControl w:val="0"/>
              <w:spacing w:line="240" w:lineRule="auto"/>
              <w:rPr>
                <w:b/>
                <w:color w:val="000000"/>
                <w:szCs w:val="22"/>
                <w:lang w:val="en-US"/>
              </w:rPr>
            </w:pPr>
            <w:r w:rsidRPr="0087411B">
              <w:rPr>
                <w:b/>
                <w:color w:val="000000"/>
                <w:szCs w:val="22"/>
                <w:lang w:val="en-US"/>
              </w:rPr>
              <w:t>Ireland</w:t>
            </w:r>
          </w:p>
          <w:p w14:paraId="028772D6"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Novartis Ireland Limited</w:t>
            </w:r>
          </w:p>
          <w:p w14:paraId="214D2A80"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Tel: +353 1 260 12 55</w:t>
            </w:r>
          </w:p>
          <w:p w14:paraId="28643CAA" w14:textId="77777777" w:rsidR="004E5FBC" w:rsidRPr="0087411B" w:rsidRDefault="004E5FBC" w:rsidP="00463647">
            <w:pPr>
              <w:widowControl w:val="0"/>
              <w:spacing w:line="240" w:lineRule="auto"/>
              <w:rPr>
                <w:b/>
                <w:color w:val="000000"/>
                <w:szCs w:val="22"/>
                <w:lang w:val="en-US"/>
              </w:rPr>
            </w:pPr>
          </w:p>
        </w:tc>
        <w:tc>
          <w:tcPr>
            <w:tcW w:w="4650" w:type="dxa"/>
          </w:tcPr>
          <w:p w14:paraId="28780DE1" w14:textId="77777777" w:rsidR="004E5FBC" w:rsidRPr="0087411B" w:rsidRDefault="004E5FBC" w:rsidP="00463647">
            <w:pPr>
              <w:widowControl w:val="0"/>
              <w:spacing w:line="240" w:lineRule="auto"/>
              <w:rPr>
                <w:b/>
                <w:color w:val="000000"/>
                <w:szCs w:val="22"/>
                <w:lang w:val="fr-FR"/>
              </w:rPr>
            </w:pPr>
            <w:r w:rsidRPr="0087411B">
              <w:rPr>
                <w:b/>
                <w:color w:val="000000"/>
                <w:szCs w:val="22"/>
                <w:lang w:val="fr-FR"/>
              </w:rPr>
              <w:t>Slovenija</w:t>
            </w:r>
          </w:p>
          <w:p w14:paraId="20B930D7"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Novartis Pharma Services Inc.</w:t>
            </w:r>
          </w:p>
          <w:p w14:paraId="7B937DDC"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Tel: +386 1 300 75 50</w:t>
            </w:r>
          </w:p>
        </w:tc>
      </w:tr>
      <w:tr w:rsidR="004E5FBC" w:rsidRPr="0087411B" w14:paraId="287C1060" w14:textId="77777777" w:rsidTr="00A57EF9">
        <w:trPr>
          <w:cantSplit/>
        </w:trPr>
        <w:tc>
          <w:tcPr>
            <w:tcW w:w="4650" w:type="dxa"/>
          </w:tcPr>
          <w:p w14:paraId="7725B2E0" w14:textId="77777777" w:rsidR="004E5FBC" w:rsidRPr="0087411B" w:rsidRDefault="004E5FBC" w:rsidP="00463647">
            <w:pPr>
              <w:widowControl w:val="0"/>
              <w:spacing w:line="240" w:lineRule="auto"/>
              <w:rPr>
                <w:b/>
                <w:color w:val="000000"/>
                <w:szCs w:val="22"/>
              </w:rPr>
            </w:pPr>
            <w:r w:rsidRPr="0087411B">
              <w:rPr>
                <w:b/>
                <w:color w:val="000000"/>
                <w:szCs w:val="22"/>
              </w:rPr>
              <w:t>Ísland</w:t>
            </w:r>
          </w:p>
          <w:p w14:paraId="7C4C3235" w14:textId="77777777" w:rsidR="004E5FBC" w:rsidRPr="0087411B" w:rsidRDefault="004E5FBC" w:rsidP="00463647">
            <w:pPr>
              <w:widowControl w:val="0"/>
              <w:spacing w:line="240" w:lineRule="auto"/>
              <w:rPr>
                <w:color w:val="000000"/>
                <w:szCs w:val="22"/>
              </w:rPr>
            </w:pPr>
            <w:r w:rsidRPr="0087411B">
              <w:rPr>
                <w:color w:val="000000"/>
                <w:szCs w:val="22"/>
              </w:rPr>
              <w:t>Vistor hf.</w:t>
            </w:r>
          </w:p>
          <w:p w14:paraId="122F1EC2" w14:textId="77777777" w:rsidR="004E5FBC" w:rsidRPr="0087411B" w:rsidRDefault="004E5FBC" w:rsidP="00463647">
            <w:pPr>
              <w:widowControl w:val="0"/>
              <w:spacing w:line="240" w:lineRule="auto"/>
              <w:rPr>
                <w:color w:val="000000"/>
                <w:szCs w:val="22"/>
              </w:rPr>
            </w:pPr>
            <w:r w:rsidRPr="0087411B">
              <w:rPr>
                <w:noProof/>
                <w:color w:val="000000"/>
                <w:szCs w:val="22"/>
                <w:lang w:val="it-IT"/>
              </w:rPr>
              <w:t>S</w:t>
            </w:r>
            <w:r w:rsidRPr="0087411B">
              <w:rPr>
                <w:noProof/>
                <w:color w:val="000000"/>
                <w:szCs w:val="22"/>
                <w:lang w:val="cs-CZ"/>
              </w:rPr>
              <w:t>í</w:t>
            </w:r>
            <w:r w:rsidRPr="0087411B">
              <w:rPr>
                <w:noProof/>
                <w:color w:val="000000"/>
                <w:szCs w:val="22"/>
                <w:lang w:val="it-IT"/>
              </w:rPr>
              <w:t>mi</w:t>
            </w:r>
            <w:r w:rsidRPr="0087411B">
              <w:rPr>
                <w:color w:val="000000"/>
                <w:szCs w:val="22"/>
              </w:rPr>
              <w:t>: +354 535 7000</w:t>
            </w:r>
          </w:p>
          <w:p w14:paraId="34BBA390" w14:textId="77777777" w:rsidR="004E5FBC" w:rsidRPr="0087411B" w:rsidRDefault="004E5FBC" w:rsidP="00463647">
            <w:pPr>
              <w:widowControl w:val="0"/>
              <w:spacing w:line="240" w:lineRule="auto"/>
              <w:rPr>
                <w:b/>
                <w:color w:val="000000"/>
                <w:szCs w:val="22"/>
              </w:rPr>
            </w:pPr>
          </w:p>
        </w:tc>
        <w:tc>
          <w:tcPr>
            <w:tcW w:w="4650" w:type="dxa"/>
          </w:tcPr>
          <w:p w14:paraId="1D7E8FCD"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Slovenská republika</w:t>
            </w:r>
          </w:p>
          <w:p w14:paraId="1B5F5FB3"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Slovakia s.r.o.</w:t>
            </w:r>
          </w:p>
          <w:p w14:paraId="34E720A8" w14:textId="77777777" w:rsidR="004E5FBC" w:rsidRPr="0087411B" w:rsidRDefault="004E5FBC" w:rsidP="00463647">
            <w:pPr>
              <w:widowControl w:val="0"/>
              <w:spacing w:line="240" w:lineRule="auto"/>
              <w:rPr>
                <w:color w:val="000000"/>
                <w:szCs w:val="22"/>
              </w:rPr>
            </w:pPr>
            <w:r w:rsidRPr="0087411B">
              <w:rPr>
                <w:color w:val="000000"/>
                <w:szCs w:val="22"/>
              </w:rPr>
              <w:t>Tel: +421 2 5542 5439</w:t>
            </w:r>
          </w:p>
          <w:p w14:paraId="21DCA393" w14:textId="77777777" w:rsidR="004E5FBC" w:rsidRPr="0087411B" w:rsidRDefault="004E5FBC" w:rsidP="00463647">
            <w:pPr>
              <w:widowControl w:val="0"/>
              <w:spacing w:line="240" w:lineRule="auto"/>
              <w:rPr>
                <w:color w:val="000000"/>
                <w:szCs w:val="22"/>
              </w:rPr>
            </w:pPr>
          </w:p>
        </w:tc>
      </w:tr>
      <w:tr w:rsidR="004E5FBC" w:rsidRPr="00644A2E" w14:paraId="09FE211C" w14:textId="77777777" w:rsidTr="00A57EF9">
        <w:trPr>
          <w:cantSplit/>
        </w:trPr>
        <w:tc>
          <w:tcPr>
            <w:tcW w:w="4650" w:type="dxa"/>
          </w:tcPr>
          <w:p w14:paraId="3A8D01C6"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Italia</w:t>
            </w:r>
          </w:p>
          <w:p w14:paraId="4E89ED09"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Farma S.p.A.</w:t>
            </w:r>
          </w:p>
          <w:p w14:paraId="1C573F86" w14:textId="77777777" w:rsidR="004E5FBC" w:rsidRPr="0087411B" w:rsidRDefault="004E5FBC" w:rsidP="00463647">
            <w:pPr>
              <w:widowControl w:val="0"/>
              <w:spacing w:line="240" w:lineRule="auto"/>
              <w:rPr>
                <w:b/>
                <w:color w:val="000000"/>
                <w:szCs w:val="22"/>
              </w:rPr>
            </w:pPr>
            <w:r w:rsidRPr="0087411B">
              <w:rPr>
                <w:color w:val="000000"/>
                <w:szCs w:val="22"/>
              </w:rPr>
              <w:t>Tel: +39 02 96 54 1</w:t>
            </w:r>
          </w:p>
        </w:tc>
        <w:tc>
          <w:tcPr>
            <w:tcW w:w="4650" w:type="dxa"/>
          </w:tcPr>
          <w:p w14:paraId="5A2CB592" w14:textId="77777777" w:rsidR="004E5FBC" w:rsidRPr="007C7ADA" w:rsidRDefault="004E5FBC" w:rsidP="00463647">
            <w:pPr>
              <w:widowControl w:val="0"/>
              <w:spacing w:line="240" w:lineRule="auto"/>
              <w:rPr>
                <w:b/>
                <w:color w:val="000000"/>
                <w:szCs w:val="22"/>
                <w:lang w:val="sv-SE"/>
              </w:rPr>
            </w:pPr>
            <w:r w:rsidRPr="007C7ADA">
              <w:rPr>
                <w:b/>
                <w:color w:val="000000"/>
                <w:szCs w:val="22"/>
                <w:lang w:val="sv-SE"/>
              </w:rPr>
              <w:t>Suomi/Finland</w:t>
            </w:r>
          </w:p>
          <w:p w14:paraId="003E7D3B"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Novartis Finland Oy</w:t>
            </w:r>
          </w:p>
          <w:p w14:paraId="7856F614"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 xml:space="preserve">Puh/Tel: </w:t>
            </w:r>
            <w:r w:rsidRPr="007C7ADA">
              <w:rPr>
                <w:color w:val="000000"/>
                <w:szCs w:val="22"/>
                <w:lang w:val="sv-SE" w:bidi="he-IL"/>
              </w:rPr>
              <w:t>+358 (0)10 6133 200</w:t>
            </w:r>
          </w:p>
          <w:p w14:paraId="3B2B5F91" w14:textId="77777777" w:rsidR="004E5FBC" w:rsidRPr="007C7ADA" w:rsidRDefault="004E5FBC" w:rsidP="00463647">
            <w:pPr>
              <w:widowControl w:val="0"/>
              <w:spacing w:line="240" w:lineRule="auto"/>
              <w:rPr>
                <w:color w:val="000000"/>
                <w:szCs w:val="22"/>
                <w:lang w:val="sv-SE"/>
              </w:rPr>
            </w:pPr>
          </w:p>
        </w:tc>
      </w:tr>
      <w:tr w:rsidR="004E5FBC" w:rsidRPr="00644A2E" w14:paraId="5FCD2D22" w14:textId="77777777" w:rsidTr="00A57EF9">
        <w:trPr>
          <w:cantSplit/>
        </w:trPr>
        <w:tc>
          <w:tcPr>
            <w:tcW w:w="4650" w:type="dxa"/>
          </w:tcPr>
          <w:p w14:paraId="7548E411" w14:textId="77777777" w:rsidR="004E5FBC" w:rsidRPr="0087411B" w:rsidRDefault="004E5FBC" w:rsidP="00463647">
            <w:pPr>
              <w:widowControl w:val="0"/>
              <w:spacing w:line="240" w:lineRule="auto"/>
              <w:rPr>
                <w:b/>
                <w:color w:val="000000"/>
                <w:szCs w:val="22"/>
                <w:lang w:val="fr-FR"/>
              </w:rPr>
            </w:pPr>
            <w:r w:rsidRPr="0087411B">
              <w:rPr>
                <w:b/>
                <w:color w:val="000000"/>
                <w:szCs w:val="22"/>
              </w:rPr>
              <w:t>Κύπρος</w:t>
            </w:r>
          </w:p>
          <w:p w14:paraId="08626986" w14:textId="77777777" w:rsidR="004E5FBC" w:rsidRPr="0087411B" w:rsidRDefault="004E5FBC" w:rsidP="00463647">
            <w:pPr>
              <w:widowControl w:val="0"/>
              <w:spacing w:line="240" w:lineRule="auto"/>
              <w:rPr>
                <w:color w:val="000000"/>
                <w:szCs w:val="22"/>
                <w:lang w:val="fr-FR"/>
              </w:rPr>
            </w:pPr>
            <w:r w:rsidRPr="0087411B">
              <w:rPr>
                <w:color w:val="000000"/>
                <w:szCs w:val="22"/>
                <w:lang w:val="fr-FR" w:bidi="he-IL"/>
              </w:rPr>
              <w:t>Novartis Pharma Services Inc.</w:t>
            </w:r>
          </w:p>
          <w:p w14:paraId="4276EB35" w14:textId="77777777" w:rsidR="004E5FBC" w:rsidRPr="0087411B" w:rsidRDefault="004E5FBC" w:rsidP="00463647">
            <w:pPr>
              <w:widowControl w:val="0"/>
              <w:spacing w:line="240" w:lineRule="auto"/>
              <w:rPr>
                <w:color w:val="000000"/>
                <w:szCs w:val="22"/>
                <w:lang w:val="fr-FR"/>
              </w:rPr>
            </w:pPr>
            <w:r w:rsidRPr="0087411B">
              <w:rPr>
                <w:color w:val="000000"/>
                <w:szCs w:val="22"/>
              </w:rPr>
              <w:t>Τηλ</w:t>
            </w:r>
            <w:r w:rsidRPr="0087411B">
              <w:rPr>
                <w:color w:val="000000"/>
                <w:szCs w:val="22"/>
                <w:lang w:val="fr-FR"/>
              </w:rPr>
              <w:t>: +357 22 690 690</w:t>
            </w:r>
          </w:p>
          <w:p w14:paraId="672A2C90" w14:textId="77777777" w:rsidR="004E5FBC" w:rsidRPr="0087411B" w:rsidRDefault="004E5FBC" w:rsidP="00463647">
            <w:pPr>
              <w:widowControl w:val="0"/>
              <w:spacing w:line="240" w:lineRule="auto"/>
              <w:rPr>
                <w:b/>
                <w:color w:val="000000"/>
                <w:szCs w:val="22"/>
                <w:lang w:val="fr-FR"/>
              </w:rPr>
            </w:pPr>
          </w:p>
        </w:tc>
        <w:tc>
          <w:tcPr>
            <w:tcW w:w="4650" w:type="dxa"/>
          </w:tcPr>
          <w:p w14:paraId="57FC881F" w14:textId="77777777" w:rsidR="004E5FBC" w:rsidRPr="007C7ADA" w:rsidRDefault="004E5FBC" w:rsidP="00463647">
            <w:pPr>
              <w:widowControl w:val="0"/>
              <w:spacing w:line="240" w:lineRule="auto"/>
              <w:rPr>
                <w:b/>
                <w:color w:val="000000"/>
                <w:szCs w:val="22"/>
                <w:lang w:val="sv-SE"/>
              </w:rPr>
            </w:pPr>
            <w:r w:rsidRPr="007C7ADA">
              <w:rPr>
                <w:b/>
                <w:color w:val="000000"/>
                <w:szCs w:val="22"/>
                <w:lang w:val="sv-SE"/>
              </w:rPr>
              <w:t>Sverige</w:t>
            </w:r>
          </w:p>
          <w:p w14:paraId="0DFEF81D"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Novartis Sverige AB</w:t>
            </w:r>
          </w:p>
          <w:p w14:paraId="098124C4"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Tel: +46 8 732 32 00</w:t>
            </w:r>
          </w:p>
          <w:p w14:paraId="3A6C1778" w14:textId="77777777" w:rsidR="004E5FBC" w:rsidRPr="007C7ADA" w:rsidRDefault="004E5FBC" w:rsidP="00463647">
            <w:pPr>
              <w:widowControl w:val="0"/>
              <w:spacing w:line="240" w:lineRule="auto"/>
              <w:rPr>
                <w:color w:val="000000"/>
                <w:szCs w:val="22"/>
                <w:lang w:val="sv-SE"/>
              </w:rPr>
            </w:pPr>
          </w:p>
        </w:tc>
      </w:tr>
      <w:tr w:rsidR="004E5FBC" w:rsidRPr="0087411B" w14:paraId="45E75E5D" w14:textId="77777777" w:rsidTr="00A57EF9">
        <w:trPr>
          <w:cantSplit/>
        </w:trPr>
        <w:tc>
          <w:tcPr>
            <w:tcW w:w="4650" w:type="dxa"/>
          </w:tcPr>
          <w:p w14:paraId="5D4969AF" w14:textId="77777777" w:rsidR="004E5FBC" w:rsidRPr="006861E6" w:rsidRDefault="004E5FBC" w:rsidP="00463647">
            <w:pPr>
              <w:widowControl w:val="0"/>
              <w:spacing w:line="240" w:lineRule="auto"/>
              <w:rPr>
                <w:b/>
                <w:color w:val="000000"/>
                <w:szCs w:val="22"/>
                <w:lang w:val="es-ES"/>
              </w:rPr>
            </w:pPr>
            <w:r w:rsidRPr="006861E6">
              <w:rPr>
                <w:b/>
                <w:color w:val="000000"/>
                <w:szCs w:val="22"/>
                <w:lang w:val="es-ES"/>
              </w:rPr>
              <w:t>Latvija</w:t>
            </w:r>
          </w:p>
          <w:p w14:paraId="646853D6" w14:textId="336FE65B" w:rsidR="004E5FBC" w:rsidRPr="006861E6" w:rsidRDefault="00676CAE" w:rsidP="00463647">
            <w:pPr>
              <w:widowControl w:val="0"/>
              <w:spacing w:line="240" w:lineRule="auto"/>
              <w:rPr>
                <w:color w:val="000000"/>
                <w:szCs w:val="22"/>
                <w:lang w:val="es-ES"/>
              </w:rPr>
            </w:pPr>
            <w:r w:rsidRPr="006861E6">
              <w:rPr>
                <w:color w:val="000000"/>
                <w:szCs w:val="22"/>
                <w:lang w:val="es-ES"/>
              </w:rPr>
              <w:t xml:space="preserve">SIA </w:t>
            </w:r>
            <w:r w:rsidRPr="0051657E">
              <w:rPr>
                <w:szCs w:val="22"/>
                <w:lang w:val="it-IT"/>
              </w:rPr>
              <w:t>Novartis Baltics</w:t>
            </w:r>
          </w:p>
          <w:p w14:paraId="11651CD9" w14:textId="77777777" w:rsidR="004E5FBC" w:rsidRPr="006861E6" w:rsidRDefault="004E5FBC" w:rsidP="00463647">
            <w:pPr>
              <w:widowControl w:val="0"/>
              <w:spacing w:line="240" w:lineRule="auto"/>
              <w:rPr>
                <w:color w:val="000000"/>
                <w:szCs w:val="22"/>
                <w:lang w:val="es-ES"/>
              </w:rPr>
            </w:pPr>
            <w:r w:rsidRPr="006861E6">
              <w:rPr>
                <w:color w:val="000000"/>
                <w:szCs w:val="22"/>
                <w:lang w:val="es-ES"/>
              </w:rPr>
              <w:t>Tel: +371 67 887 070</w:t>
            </w:r>
          </w:p>
          <w:p w14:paraId="6F107E15" w14:textId="77777777" w:rsidR="004E5FBC" w:rsidRPr="006861E6" w:rsidRDefault="004E5FBC" w:rsidP="00463647">
            <w:pPr>
              <w:widowControl w:val="0"/>
              <w:spacing w:line="240" w:lineRule="auto"/>
              <w:rPr>
                <w:b/>
                <w:color w:val="000000"/>
                <w:szCs w:val="22"/>
                <w:lang w:val="es-ES"/>
              </w:rPr>
            </w:pPr>
          </w:p>
        </w:tc>
        <w:tc>
          <w:tcPr>
            <w:tcW w:w="4650" w:type="dxa"/>
          </w:tcPr>
          <w:p w14:paraId="66C1CFE2" w14:textId="77777777" w:rsidR="004E5FBC" w:rsidRPr="0087411B" w:rsidRDefault="004E5FBC" w:rsidP="00463647">
            <w:pPr>
              <w:widowControl w:val="0"/>
              <w:spacing w:line="240" w:lineRule="auto"/>
              <w:rPr>
                <w:b/>
                <w:color w:val="000000"/>
                <w:szCs w:val="22"/>
                <w:lang w:val="en-US"/>
              </w:rPr>
            </w:pPr>
            <w:r w:rsidRPr="0087411B">
              <w:rPr>
                <w:b/>
                <w:color w:val="000000"/>
                <w:szCs w:val="22"/>
                <w:lang w:val="en-US"/>
              </w:rPr>
              <w:t>United Kingdom</w:t>
            </w:r>
          </w:p>
          <w:p w14:paraId="3450EC71"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Novartis Pharmaceuticals UK Ltd.</w:t>
            </w:r>
          </w:p>
          <w:p w14:paraId="1F8B6EA3" w14:textId="77777777" w:rsidR="004E5FBC" w:rsidRPr="0087411B" w:rsidRDefault="004E5FBC" w:rsidP="00463647">
            <w:pPr>
              <w:widowControl w:val="0"/>
              <w:spacing w:line="240" w:lineRule="auto"/>
              <w:rPr>
                <w:color w:val="000000"/>
                <w:szCs w:val="22"/>
              </w:rPr>
            </w:pPr>
            <w:r w:rsidRPr="0087411B">
              <w:rPr>
                <w:color w:val="000000"/>
                <w:szCs w:val="22"/>
              </w:rPr>
              <w:t>Tel: +44 1276 698370</w:t>
            </w:r>
          </w:p>
          <w:p w14:paraId="432036E9" w14:textId="77777777" w:rsidR="004E5FBC" w:rsidRPr="0087411B" w:rsidRDefault="004E5FBC" w:rsidP="00463647">
            <w:pPr>
              <w:widowControl w:val="0"/>
              <w:spacing w:line="240" w:lineRule="auto"/>
              <w:rPr>
                <w:color w:val="000000"/>
                <w:szCs w:val="22"/>
              </w:rPr>
            </w:pPr>
          </w:p>
        </w:tc>
      </w:tr>
    </w:tbl>
    <w:p w14:paraId="581BE7D5" w14:textId="77777777" w:rsidR="004E5FBC" w:rsidRPr="0087411B" w:rsidRDefault="004E5FBC" w:rsidP="00463647">
      <w:pPr>
        <w:widowControl w:val="0"/>
        <w:tabs>
          <w:tab w:val="clear" w:pos="567"/>
        </w:tabs>
        <w:spacing w:line="240" w:lineRule="auto"/>
        <w:ind w:right="-449"/>
        <w:rPr>
          <w:color w:val="000000"/>
          <w:szCs w:val="22"/>
        </w:rPr>
      </w:pPr>
    </w:p>
    <w:p w14:paraId="4199AC3F" w14:textId="77777777" w:rsidR="00CE607D" w:rsidRDefault="00CE607D" w:rsidP="00463647">
      <w:pPr>
        <w:widowControl w:val="0"/>
        <w:numPr>
          <w:ilvl w:val="12"/>
          <w:numId w:val="0"/>
        </w:numPr>
        <w:tabs>
          <w:tab w:val="clear" w:pos="567"/>
        </w:tabs>
        <w:spacing w:line="240" w:lineRule="auto"/>
        <w:ind w:right="-2"/>
        <w:rPr>
          <w:b/>
          <w:color w:val="000000"/>
          <w:szCs w:val="22"/>
          <w:lang w:val="sv-SE"/>
        </w:rPr>
      </w:pPr>
      <w:r w:rsidRPr="000E7AE9">
        <w:rPr>
          <w:b/>
          <w:color w:val="000000"/>
          <w:szCs w:val="22"/>
          <w:lang w:val="sv-SE"/>
        </w:rPr>
        <w:t xml:space="preserve">Denna bipacksedel </w:t>
      </w:r>
      <w:r w:rsidR="00513248">
        <w:rPr>
          <w:b/>
          <w:color w:val="000000"/>
          <w:szCs w:val="22"/>
          <w:lang w:val="sv-SE"/>
        </w:rPr>
        <w:t xml:space="preserve">ändrades </w:t>
      </w:r>
      <w:r w:rsidRPr="000E7AE9">
        <w:rPr>
          <w:b/>
          <w:color w:val="000000"/>
          <w:szCs w:val="22"/>
          <w:lang w:val="sv-SE"/>
        </w:rPr>
        <w:t>senast</w:t>
      </w:r>
    </w:p>
    <w:p w14:paraId="3F71CCDF" w14:textId="77777777" w:rsidR="00CE607D" w:rsidRPr="00AB480A" w:rsidRDefault="00CE607D" w:rsidP="00463647">
      <w:pPr>
        <w:widowControl w:val="0"/>
        <w:numPr>
          <w:ilvl w:val="12"/>
          <w:numId w:val="0"/>
        </w:numPr>
        <w:tabs>
          <w:tab w:val="clear" w:pos="567"/>
        </w:tabs>
        <w:spacing w:line="240" w:lineRule="auto"/>
        <w:ind w:right="-2"/>
        <w:rPr>
          <w:bCs/>
          <w:color w:val="000000"/>
          <w:szCs w:val="22"/>
          <w:lang w:val="sv-SE"/>
        </w:rPr>
      </w:pPr>
    </w:p>
    <w:p w14:paraId="0BCD54A4" w14:textId="77777777" w:rsidR="00421435" w:rsidRDefault="00421435" w:rsidP="009E09A2">
      <w:pPr>
        <w:keepNext/>
        <w:widowControl w:val="0"/>
        <w:tabs>
          <w:tab w:val="clear" w:pos="567"/>
        </w:tabs>
        <w:spacing w:line="240" w:lineRule="auto"/>
        <w:ind w:right="-448"/>
        <w:rPr>
          <w:b/>
          <w:color w:val="000000"/>
          <w:szCs w:val="22"/>
          <w:lang w:val="sv-SE"/>
        </w:rPr>
      </w:pPr>
      <w:r>
        <w:rPr>
          <w:b/>
          <w:color w:val="000000"/>
          <w:szCs w:val="22"/>
          <w:lang w:val="sv-SE"/>
        </w:rPr>
        <w:t>Övriga informationskällor</w:t>
      </w:r>
    </w:p>
    <w:p w14:paraId="5F34D1F2" w14:textId="77777777" w:rsidR="00CE607D" w:rsidRDefault="006460C9" w:rsidP="00463647">
      <w:pPr>
        <w:widowControl w:val="0"/>
        <w:tabs>
          <w:tab w:val="clear" w:pos="567"/>
        </w:tabs>
        <w:spacing w:line="240" w:lineRule="auto"/>
        <w:ind w:right="-449"/>
        <w:rPr>
          <w:color w:val="000000"/>
          <w:szCs w:val="22"/>
          <w:lang w:val="sv-SE"/>
        </w:rPr>
      </w:pPr>
      <w:r>
        <w:rPr>
          <w:color w:val="000000"/>
          <w:szCs w:val="22"/>
          <w:lang w:val="sv-SE"/>
        </w:rPr>
        <w:t>Ytterligare i</w:t>
      </w:r>
      <w:r w:rsidR="00CE607D">
        <w:rPr>
          <w:color w:val="000000"/>
          <w:szCs w:val="22"/>
          <w:lang w:val="sv-SE"/>
        </w:rPr>
        <w:t>nformation om detta läkemedel finns på Europeiska läkemedelsmyndighetens</w:t>
      </w:r>
      <w:r w:rsidR="002D6A90">
        <w:rPr>
          <w:color w:val="000000"/>
          <w:szCs w:val="22"/>
          <w:lang w:val="sv-SE"/>
        </w:rPr>
        <w:t xml:space="preserve"> </w:t>
      </w:r>
      <w:r w:rsidR="00421435">
        <w:rPr>
          <w:color w:val="000000"/>
          <w:szCs w:val="22"/>
          <w:lang w:val="sv-SE"/>
        </w:rPr>
        <w:t>webbplats</w:t>
      </w:r>
      <w:r w:rsidR="00CE607D">
        <w:rPr>
          <w:color w:val="000000"/>
          <w:szCs w:val="22"/>
          <w:lang w:val="sv-SE"/>
        </w:rPr>
        <w:t xml:space="preserve">: </w:t>
      </w:r>
      <w:hyperlink r:id="rId17" w:history="1">
        <w:r w:rsidR="005B7932" w:rsidRPr="00EE16D4">
          <w:rPr>
            <w:rStyle w:val="Hyperlink"/>
            <w:szCs w:val="22"/>
            <w:lang w:val="sv-SE"/>
          </w:rPr>
          <w:t>http://www.ema.europa.eu</w:t>
        </w:r>
      </w:hyperlink>
    </w:p>
    <w:p w14:paraId="08671DDD" w14:textId="77777777" w:rsidR="005B7932" w:rsidRPr="000E7AE9" w:rsidRDefault="005B7932" w:rsidP="00463647">
      <w:pPr>
        <w:widowControl w:val="0"/>
        <w:tabs>
          <w:tab w:val="clear" w:pos="567"/>
        </w:tabs>
        <w:spacing w:line="240" w:lineRule="auto"/>
        <w:ind w:right="-449"/>
        <w:rPr>
          <w:color w:val="000000"/>
          <w:szCs w:val="22"/>
          <w:lang w:val="sv-SE"/>
        </w:rPr>
      </w:pPr>
    </w:p>
    <w:p w14:paraId="76F15ECE" w14:textId="77777777" w:rsidR="00CE607D" w:rsidRPr="000E7AE9" w:rsidRDefault="00CE607D" w:rsidP="00463647">
      <w:pPr>
        <w:pStyle w:val="Heading4"/>
        <w:widowControl w:val="0"/>
        <w:spacing w:line="240" w:lineRule="auto"/>
        <w:jc w:val="center"/>
        <w:rPr>
          <w:noProof w:val="0"/>
          <w:color w:val="000000"/>
          <w:szCs w:val="22"/>
          <w:lang w:val="sv-SE"/>
        </w:rPr>
      </w:pPr>
      <w:r w:rsidRPr="000E7AE9">
        <w:rPr>
          <w:color w:val="000000"/>
          <w:szCs w:val="22"/>
          <w:lang w:val="sv-SE"/>
        </w:rPr>
        <w:br w:type="page"/>
      </w:r>
      <w:r w:rsidR="00085502">
        <w:rPr>
          <w:noProof w:val="0"/>
          <w:color w:val="000000"/>
          <w:szCs w:val="22"/>
          <w:lang w:val="sv-SE"/>
        </w:rPr>
        <w:lastRenderedPageBreak/>
        <w:t>Bipacksedel: Information till användaren</w:t>
      </w:r>
    </w:p>
    <w:p w14:paraId="24CEF588" w14:textId="77777777" w:rsidR="00CE607D" w:rsidRPr="000E7AE9" w:rsidRDefault="00CE607D" w:rsidP="00463647">
      <w:pPr>
        <w:widowControl w:val="0"/>
        <w:tabs>
          <w:tab w:val="clear" w:pos="567"/>
        </w:tabs>
        <w:spacing w:line="240" w:lineRule="auto"/>
        <w:jc w:val="center"/>
        <w:rPr>
          <w:color w:val="000000"/>
          <w:szCs w:val="22"/>
          <w:lang w:val="sv-SE"/>
        </w:rPr>
      </w:pPr>
    </w:p>
    <w:p w14:paraId="32AE1D14" w14:textId="7E5B5A11" w:rsidR="00CE607D" w:rsidRDefault="00CE607D" w:rsidP="00463647">
      <w:pPr>
        <w:widowControl w:val="0"/>
        <w:tabs>
          <w:tab w:val="clear" w:pos="567"/>
        </w:tabs>
        <w:spacing w:line="240" w:lineRule="auto"/>
        <w:jc w:val="center"/>
        <w:rPr>
          <w:b/>
          <w:color w:val="000000"/>
          <w:szCs w:val="22"/>
          <w:lang w:val="sv-SE"/>
        </w:rPr>
      </w:pPr>
      <w:r w:rsidRPr="000E7AE9">
        <w:rPr>
          <w:b/>
          <w:color w:val="000000"/>
          <w:szCs w:val="22"/>
          <w:lang w:val="sv-SE"/>
        </w:rPr>
        <w:t>Glivec 100 mg filmdragerade tabletter</w:t>
      </w:r>
    </w:p>
    <w:p w14:paraId="119B2E7F" w14:textId="00C260F3" w:rsidR="00A4052B" w:rsidRPr="000E7AE9" w:rsidRDefault="00A4052B" w:rsidP="00463647">
      <w:pPr>
        <w:widowControl w:val="0"/>
        <w:tabs>
          <w:tab w:val="clear" w:pos="567"/>
        </w:tabs>
        <w:spacing w:line="240" w:lineRule="auto"/>
        <w:jc w:val="center"/>
        <w:rPr>
          <w:color w:val="000000"/>
          <w:szCs w:val="22"/>
          <w:lang w:val="sv-SE"/>
        </w:rPr>
      </w:pPr>
      <w:r>
        <w:rPr>
          <w:b/>
          <w:color w:val="000000"/>
          <w:szCs w:val="22"/>
          <w:lang w:val="sv-SE"/>
        </w:rPr>
        <w:t>Glivec 400 mg filmdragerade tabletter</w:t>
      </w:r>
    </w:p>
    <w:p w14:paraId="5C9E445B" w14:textId="77777777" w:rsidR="00CE607D" w:rsidRPr="000E7AE9" w:rsidRDefault="001412A8" w:rsidP="00463647">
      <w:pPr>
        <w:widowControl w:val="0"/>
        <w:tabs>
          <w:tab w:val="clear" w:pos="567"/>
        </w:tabs>
        <w:spacing w:line="240" w:lineRule="auto"/>
        <w:jc w:val="center"/>
        <w:rPr>
          <w:color w:val="000000"/>
          <w:szCs w:val="22"/>
          <w:lang w:val="sv-SE"/>
        </w:rPr>
      </w:pPr>
      <w:r>
        <w:rPr>
          <w:color w:val="000000"/>
          <w:szCs w:val="22"/>
          <w:lang w:val="sv-SE"/>
        </w:rPr>
        <w:t>i</w:t>
      </w:r>
      <w:r w:rsidR="00CE607D" w:rsidRPr="000E7AE9">
        <w:rPr>
          <w:color w:val="000000"/>
          <w:szCs w:val="22"/>
          <w:lang w:val="sv-SE"/>
        </w:rPr>
        <w:t>matinib</w:t>
      </w:r>
    </w:p>
    <w:p w14:paraId="3EB14AD3" w14:textId="77777777" w:rsidR="00CE607D" w:rsidRDefault="00CE607D" w:rsidP="00463647">
      <w:pPr>
        <w:pStyle w:val="EndnoteText"/>
        <w:widowControl w:val="0"/>
        <w:tabs>
          <w:tab w:val="clear" w:pos="567"/>
        </w:tabs>
        <w:rPr>
          <w:color w:val="000000"/>
          <w:szCs w:val="22"/>
          <w:lang w:val="sv-SE"/>
        </w:rPr>
      </w:pPr>
    </w:p>
    <w:p w14:paraId="32904C7B" w14:textId="77777777" w:rsidR="00AE00E2" w:rsidRPr="00AB1764" w:rsidRDefault="000B798D" w:rsidP="00463647">
      <w:pPr>
        <w:widowControl w:val="0"/>
        <w:spacing w:line="240" w:lineRule="auto"/>
        <w:rPr>
          <w:szCs w:val="22"/>
          <w:lang w:val="sv-SE"/>
        </w:rPr>
      </w:pPr>
      <w:r w:rsidRPr="0096596E">
        <w:rPr>
          <w:noProof/>
          <w:lang w:val="en-US"/>
        </w:rPr>
        <w:drawing>
          <wp:inline distT="0" distB="0" distL="0" distR="0" wp14:anchorId="67581A22" wp14:editId="39EF6697">
            <wp:extent cx="198120" cy="17780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177800"/>
                    </a:xfrm>
                    <a:prstGeom prst="rect">
                      <a:avLst/>
                    </a:prstGeom>
                    <a:noFill/>
                    <a:ln>
                      <a:noFill/>
                    </a:ln>
                  </pic:spPr>
                </pic:pic>
              </a:graphicData>
            </a:graphic>
          </wp:inline>
        </w:drawing>
      </w:r>
      <w:r w:rsidR="00AE00E2" w:rsidRPr="00AB1764">
        <w:rPr>
          <w:noProof/>
          <w:szCs w:val="22"/>
          <w:lang w:val="sv-SE"/>
        </w:rPr>
        <w:t>Detta läkemedel är föremål för utökad övervakning.</w:t>
      </w:r>
      <w:r w:rsidR="00AE00E2" w:rsidRPr="00AB1764">
        <w:rPr>
          <w:szCs w:val="22"/>
          <w:lang w:val="sv-SE"/>
        </w:rPr>
        <w:t xml:space="preserve"> </w:t>
      </w:r>
      <w:r w:rsidR="00AE00E2" w:rsidRPr="00AB1764">
        <w:rPr>
          <w:noProof/>
          <w:szCs w:val="22"/>
          <w:lang w:val="sv-SE"/>
        </w:rPr>
        <w:t>Detta kommer att göra det möjligt att snabbt identifiera ny säkerhetsinformation.</w:t>
      </w:r>
      <w:r w:rsidR="00AE00E2" w:rsidRPr="00AB1764">
        <w:rPr>
          <w:szCs w:val="22"/>
          <w:lang w:val="sv-SE"/>
        </w:rPr>
        <w:t xml:space="preserve"> </w:t>
      </w:r>
      <w:r w:rsidR="00AE00E2" w:rsidRPr="00AB1764">
        <w:rPr>
          <w:noProof/>
          <w:szCs w:val="22"/>
          <w:lang w:val="sv-SE"/>
        </w:rPr>
        <w:t>Du kan hjälpa till genom att rapportera de biverkningar du eventuellt får.</w:t>
      </w:r>
      <w:r w:rsidR="00AE00E2" w:rsidRPr="00AB1764">
        <w:rPr>
          <w:szCs w:val="22"/>
          <w:lang w:val="sv-SE"/>
        </w:rPr>
        <w:t xml:space="preserve"> </w:t>
      </w:r>
      <w:r w:rsidR="00AE00E2" w:rsidRPr="00AB1764">
        <w:rPr>
          <w:noProof/>
          <w:szCs w:val="22"/>
          <w:lang w:val="sv-SE"/>
        </w:rPr>
        <w:t>Information om hur du rapporterar biverkningar finns i slutet av avsnitt</w:t>
      </w:r>
      <w:r w:rsidR="00AE00E2">
        <w:rPr>
          <w:noProof/>
          <w:szCs w:val="22"/>
          <w:lang w:val="sv-SE"/>
        </w:rPr>
        <w:t> </w:t>
      </w:r>
      <w:r w:rsidR="00AE00E2" w:rsidRPr="00AB1764">
        <w:rPr>
          <w:noProof/>
          <w:szCs w:val="22"/>
          <w:lang w:val="sv-SE"/>
        </w:rPr>
        <w:t>4.</w:t>
      </w:r>
    </w:p>
    <w:p w14:paraId="64D2DDA1" w14:textId="77777777" w:rsidR="00AE00E2" w:rsidRPr="000E7AE9" w:rsidRDefault="00AE00E2" w:rsidP="00463647">
      <w:pPr>
        <w:pStyle w:val="EndnoteText"/>
        <w:widowControl w:val="0"/>
        <w:tabs>
          <w:tab w:val="clear" w:pos="567"/>
        </w:tabs>
        <w:rPr>
          <w:color w:val="000000"/>
          <w:szCs w:val="22"/>
          <w:lang w:val="sv-SE"/>
        </w:rPr>
      </w:pPr>
    </w:p>
    <w:p w14:paraId="088D4641" w14:textId="77777777" w:rsidR="00AB699C" w:rsidRPr="000E7AE9" w:rsidRDefault="00AB699C" w:rsidP="00463647">
      <w:pPr>
        <w:widowControl w:val="0"/>
        <w:tabs>
          <w:tab w:val="clear" w:pos="567"/>
        </w:tabs>
        <w:spacing w:line="240" w:lineRule="auto"/>
        <w:ind w:right="-2"/>
        <w:rPr>
          <w:color w:val="000000"/>
          <w:szCs w:val="22"/>
          <w:lang w:val="sv-SE"/>
        </w:rPr>
      </w:pPr>
      <w:r w:rsidRPr="000E7AE9">
        <w:rPr>
          <w:b/>
          <w:color w:val="000000"/>
          <w:szCs w:val="22"/>
          <w:lang w:val="sv-SE"/>
        </w:rPr>
        <w:t>Läs noga igenom denna bipacksedel innan du börjar ta detta läkemedel.</w:t>
      </w:r>
      <w:r>
        <w:rPr>
          <w:b/>
          <w:color w:val="000000"/>
          <w:szCs w:val="22"/>
          <w:lang w:val="sv-SE"/>
        </w:rPr>
        <w:t xml:space="preserve"> Den innehåller information som är viktig för dig.</w:t>
      </w:r>
    </w:p>
    <w:p w14:paraId="2ECCDA25" w14:textId="77777777" w:rsidR="00AB699C" w:rsidRPr="000E7AE9" w:rsidRDefault="00AB699C"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 xml:space="preserve">Spara denna </w:t>
      </w:r>
      <w:r>
        <w:rPr>
          <w:color w:val="000000"/>
          <w:szCs w:val="22"/>
          <w:lang w:val="sv-SE"/>
        </w:rPr>
        <w:t>information</w:t>
      </w:r>
      <w:r w:rsidRPr="000E7AE9">
        <w:rPr>
          <w:color w:val="000000"/>
          <w:szCs w:val="22"/>
          <w:lang w:val="sv-SE"/>
        </w:rPr>
        <w:t>, du kan behöva läsa den igen.</w:t>
      </w:r>
    </w:p>
    <w:p w14:paraId="03D98F91" w14:textId="77777777" w:rsidR="00AB699C" w:rsidRPr="000E7AE9" w:rsidRDefault="00AB699C"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Om du har ytterligare frågor vänd dig till läkare</w:t>
      </w:r>
      <w:r>
        <w:rPr>
          <w:color w:val="000000"/>
          <w:szCs w:val="22"/>
          <w:lang w:val="sv-SE"/>
        </w:rPr>
        <w:t>,</w:t>
      </w:r>
      <w:r w:rsidRPr="000E7AE9">
        <w:rPr>
          <w:color w:val="000000"/>
          <w:szCs w:val="22"/>
          <w:lang w:val="sv-SE"/>
        </w:rPr>
        <w:t xml:space="preserve"> apotekspersonal</w:t>
      </w:r>
      <w:r>
        <w:rPr>
          <w:color w:val="000000"/>
          <w:szCs w:val="22"/>
          <w:lang w:val="sv-SE"/>
        </w:rPr>
        <w:t xml:space="preserve"> eller sjuksköterska</w:t>
      </w:r>
      <w:r w:rsidRPr="000E7AE9">
        <w:rPr>
          <w:color w:val="000000"/>
          <w:szCs w:val="22"/>
          <w:lang w:val="sv-SE"/>
        </w:rPr>
        <w:t>.</w:t>
      </w:r>
    </w:p>
    <w:p w14:paraId="4C656426" w14:textId="77777777" w:rsidR="00AB699C" w:rsidRPr="000E7AE9" w:rsidRDefault="00AB699C"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 xml:space="preserve">Detta läkemedel har ordinerats </w:t>
      </w:r>
      <w:r>
        <w:rPr>
          <w:color w:val="000000"/>
          <w:szCs w:val="22"/>
          <w:lang w:val="sv-SE"/>
        </w:rPr>
        <w:t xml:space="preserve">enbart </w:t>
      </w:r>
      <w:r w:rsidRPr="000E7AE9">
        <w:rPr>
          <w:color w:val="000000"/>
          <w:szCs w:val="22"/>
          <w:lang w:val="sv-SE"/>
        </w:rPr>
        <w:t xml:space="preserve">åt dig. Ge det inte till andra. Det kan skada dem, även om de uppvisar </w:t>
      </w:r>
      <w:r>
        <w:rPr>
          <w:color w:val="000000"/>
          <w:szCs w:val="22"/>
          <w:lang w:val="sv-SE"/>
        </w:rPr>
        <w:t>sjukdomstecken</w:t>
      </w:r>
      <w:r w:rsidRPr="000E7AE9">
        <w:rPr>
          <w:color w:val="000000"/>
          <w:szCs w:val="22"/>
          <w:lang w:val="sv-SE"/>
        </w:rPr>
        <w:t xml:space="preserve"> som liknar dina.</w:t>
      </w:r>
    </w:p>
    <w:p w14:paraId="68BFE1AA" w14:textId="77777777" w:rsidR="00AB699C" w:rsidRPr="000E7AE9" w:rsidRDefault="00AB699C"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noProof/>
          <w:color w:val="000000"/>
          <w:szCs w:val="22"/>
          <w:lang w:val="sv-SE"/>
        </w:rPr>
        <w:t xml:space="preserve">Om </w:t>
      </w:r>
      <w:r>
        <w:rPr>
          <w:noProof/>
          <w:color w:val="000000"/>
          <w:szCs w:val="22"/>
          <w:lang w:val="sv-SE"/>
        </w:rPr>
        <w:t xml:space="preserve">du får </w:t>
      </w:r>
      <w:r w:rsidRPr="000E7AE9">
        <w:rPr>
          <w:noProof/>
          <w:color w:val="000000"/>
          <w:szCs w:val="22"/>
          <w:lang w:val="sv-SE"/>
        </w:rPr>
        <w:t>biverkningar</w:t>
      </w:r>
      <w:r>
        <w:rPr>
          <w:noProof/>
          <w:color w:val="000000"/>
          <w:szCs w:val="22"/>
          <w:lang w:val="sv-SE"/>
        </w:rPr>
        <w:t xml:space="preserve">, tala med </w:t>
      </w:r>
      <w:r w:rsidRPr="000E7AE9">
        <w:rPr>
          <w:noProof/>
          <w:color w:val="000000"/>
          <w:szCs w:val="22"/>
          <w:lang w:val="sv-SE"/>
        </w:rPr>
        <w:t>läkare</w:t>
      </w:r>
      <w:r>
        <w:rPr>
          <w:noProof/>
          <w:color w:val="000000"/>
          <w:szCs w:val="22"/>
          <w:lang w:val="sv-SE"/>
        </w:rPr>
        <w:t>,</w:t>
      </w:r>
      <w:r w:rsidRPr="000E7AE9">
        <w:rPr>
          <w:noProof/>
          <w:color w:val="000000"/>
          <w:szCs w:val="22"/>
          <w:lang w:val="sv-SE"/>
        </w:rPr>
        <w:t xml:space="preserve"> apotekspersonal</w:t>
      </w:r>
      <w:r>
        <w:rPr>
          <w:noProof/>
          <w:color w:val="000000"/>
          <w:szCs w:val="22"/>
          <w:lang w:val="sv-SE"/>
        </w:rPr>
        <w:t xml:space="preserve"> eller sjuksköterska. Detta gäller även eventuella biverkningar som inte nämns i denna information</w:t>
      </w:r>
      <w:r w:rsidRPr="000E7AE9">
        <w:rPr>
          <w:noProof/>
          <w:color w:val="000000"/>
          <w:szCs w:val="22"/>
          <w:lang w:val="sv-SE"/>
        </w:rPr>
        <w:t>.</w:t>
      </w:r>
      <w:r w:rsidR="00E27E52">
        <w:rPr>
          <w:noProof/>
          <w:color w:val="000000"/>
          <w:szCs w:val="22"/>
          <w:lang w:val="sv-SE"/>
        </w:rPr>
        <w:t xml:space="preserve"> Se avsnitt 4.</w:t>
      </w:r>
    </w:p>
    <w:p w14:paraId="24412B20" w14:textId="77777777" w:rsidR="00AB699C" w:rsidRPr="000E7AE9" w:rsidRDefault="00AB699C" w:rsidP="00463647">
      <w:pPr>
        <w:widowControl w:val="0"/>
        <w:tabs>
          <w:tab w:val="clear" w:pos="567"/>
          <w:tab w:val="left" w:pos="2625"/>
        </w:tabs>
        <w:spacing w:line="240" w:lineRule="auto"/>
        <w:rPr>
          <w:color w:val="000000"/>
          <w:szCs w:val="22"/>
          <w:lang w:val="sv-SE"/>
        </w:rPr>
      </w:pPr>
    </w:p>
    <w:p w14:paraId="73202178" w14:textId="77777777" w:rsidR="00AB699C" w:rsidRPr="000E7AE9" w:rsidRDefault="00AB699C" w:rsidP="00463647">
      <w:pPr>
        <w:widowControl w:val="0"/>
        <w:tabs>
          <w:tab w:val="clear" w:pos="567"/>
        </w:tabs>
        <w:spacing w:line="240" w:lineRule="auto"/>
        <w:rPr>
          <w:color w:val="000000"/>
          <w:szCs w:val="22"/>
          <w:lang w:val="sv-SE"/>
        </w:rPr>
      </w:pPr>
    </w:p>
    <w:p w14:paraId="32B0F74C" w14:textId="77777777" w:rsidR="00AB699C" w:rsidRPr="000E7AE9" w:rsidRDefault="00AB699C" w:rsidP="009E09A2">
      <w:pPr>
        <w:keepNext/>
        <w:widowControl w:val="0"/>
        <w:numPr>
          <w:ilvl w:val="12"/>
          <w:numId w:val="0"/>
        </w:numPr>
        <w:spacing w:line="240" w:lineRule="auto"/>
        <w:ind w:right="-2"/>
        <w:rPr>
          <w:noProof/>
          <w:color w:val="000000"/>
          <w:szCs w:val="22"/>
          <w:lang w:val="sv-SE"/>
        </w:rPr>
      </w:pPr>
      <w:r w:rsidRPr="000E7AE9">
        <w:rPr>
          <w:b/>
          <w:noProof/>
          <w:color w:val="000000"/>
          <w:szCs w:val="22"/>
          <w:lang w:val="sv-SE"/>
        </w:rPr>
        <w:t>I denna bipacksedel finn</w:t>
      </w:r>
      <w:r w:rsidR="00E27E52">
        <w:rPr>
          <w:b/>
          <w:noProof/>
          <w:color w:val="000000"/>
          <w:szCs w:val="22"/>
          <w:lang w:val="sv-SE"/>
        </w:rPr>
        <w:t>s</w:t>
      </w:r>
      <w:r w:rsidRPr="000E7AE9">
        <w:rPr>
          <w:b/>
          <w:noProof/>
          <w:color w:val="000000"/>
          <w:szCs w:val="22"/>
          <w:lang w:val="sv-SE"/>
        </w:rPr>
        <w:t xml:space="preserve"> information om</w:t>
      </w:r>
      <w:r>
        <w:rPr>
          <w:b/>
          <w:noProof/>
          <w:color w:val="000000"/>
          <w:szCs w:val="22"/>
          <w:lang w:val="sv-SE"/>
        </w:rPr>
        <w:t xml:space="preserve"> följande</w:t>
      </w:r>
      <w:r w:rsidRPr="000E7AE9">
        <w:rPr>
          <w:noProof/>
          <w:color w:val="000000"/>
          <w:szCs w:val="22"/>
          <w:lang w:val="sv-SE"/>
        </w:rPr>
        <w:t>:</w:t>
      </w:r>
    </w:p>
    <w:p w14:paraId="4A0BFE71" w14:textId="77777777" w:rsidR="00AB699C" w:rsidRPr="000E7AE9" w:rsidRDefault="00AB699C" w:rsidP="009E09A2">
      <w:pPr>
        <w:keepNext/>
        <w:widowControl w:val="0"/>
        <w:numPr>
          <w:ilvl w:val="12"/>
          <w:numId w:val="0"/>
        </w:numPr>
        <w:tabs>
          <w:tab w:val="clear" w:pos="567"/>
        </w:tabs>
        <w:spacing w:line="240" w:lineRule="auto"/>
        <w:ind w:right="-29"/>
        <w:rPr>
          <w:color w:val="000000"/>
          <w:szCs w:val="22"/>
          <w:lang w:val="sv-SE"/>
        </w:rPr>
      </w:pPr>
      <w:r w:rsidRPr="000E7AE9">
        <w:rPr>
          <w:color w:val="000000"/>
          <w:szCs w:val="22"/>
          <w:lang w:val="sv-SE"/>
        </w:rPr>
        <w:t>1.</w:t>
      </w:r>
      <w:r w:rsidRPr="000E7AE9">
        <w:rPr>
          <w:color w:val="000000"/>
          <w:szCs w:val="22"/>
          <w:lang w:val="sv-SE"/>
        </w:rPr>
        <w:tab/>
        <w:t>Vad Glivec är och vad det används för</w:t>
      </w:r>
    </w:p>
    <w:p w14:paraId="492D1B1A" w14:textId="77777777" w:rsidR="00AB699C" w:rsidRPr="000E7AE9" w:rsidRDefault="00AB699C" w:rsidP="009E09A2">
      <w:pPr>
        <w:keepNext/>
        <w:widowControl w:val="0"/>
        <w:numPr>
          <w:ilvl w:val="12"/>
          <w:numId w:val="0"/>
        </w:numPr>
        <w:tabs>
          <w:tab w:val="clear" w:pos="567"/>
        </w:tabs>
        <w:spacing w:line="240" w:lineRule="auto"/>
        <w:ind w:right="-29"/>
        <w:rPr>
          <w:color w:val="000000"/>
          <w:szCs w:val="22"/>
          <w:lang w:val="sv-SE"/>
        </w:rPr>
      </w:pPr>
      <w:r w:rsidRPr="000E7AE9">
        <w:rPr>
          <w:color w:val="000000"/>
          <w:szCs w:val="22"/>
          <w:lang w:val="sv-SE"/>
        </w:rPr>
        <w:t>2.</w:t>
      </w:r>
      <w:r w:rsidRPr="000E7AE9">
        <w:rPr>
          <w:color w:val="000000"/>
          <w:szCs w:val="22"/>
          <w:lang w:val="sv-SE"/>
        </w:rPr>
        <w:tab/>
      </w:r>
      <w:r>
        <w:rPr>
          <w:color w:val="000000"/>
          <w:szCs w:val="22"/>
          <w:lang w:val="sv-SE"/>
        </w:rPr>
        <w:t>Vad du behöver veta i</w:t>
      </w:r>
      <w:r w:rsidRPr="000E7AE9">
        <w:rPr>
          <w:color w:val="000000"/>
          <w:szCs w:val="22"/>
          <w:lang w:val="sv-SE"/>
        </w:rPr>
        <w:t>nnan du tar Glivec</w:t>
      </w:r>
    </w:p>
    <w:p w14:paraId="62759D6B" w14:textId="77777777" w:rsidR="00AB699C" w:rsidRPr="000E7AE9" w:rsidRDefault="00AB699C" w:rsidP="009E09A2">
      <w:pPr>
        <w:keepNext/>
        <w:widowControl w:val="0"/>
        <w:numPr>
          <w:ilvl w:val="12"/>
          <w:numId w:val="0"/>
        </w:numPr>
        <w:tabs>
          <w:tab w:val="clear" w:pos="567"/>
        </w:tabs>
        <w:spacing w:line="240" w:lineRule="auto"/>
        <w:ind w:right="-29"/>
        <w:rPr>
          <w:color w:val="000000"/>
          <w:szCs w:val="22"/>
          <w:lang w:val="sv-SE"/>
        </w:rPr>
      </w:pPr>
      <w:r w:rsidRPr="000E7AE9">
        <w:rPr>
          <w:color w:val="000000"/>
          <w:szCs w:val="22"/>
          <w:lang w:val="sv-SE"/>
        </w:rPr>
        <w:t>3.</w:t>
      </w:r>
      <w:r w:rsidRPr="000E7AE9">
        <w:rPr>
          <w:color w:val="000000"/>
          <w:szCs w:val="22"/>
          <w:lang w:val="sv-SE"/>
        </w:rPr>
        <w:tab/>
        <w:t>Hur du tar Glivec</w:t>
      </w:r>
    </w:p>
    <w:p w14:paraId="5524FE11" w14:textId="77777777" w:rsidR="00AB699C" w:rsidRPr="000E7AE9" w:rsidRDefault="00AB699C" w:rsidP="009E09A2">
      <w:pPr>
        <w:keepNext/>
        <w:widowControl w:val="0"/>
        <w:numPr>
          <w:ilvl w:val="12"/>
          <w:numId w:val="0"/>
        </w:numPr>
        <w:tabs>
          <w:tab w:val="clear" w:pos="567"/>
        </w:tabs>
        <w:spacing w:line="240" w:lineRule="auto"/>
        <w:ind w:right="-29"/>
        <w:rPr>
          <w:color w:val="000000"/>
          <w:szCs w:val="22"/>
          <w:lang w:val="sv-SE"/>
        </w:rPr>
      </w:pPr>
      <w:r w:rsidRPr="000E7AE9">
        <w:rPr>
          <w:color w:val="000000"/>
          <w:szCs w:val="22"/>
          <w:lang w:val="sv-SE"/>
        </w:rPr>
        <w:t>4.</w:t>
      </w:r>
      <w:r w:rsidRPr="000E7AE9">
        <w:rPr>
          <w:color w:val="000000"/>
          <w:szCs w:val="22"/>
          <w:lang w:val="sv-SE"/>
        </w:rPr>
        <w:tab/>
        <w:t>Eventuella biverkningar</w:t>
      </w:r>
    </w:p>
    <w:p w14:paraId="0733B71C" w14:textId="77777777" w:rsidR="00AB699C" w:rsidRPr="000E7AE9" w:rsidRDefault="00AB699C" w:rsidP="009E09A2">
      <w:pPr>
        <w:keepNext/>
        <w:widowControl w:val="0"/>
        <w:tabs>
          <w:tab w:val="clear" w:pos="567"/>
        </w:tabs>
        <w:spacing w:line="240" w:lineRule="auto"/>
        <w:ind w:right="-29"/>
        <w:rPr>
          <w:color w:val="000000"/>
          <w:szCs w:val="22"/>
          <w:lang w:val="sv-SE"/>
        </w:rPr>
      </w:pPr>
      <w:r w:rsidRPr="000E7AE9">
        <w:rPr>
          <w:color w:val="000000"/>
          <w:szCs w:val="22"/>
          <w:lang w:val="sv-SE"/>
        </w:rPr>
        <w:t>5.</w:t>
      </w:r>
      <w:r w:rsidRPr="000E7AE9">
        <w:rPr>
          <w:color w:val="000000"/>
          <w:szCs w:val="22"/>
          <w:lang w:val="sv-SE"/>
        </w:rPr>
        <w:tab/>
        <w:t>Hur Glivec ska förvaras</w:t>
      </w:r>
    </w:p>
    <w:p w14:paraId="660453FC" w14:textId="77777777" w:rsidR="00AB699C" w:rsidRPr="000E7AE9" w:rsidRDefault="00AB699C" w:rsidP="00463647">
      <w:pPr>
        <w:widowControl w:val="0"/>
        <w:tabs>
          <w:tab w:val="clear" w:pos="567"/>
        </w:tabs>
        <w:spacing w:line="240" w:lineRule="auto"/>
        <w:ind w:right="-29"/>
        <w:rPr>
          <w:color w:val="000000"/>
          <w:szCs w:val="22"/>
          <w:lang w:val="sv-SE"/>
        </w:rPr>
      </w:pPr>
      <w:r w:rsidRPr="000E7AE9">
        <w:rPr>
          <w:color w:val="000000"/>
          <w:szCs w:val="22"/>
          <w:lang w:val="sv-SE"/>
        </w:rPr>
        <w:t>6.</w:t>
      </w:r>
      <w:r w:rsidRPr="000E7AE9">
        <w:rPr>
          <w:color w:val="000000"/>
          <w:szCs w:val="22"/>
          <w:lang w:val="sv-SE"/>
        </w:rPr>
        <w:tab/>
      </w:r>
      <w:r>
        <w:rPr>
          <w:color w:val="000000"/>
          <w:szCs w:val="22"/>
          <w:lang w:val="sv-SE"/>
        </w:rPr>
        <w:t>Förpackningens innehåll och övriga</w:t>
      </w:r>
      <w:r w:rsidRPr="000E7AE9">
        <w:rPr>
          <w:color w:val="000000"/>
          <w:szCs w:val="22"/>
          <w:lang w:val="sv-SE"/>
        </w:rPr>
        <w:t xml:space="preserve"> upplysningar</w:t>
      </w:r>
    </w:p>
    <w:p w14:paraId="4F16C7D5"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37FD15B0"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0335DC94" w14:textId="77777777" w:rsidR="00AB699C" w:rsidRPr="000E7AE9" w:rsidRDefault="00AB699C" w:rsidP="009E09A2">
      <w:pPr>
        <w:pStyle w:val="Heading4"/>
        <w:widowControl w:val="0"/>
        <w:spacing w:line="240" w:lineRule="auto"/>
        <w:rPr>
          <w:noProof w:val="0"/>
          <w:color w:val="000000"/>
          <w:szCs w:val="22"/>
          <w:lang w:val="sv-SE"/>
        </w:rPr>
      </w:pPr>
      <w:r w:rsidRPr="000E7AE9">
        <w:rPr>
          <w:noProof w:val="0"/>
          <w:color w:val="000000"/>
          <w:szCs w:val="22"/>
          <w:lang w:val="sv-SE"/>
        </w:rPr>
        <w:t>1.</w:t>
      </w:r>
      <w:r>
        <w:rPr>
          <w:noProof w:val="0"/>
          <w:color w:val="000000"/>
          <w:szCs w:val="22"/>
          <w:lang w:val="sv-SE"/>
        </w:rPr>
        <w:tab/>
        <w:t>Vad Glivec är och vad det används för</w:t>
      </w:r>
    </w:p>
    <w:p w14:paraId="445BD2DC" w14:textId="77777777" w:rsidR="00AB699C" w:rsidRPr="000E7AE9" w:rsidRDefault="00AB699C" w:rsidP="009E09A2">
      <w:pPr>
        <w:pStyle w:val="EndnoteText"/>
        <w:keepNext/>
        <w:widowControl w:val="0"/>
        <w:numPr>
          <w:ilvl w:val="12"/>
          <w:numId w:val="0"/>
        </w:numPr>
        <w:tabs>
          <w:tab w:val="clear" w:pos="567"/>
        </w:tabs>
        <w:rPr>
          <w:color w:val="000000"/>
          <w:szCs w:val="22"/>
          <w:lang w:val="sv-SE"/>
        </w:rPr>
      </w:pPr>
    </w:p>
    <w:p w14:paraId="11B52B80" w14:textId="77777777" w:rsidR="00AB699C" w:rsidRDefault="00AB699C" w:rsidP="00463647">
      <w:pPr>
        <w:pStyle w:val="TextChar"/>
        <w:widowControl w:val="0"/>
        <w:spacing w:before="0"/>
        <w:jc w:val="left"/>
        <w:rPr>
          <w:color w:val="000000"/>
          <w:sz w:val="22"/>
          <w:szCs w:val="22"/>
          <w:lang w:val="sv-SE"/>
        </w:rPr>
      </w:pPr>
      <w:r>
        <w:rPr>
          <w:color w:val="000000"/>
          <w:sz w:val="22"/>
          <w:szCs w:val="22"/>
          <w:lang w:val="sv-SE"/>
        </w:rPr>
        <w:t>Glivec är ett läkemedel som innehåller en aktiv substans som kallas imatinib. Läkemedlet verkar genom att hämma tillväxten av onormala celler vid sjukdomarna listade nedan. Dessa omfattar vissa typer av cancer.</w:t>
      </w:r>
    </w:p>
    <w:p w14:paraId="6E52955B" w14:textId="77777777" w:rsidR="00AB699C" w:rsidRDefault="00AB699C" w:rsidP="00463647">
      <w:pPr>
        <w:pStyle w:val="TextChar"/>
        <w:widowControl w:val="0"/>
        <w:spacing w:before="0"/>
        <w:jc w:val="left"/>
        <w:rPr>
          <w:color w:val="000000"/>
          <w:sz w:val="22"/>
          <w:szCs w:val="22"/>
          <w:lang w:val="sv-SE"/>
        </w:rPr>
      </w:pPr>
    </w:p>
    <w:p w14:paraId="7138A550" w14:textId="77777777" w:rsidR="00AB699C" w:rsidRPr="009F6686" w:rsidRDefault="00AB699C" w:rsidP="009E09A2">
      <w:pPr>
        <w:pStyle w:val="TextChar"/>
        <w:keepNext/>
        <w:widowControl w:val="0"/>
        <w:spacing w:before="0"/>
        <w:jc w:val="left"/>
        <w:rPr>
          <w:b/>
          <w:color w:val="000000"/>
          <w:sz w:val="22"/>
          <w:szCs w:val="22"/>
          <w:lang w:val="sv-SE"/>
        </w:rPr>
      </w:pPr>
      <w:r w:rsidRPr="009F6686">
        <w:rPr>
          <w:b/>
          <w:color w:val="000000"/>
          <w:sz w:val="22"/>
          <w:szCs w:val="22"/>
          <w:lang w:val="sv-SE"/>
        </w:rPr>
        <w:t>Glivec är en behandling för vuxna och barn för:</w:t>
      </w:r>
    </w:p>
    <w:p w14:paraId="252AE593" w14:textId="77777777" w:rsidR="00AB699C" w:rsidRDefault="00AB699C" w:rsidP="009E09A2">
      <w:pPr>
        <w:pStyle w:val="TextChar"/>
        <w:keepNext/>
        <w:widowControl w:val="0"/>
        <w:spacing w:before="0"/>
        <w:jc w:val="left"/>
        <w:rPr>
          <w:color w:val="000000"/>
          <w:sz w:val="22"/>
          <w:szCs w:val="22"/>
          <w:lang w:val="sv-SE"/>
        </w:rPr>
      </w:pPr>
    </w:p>
    <w:p w14:paraId="79B60773" w14:textId="77777777" w:rsidR="00AB699C"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t>-</w:t>
      </w:r>
      <w:r w:rsidRPr="000E7AE9">
        <w:rPr>
          <w:color w:val="000000"/>
          <w:szCs w:val="22"/>
          <w:lang w:val="sv-SE"/>
        </w:rPr>
        <w:tab/>
      </w:r>
      <w:r w:rsidRPr="009F6686">
        <w:rPr>
          <w:b/>
          <w:color w:val="000000"/>
          <w:sz w:val="22"/>
          <w:szCs w:val="22"/>
          <w:lang w:val="sv-SE"/>
        </w:rPr>
        <w:t>Kronisk myeloisk leukemi (KML).</w:t>
      </w:r>
      <w:r w:rsidRPr="000E7AE9">
        <w:rPr>
          <w:color w:val="000000"/>
          <w:sz w:val="22"/>
          <w:szCs w:val="22"/>
          <w:lang w:val="sv-SE"/>
        </w:rPr>
        <w:t xml:space="preserve"> Leukemi är en cancersjukdom i de vita blodkropparna. Dessa vita blodkroppar hjälper vanligen kroppen att bekämpa infektioner. Kronisk myeloisk leukemi är en form av leukemi där vissa onormala vita blodkroppar (så kallade myeloida celler) börjar tillväxa utom kontroll.</w:t>
      </w:r>
    </w:p>
    <w:p w14:paraId="5748B8D1" w14:textId="77777777" w:rsidR="00BF75F9" w:rsidRPr="000E7AE9" w:rsidRDefault="00BF75F9" w:rsidP="00463647">
      <w:pPr>
        <w:pStyle w:val="TextChar"/>
        <w:widowControl w:val="0"/>
        <w:spacing w:before="0"/>
        <w:ind w:left="567" w:hanging="567"/>
        <w:jc w:val="left"/>
        <w:rPr>
          <w:color w:val="000000"/>
          <w:sz w:val="22"/>
          <w:szCs w:val="22"/>
          <w:lang w:val="sv-SE"/>
        </w:rPr>
      </w:pPr>
      <w:r>
        <w:rPr>
          <w:color w:val="000000"/>
          <w:sz w:val="22"/>
          <w:szCs w:val="22"/>
          <w:lang w:val="sv-SE"/>
        </w:rPr>
        <w:t>-</w:t>
      </w:r>
      <w:r>
        <w:rPr>
          <w:color w:val="000000"/>
          <w:sz w:val="22"/>
          <w:szCs w:val="22"/>
          <w:lang w:val="sv-SE"/>
        </w:rPr>
        <w:tab/>
      </w:r>
      <w:r w:rsidRPr="009F6686">
        <w:rPr>
          <w:b/>
          <w:color w:val="000000"/>
          <w:sz w:val="22"/>
          <w:szCs w:val="22"/>
          <w:lang w:val="sv-SE"/>
        </w:rPr>
        <w:t>Philadelphia-kromosom-positiv akut lymfoblastisk leukemi (Ph-positiv ALL).</w:t>
      </w:r>
      <w:r w:rsidRPr="000E7AE9">
        <w:rPr>
          <w:color w:val="000000"/>
          <w:sz w:val="22"/>
          <w:szCs w:val="22"/>
          <w:lang w:val="sv-SE"/>
        </w:rPr>
        <w:t xml:space="preserve"> Leukemi är en cancer i de vita blodkropparna. Dessa vita blodkroppar hjälper normalt kroppen att bekämpa infektion. Akut lymfoblastisk leukemi är en form av leukemi vid vilken vissa onormala, omogna vita blodkroppar (så kallade lymfoblaster) börjar tillväxa utom kontroll. Glivec hämmar tillväxten av dessa celler.</w:t>
      </w:r>
    </w:p>
    <w:p w14:paraId="1BE71573" w14:textId="77777777" w:rsidR="00AB699C" w:rsidRPr="000E7AE9" w:rsidRDefault="00AB699C" w:rsidP="00463647">
      <w:pPr>
        <w:pStyle w:val="TextChar"/>
        <w:widowControl w:val="0"/>
        <w:spacing w:before="0"/>
        <w:jc w:val="left"/>
        <w:rPr>
          <w:color w:val="000000"/>
          <w:sz w:val="22"/>
          <w:szCs w:val="22"/>
          <w:lang w:val="sv-SE"/>
        </w:rPr>
      </w:pPr>
    </w:p>
    <w:p w14:paraId="0B2EA95C" w14:textId="77777777" w:rsidR="00AB699C" w:rsidRPr="009F6686" w:rsidRDefault="00AB699C" w:rsidP="009E09A2">
      <w:pPr>
        <w:pStyle w:val="TextChar"/>
        <w:keepNext/>
        <w:widowControl w:val="0"/>
        <w:spacing w:before="0"/>
        <w:jc w:val="left"/>
        <w:rPr>
          <w:b/>
          <w:color w:val="000000"/>
          <w:sz w:val="22"/>
          <w:szCs w:val="22"/>
          <w:lang w:val="sv-SE"/>
        </w:rPr>
      </w:pPr>
      <w:r w:rsidRPr="009F6686">
        <w:rPr>
          <w:b/>
          <w:color w:val="000000"/>
          <w:sz w:val="22"/>
          <w:szCs w:val="22"/>
          <w:lang w:val="sv-SE"/>
        </w:rPr>
        <w:t>Glivec är också en behandling för vuxna för:</w:t>
      </w:r>
    </w:p>
    <w:p w14:paraId="1823D3F7" w14:textId="77777777" w:rsidR="00AB699C" w:rsidRPr="000E7AE9" w:rsidRDefault="00AB699C" w:rsidP="009E09A2">
      <w:pPr>
        <w:pStyle w:val="TextChar"/>
        <w:keepNext/>
        <w:widowControl w:val="0"/>
        <w:spacing w:before="0"/>
        <w:jc w:val="left"/>
        <w:rPr>
          <w:color w:val="000000"/>
          <w:sz w:val="22"/>
          <w:szCs w:val="22"/>
          <w:lang w:val="sv-SE"/>
        </w:rPr>
      </w:pPr>
    </w:p>
    <w:p w14:paraId="31875E48" w14:textId="77777777" w:rsidR="00AB699C" w:rsidRPr="000E7AE9"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t>-</w:t>
      </w:r>
      <w:r w:rsidRPr="000E7AE9">
        <w:rPr>
          <w:color w:val="000000"/>
          <w:szCs w:val="22"/>
          <w:lang w:val="sv-SE"/>
        </w:rPr>
        <w:tab/>
      </w:r>
      <w:r w:rsidRPr="000E7AE9">
        <w:rPr>
          <w:color w:val="000000"/>
          <w:sz w:val="22"/>
          <w:szCs w:val="22"/>
          <w:lang w:val="sv-SE"/>
        </w:rPr>
        <w:t>.</w:t>
      </w:r>
      <w:r w:rsidRPr="009F6686">
        <w:rPr>
          <w:b/>
          <w:color w:val="000000"/>
          <w:sz w:val="22"/>
          <w:szCs w:val="22"/>
          <w:lang w:val="sv-SE"/>
        </w:rPr>
        <w:t>Myelodysplastiska/myeloproliferativa sjukdomar (MDS/MPD).</w:t>
      </w:r>
      <w:r w:rsidRPr="000E7AE9">
        <w:rPr>
          <w:color w:val="000000"/>
          <w:sz w:val="22"/>
          <w:szCs w:val="22"/>
          <w:lang w:val="sv-SE"/>
        </w:rPr>
        <w:t xml:space="preserve"> Dessa utgör en grupp av blodsjukdomar vid vilka vissa blodceller börjar tillväxa utom kontroll. Glivec hämmar tillväxten av dessa celler hos en viss undergrupp av dessa sjukdomar.</w:t>
      </w:r>
    </w:p>
    <w:p w14:paraId="3138C8CC" w14:textId="77777777" w:rsidR="00AB699C" w:rsidRPr="000E7AE9"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t>-</w:t>
      </w:r>
      <w:r w:rsidRPr="000E7AE9">
        <w:rPr>
          <w:color w:val="000000"/>
          <w:szCs w:val="22"/>
          <w:lang w:val="sv-SE"/>
        </w:rPr>
        <w:tab/>
      </w:r>
      <w:r w:rsidRPr="009F6686">
        <w:rPr>
          <w:b/>
          <w:color w:val="000000"/>
          <w:sz w:val="22"/>
          <w:szCs w:val="22"/>
          <w:lang w:val="sv-SE"/>
        </w:rPr>
        <w:t>Hypereosinofilt syndrom (HES) och/eller kronisk eosinofil leukemi (CEL).</w:t>
      </w:r>
      <w:r w:rsidRPr="000E7AE9">
        <w:rPr>
          <w:color w:val="000000"/>
          <w:sz w:val="22"/>
          <w:szCs w:val="22"/>
          <w:lang w:val="sv-SE"/>
        </w:rPr>
        <w:t xml:space="preserve"> Dessa är blodsjukdomar i vilka vissa blodceller (så kallade eosinofiler) börjar tillväxa utom kontroll. Glivec hämmar tillväxten av dessa celler hos en viss undergrupp av dessa sjukdomar.</w:t>
      </w:r>
    </w:p>
    <w:p w14:paraId="6A7C0F60" w14:textId="77777777" w:rsidR="00AB699C" w:rsidRPr="000E7AE9"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t>-</w:t>
      </w:r>
      <w:r w:rsidRPr="000E7AE9">
        <w:rPr>
          <w:color w:val="000000"/>
          <w:szCs w:val="22"/>
          <w:lang w:val="sv-SE"/>
        </w:rPr>
        <w:tab/>
      </w:r>
      <w:r w:rsidRPr="009F6686">
        <w:rPr>
          <w:b/>
          <w:color w:val="000000"/>
          <w:sz w:val="22"/>
          <w:szCs w:val="22"/>
          <w:lang w:val="sv-SE"/>
        </w:rPr>
        <w:t>Gastrointestinala stromacellstumörer (GIST).</w:t>
      </w:r>
      <w:r w:rsidRPr="000E7AE9">
        <w:rPr>
          <w:color w:val="000000"/>
          <w:sz w:val="22"/>
          <w:szCs w:val="22"/>
          <w:lang w:val="sv-SE"/>
        </w:rPr>
        <w:t xml:space="preserve"> GIST är en cancerform i magen och tarmarna. </w:t>
      </w:r>
      <w:r w:rsidRPr="000E7AE9">
        <w:rPr>
          <w:color w:val="000000"/>
          <w:sz w:val="22"/>
          <w:szCs w:val="22"/>
          <w:lang w:val="sv-SE"/>
        </w:rPr>
        <w:lastRenderedPageBreak/>
        <w:t>Den uppstår genom okontrollerad tillväxt i stödjevävnaden för dessa organ.</w:t>
      </w:r>
    </w:p>
    <w:p w14:paraId="3466CAD7" w14:textId="77777777" w:rsidR="00AB699C" w:rsidRPr="000E7AE9" w:rsidRDefault="00AB699C" w:rsidP="00463647">
      <w:pPr>
        <w:pStyle w:val="TextChar"/>
        <w:widowControl w:val="0"/>
        <w:spacing w:before="0"/>
        <w:ind w:left="567" w:hanging="567"/>
        <w:jc w:val="left"/>
        <w:rPr>
          <w:color w:val="000000"/>
          <w:sz w:val="22"/>
          <w:szCs w:val="22"/>
          <w:lang w:val="sv-SE"/>
        </w:rPr>
      </w:pPr>
      <w:r w:rsidRPr="000E7AE9">
        <w:rPr>
          <w:color w:val="000000"/>
          <w:szCs w:val="22"/>
          <w:lang w:val="sv-SE"/>
        </w:rPr>
        <w:t>-</w:t>
      </w:r>
      <w:r w:rsidRPr="000E7AE9">
        <w:rPr>
          <w:color w:val="000000"/>
          <w:szCs w:val="22"/>
          <w:lang w:val="sv-SE"/>
        </w:rPr>
        <w:tab/>
      </w:r>
      <w:r w:rsidRPr="009F6686">
        <w:rPr>
          <w:b/>
          <w:color w:val="000000"/>
          <w:sz w:val="22"/>
          <w:szCs w:val="22"/>
          <w:lang w:val="sv-SE"/>
        </w:rPr>
        <w:t>Dermatofibrosarkom protuberans (DFSP).</w:t>
      </w:r>
      <w:r w:rsidRPr="000E7AE9">
        <w:rPr>
          <w:color w:val="000000"/>
          <w:sz w:val="22"/>
          <w:szCs w:val="22"/>
          <w:lang w:val="sv-SE"/>
        </w:rPr>
        <w:t xml:space="preserve"> DFSP är en cancer i vävnaden under huden i vilken vissa celler börjar tillväxa utom kontroll. Glivec hämmar tillväxten av dessa celler.</w:t>
      </w:r>
    </w:p>
    <w:p w14:paraId="66806256" w14:textId="77777777" w:rsidR="00AB699C" w:rsidRDefault="00AB699C" w:rsidP="00463647">
      <w:pPr>
        <w:pStyle w:val="TextChar"/>
        <w:widowControl w:val="0"/>
        <w:spacing w:before="0"/>
        <w:jc w:val="left"/>
        <w:rPr>
          <w:color w:val="000000"/>
          <w:sz w:val="22"/>
          <w:szCs w:val="22"/>
          <w:lang w:val="sv-SE"/>
        </w:rPr>
      </w:pPr>
      <w:r>
        <w:rPr>
          <w:color w:val="000000"/>
          <w:sz w:val="22"/>
          <w:szCs w:val="22"/>
          <w:lang w:val="sv-SE"/>
        </w:rPr>
        <w:t>I resten av denna bipacksedel kommer förkortningarna att användas då man pratar om dessa sjukdomar.</w:t>
      </w:r>
    </w:p>
    <w:p w14:paraId="66495AFA" w14:textId="77777777" w:rsidR="00AB699C" w:rsidRPr="000E7AE9" w:rsidRDefault="00AB699C" w:rsidP="00463647">
      <w:pPr>
        <w:pStyle w:val="TextChar"/>
        <w:widowControl w:val="0"/>
        <w:spacing w:before="0"/>
        <w:jc w:val="left"/>
        <w:rPr>
          <w:color w:val="000000"/>
          <w:sz w:val="22"/>
          <w:szCs w:val="22"/>
          <w:lang w:val="sv-SE"/>
        </w:rPr>
      </w:pPr>
    </w:p>
    <w:p w14:paraId="27340B94" w14:textId="77777777" w:rsidR="00AB699C" w:rsidRPr="000E7AE9" w:rsidRDefault="00AB699C" w:rsidP="00463647">
      <w:pPr>
        <w:pStyle w:val="TextChar"/>
        <w:widowControl w:val="0"/>
        <w:spacing w:before="0"/>
        <w:jc w:val="left"/>
        <w:rPr>
          <w:color w:val="000000"/>
          <w:sz w:val="22"/>
          <w:szCs w:val="22"/>
          <w:lang w:val="sv-SE"/>
        </w:rPr>
      </w:pPr>
      <w:r w:rsidRPr="000E7AE9">
        <w:rPr>
          <w:color w:val="000000"/>
          <w:sz w:val="22"/>
          <w:szCs w:val="22"/>
          <w:lang w:val="sv-SE"/>
        </w:rPr>
        <w:t>Fråga din läkare om du har några frågor om hur detta läkemedel verkar eller varför detta läkemedel har skrivits ut till dig.</w:t>
      </w:r>
    </w:p>
    <w:p w14:paraId="12ACEFAE"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0F73A18F"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62099907" w14:textId="77777777" w:rsidR="00AB699C" w:rsidRPr="000E7AE9" w:rsidRDefault="00AB699C" w:rsidP="009E09A2">
      <w:pPr>
        <w:pStyle w:val="Heading4"/>
        <w:widowControl w:val="0"/>
        <w:spacing w:line="240" w:lineRule="auto"/>
        <w:rPr>
          <w:noProof w:val="0"/>
          <w:color w:val="000000"/>
          <w:szCs w:val="22"/>
          <w:lang w:val="sv-SE"/>
        </w:rPr>
      </w:pPr>
      <w:r w:rsidRPr="000E7AE9">
        <w:rPr>
          <w:noProof w:val="0"/>
          <w:color w:val="000000"/>
          <w:szCs w:val="22"/>
          <w:lang w:val="sv-SE"/>
        </w:rPr>
        <w:t>2.</w:t>
      </w:r>
      <w:r w:rsidRPr="000E7AE9">
        <w:rPr>
          <w:noProof w:val="0"/>
          <w:color w:val="000000"/>
          <w:szCs w:val="22"/>
          <w:lang w:val="sv-SE"/>
        </w:rPr>
        <w:tab/>
      </w:r>
      <w:r>
        <w:rPr>
          <w:noProof w:val="0"/>
          <w:color w:val="000000"/>
          <w:szCs w:val="22"/>
          <w:lang w:val="sv-SE"/>
        </w:rPr>
        <w:t>Vad du behöver veta innan du tar Glivec</w:t>
      </w:r>
    </w:p>
    <w:p w14:paraId="25409695" w14:textId="77777777" w:rsidR="00AB699C" w:rsidRPr="000E7AE9" w:rsidRDefault="00AB699C" w:rsidP="009E09A2">
      <w:pPr>
        <w:keepNext/>
        <w:widowControl w:val="0"/>
        <w:numPr>
          <w:ilvl w:val="12"/>
          <w:numId w:val="0"/>
        </w:numPr>
        <w:tabs>
          <w:tab w:val="clear" w:pos="567"/>
        </w:tabs>
        <w:spacing w:line="240" w:lineRule="auto"/>
        <w:ind w:right="-2"/>
        <w:rPr>
          <w:color w:val="000000"/>
          <w:szCs w:val="22"/>
          <w:lang w:val="sv-SE"/>
        </w:rPr>
      </w:pPr>
    </w:p>
    <w:p w14:paraId="39DDA154" w14:textId="77777777" w:rsidR="00AB699C" w:rsidRPr="000E7AE9" w:rsidRDefault="00AB699C" w:rsidP="00463647">
      <w:pPr>
        <w:pStyle w:val="TextChar"/>
        <w:widowControl w:val="0"/>
        <w:spacing w:before="0"/>
        <w:jc w:val="left"/>
        <w:rPr>
          <w:color w:val="000000"/>
          <w:sz w:val="22"/>
          <w:szCs w:val="22"/>
          <w:lang w:val="sv-SE"/>
        </w:rPr>
      </w:pPr>
      <w:r w:rsidRPr="000E7AE9">
        <w:rPr>
          <w:color w:val="000000"/>
          <w:sz w:val="22"/>
          <w:szCs w:val="22"/>
          <w:lang w:val="sv-SE"/>
        </w:rPr>
        <w:t>Glivec kommer bara att ordineras till dig av läkare med medicinsk erfarenhet av att behandla olika typer av blodcancer eller solida tumörer.</w:t>
      </w:r>
    </w:p>
    <w:p w14:paraId="0682ED22"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p>
    <w:p w14:paraId="67CFEE1E"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r w:rsidRPr="000E7AE9">
        <w:rPr>
          <w:color w:val="000000"/>
          <w:szCs w:val="22"/>
          <w:lang w:val="sv-SE"/>
        </w:rPr>
        <w:t>Följ din läkares alla instruktioner noggrant, även om dessa kan avvika från den allmänna informationen i denna bipacksedel.</w:t>
      </w:r>
    </w:p>
    <w:p w14:paraId="2EEEDAA7"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p>
    <w:p w14:paraId="1C4705C6" w14:textId="77777777" w:rsidR="00AB699C" w:rsidRPr="000E7AE9" w:rsidRDefault="00AB699C" w:rsidP="009E09A2">
      <w:pPr>
        <w:keepNext/>
        <w:widowControl w:val="0"/>
        <w:numPr>
          <w:ilvl w:val="12"/>
          <w:numId w:val="0"/>
        </w:numPr>
        <w:tabs>
          <w:tab w:val="clear" w:pos="567"/>
        </w:tabs>
        <w:spacing w:line="240" w:lineRule="auto"/>
        <w:rPr>
          <w:color w:val="000000"/>
          <w:szCs w:val="22"/>
          <w:lang w:val="sv-SE"/>
        </w:rPr>
      </w:pPr>
      <w:r w:rsidRPr="000E7AE9">
        <w:rPr>
          <w:b/>
          <w:color w:val="000000"/>
          <w:szCs w:val="22"/>
          <w:lang w:val="sv-SE"/>
        </w:rPr>
        <w:t>Ta inte Glivec:</w:t>
      </w:r>
    </w:p>
    <w:p w14:paraId="6BB52CE2" w14:textId="77777777" w:rsidR="00AB699C" w:rsidRDefault="00AB699C" w:rsidP="00463647">
      <w:pPr>
        <w:widowControl w:val="0"/>
        <w:numPr>
          <w:ilvl w:val="12"/>
          <w:numId w:val="0"/>
        </w:numPr>
        <w:tabs>
          <w:tab w:val="clear" w:pos="567"/>
        </w:tabs>
        <w:spacing w:line="240" w:lineRule="auto"/>
        <w:ind w:left="567" w:right="-2" w:hanging="567"/>
        <w:rPr>
          <w:color w:val="000000"/>
          <w:szCs w:val="22"/>
          <w:lang w:val="sv-SE"/>
        </w:rPr>
      </w:pPr>
      <w:r w:rsidRPr="000E7AE9">
        <w:rPr>
          <w:color w:val="000000"/>
          <w:szCs w:val="22"/>
          <w:lang w:val="sv-SE"/>
        </w:rPr>
        <w:t>-</w:t>
      </w:r>
      <w:r w:rsidRPr="000E7AE9">
        <w:rPr>
          <w:color w:val="000000"/>
          <w:szCs w:val="22"/>
          <w:lang w:val="sv-SE"/>
        </w:rPr>
        <w:tab/>
        <w:t xml:space="preserve">om du är allergisk mot imatinib eller något </w:t>
      </w:r>
      <w:r>
        <w:rPr>
          <w:color w:val="000000"/>
          <w:szCs w:val="22"/>
          <w:lang w:val="sv-SE"/>
        </w:rPr>
        <w:t>annat</w:t>
      </w:r>
      <w:r w:rsidRPr="000E7AE9">
        <w:rPr>
          <w:color w:val="000000"/>
          <w:szCs w:val="22"/>
          <w:lang w:val="sv-SE"/>
        </w:rPr>
        <w:t xml:space="preserve"> innehållsämne i </w:t>
      </w:r>
      <w:r>
        <w:rPr>
          <w:color w:val="000000"/>
          <w:szCs w:val="22"/>
          <w:lang w:val="sv-SE"/>
        </w:rPr>
        <w:t>detta läkemedel</w:t>
      </w:r>
      <w:r w:rsidRPr="000E7AE9">
        <w:rPr>
          <w:color w:val="000000"/>
          <w:szCs w:val="22"/>
          <w:lang w:val="sv-SE"/>
        </w:rPr>
        <w:t xml:space="preserve"> </w:t>
      </w:r>
      <w:r>
        <w:rPr>
          <w:color w:val="000000"/>
          <w:szCs w:val="22"/>
          <w:lang w:val="sv-SE"/>
        </w:rPr>
        <w:t>(</w:t>
      </w:r>
      <w:r w:rsidRPr="000E7AE9">
        <w:rPr>
          <w:color w:val="000000"/>
          <w:szCs w:val="22"/>
          <w:lang w:val="sv-SE"/>
        </w:rPr>
        <w:t xml:space="preserve">anges </w:t>
      </w:r>
      <w:r>
        <w:rPr>
          <w:color w:val="000000"/>
          <w:szCs w:val="22"/>
          <w:lang w:val="sv-SE"/>
        </w:rPr>
        <w:t xml:space="preserve">i </w:t>
      </w:r>
      <w:r w:rsidRPr="000E7AE9">
        <w:rPr>
          <w:color w:val="000000"/>
          <w:szCs w:val="22"/>
          <w:lang w:val="sv-SE"/>
        </w:rPr>
        <w:t>avsnitt 6</w:t>
      </w:r>
      <w:r>
        <w:rPr>
          <w:color w:val="000000"/>
          <w:szCs w:val="22"/>
          <w:lang w:val="sv-SE"/>
        </w:rPr>
        <w:t>)</w:t>
      </w:r>
      <w:r w:rsidRPr="000E7AE9">
        <w:rPr>
          <w:color w:val="000000"/>
          <w:szCs w:val="22"/>
          <w:lang w:val="sv-SE"/>
        </w:rPr>
        <w:t>.</w:t>
      </w:r>
    </w:p>
    <w:p w14:paraId="2087BD89" w14:textId="77777777" w:rsidR="00AB699C" w:rsidRDefault="00AB699C" w:rsidP="00463647">
      <w:pPr>
        <w:widowControl w:val="0"/>
        <w:numPr>
          <w:ilvl w:val="12"/>
          <w:numId w:val="0"/>
        </w:numPr>
        <w:tabs>
          <w:tab w:val="clear" w:pos="567"/>
        </w:tabs>
        <w:spacing w:line="240" w:lineRule="auto"/>
        <w:ind w:left="567" w:right="-2" w:hanging="567"/>
        <w:rPr>
          <w:color w:val="000000"/>
          <w:szCs w:val="22"/>
          <w:lang w:val="sv-SE"/>
        </w:rPr>
      </w:pPr>
      <w:r>
        <w:rPr>
          <w:color w:val="000000"/>
          <w:szCs w:val="22"/>
          <w:lang w:val="sv-SE"/>
        </w:rPr>
        <w:t xml:space="preserve">Om detta gäller dig, </w:t>
      </w:r>
      <w:r w:rsidRPr="000145CC">
        <w:rPr>
          <w:b/>
          <w:color w:val="000000"/>
          <w:szCs w:val="22"/>
          <w:lang w:val="sv-SE"/>
        </w:rPr>
        <w:t>ta inte Glivec utan</w:t>
      </w:r>
      <w:r>
        <w:rPr>
          <w:color w:val="000000"/>
          <w:szCs w:val="22"/>
          <w:lang w:val="sv-SE"/>
        </w:rPr>
        <w:t xml:space="preserve"> </w:t>
      </w:r>
      <w:r>
        <w:rPr>
          <w:b/>
          <w:color w:val="000000"/>
          <w:szCs w:val="22"/>
          <w:lang w:val="sv-SE"/>
        </w:rPr>
        <w:t>meddela din läkare</w:t>
      </w:r>
      <w:r w:rsidRPr="002D0995">
        <w:rPr>
          <w:b/>
          <w:color w:val="000000"/>
          <w:szCs w:val="22"/>
          <w:lang w:val="sv-SE"/>
        </w:rPr>
        <w:t>.</w:t>
      </w:r>
    </w:p>
    <w:p w14:paraId="127EE5BF" w14:textId="77777777" w:rsidR="00AB699C" w:rsidRDefault="00AB699C" w:rsidP="00463647">
      <w:pPr>
        <w:widowControl w:val="0"/>
        <w:numPr>
          <w:ilvl w:val="12"/>
          <w:numId w:val="0"/>
        </w:numPr>
        <w:tabs>
          <w:tab w:val="clear" w:pos="567"/>
        </w:tabs>
        <w:spacing w:line="240" w:lineRule="auto"/>
        <w:ind w:left="567" w:right="-2" w:hanging="567"/>
        <w:rPr>
          <w:color w:val="000000"/>
          <w:szCs w:val="22"/>
          <w:lang w:val="sv-SE"/>
        </w:rPr>
      </w:pPr>
    </w:p>
    <w:p w14:paraId="294093F9" w14:textId="77777777" w:rsidR="00AB699C" w:rsidRPr="000E7AE9" w:rsidRDefault="00AB699C" w:rsidP="00463647">
      <w:pPr>
        <w:widowControl w:val="0"/>
        <w:numPr>
          <w:ilvl w:val="12"/>
          <w:numId w:val="0"/>
        </w:numPr>
        <w:tabs>
          <w:tab w:val="clear" w:pos="567"/>
        </w:tabs>
        <w:spacing w:line="240" w:lineRule="auto"/>
        <w:ind w:left="567" w:right="-2" w:hanging="567"/>
        <w:rPr>
          <w:color w:val="000000"/>
          <w:szCs w:val="22"/>
          <w:lang w:val="sv-SE"/>
        </w:rPr>
      </w:pPr>
      <w:r w:rsidRPr="000E7AE9">
        <w:rPr>
          <w:color w:val="000000"/>
          <w:szCs w:val="22"/>
          <w:lang w:val="sv-SE"/>
        </w:rPr>
        <w:t>Om du tror att du kan vara allergisk</w:t>
      </w:r>
      <w:r>
        <w:rPr>
          <w:color w:val="000000"/>
          <w:szCs w:val="22"/>
          <w:lang w:val="sv-SE"/>
        </w:rPr>
        <w:t xml:space="preserve"> men inte är säker</w:t>
      </w:r>
      <w:r w:rsidRPr="000E7AE9">
        <w:rPr>
          <w:color w:val="000000"/>
          <w:szCs w:val="22"/>
          <w:lang w:val="sv-SE"/>
        </w:rPr>
        <w:t>, fråga din läkare ytterligare om råd.</w:t>
      </w:r>
    </w:p>
    <w:p w14:paraId="2D798B27"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p>
    <w:p w14:paraId="2ADC2CE3" w14:textId="77777777" w:rsidR="00AB699C" w:rsidRDefault="00AB699C" w:rsidP="009E09A2">
      <w:pPr>
        <w:keepNext/>
        <w:widowControl w:val="0"/>
        <w:numPr>
          <w:ilvl w:val="12"/>
          <w:numId w:val="0"/>
        </w:numPr>
        <w:tabs>
          <w:tab w:val="clear" w:pos="567"/>
        </w:tabs>
        <w:spacing w:line="240" w:lineRule="auto"/>
        <w:ind w:right="-2"/>
        <w:rPr>
          <w:b/>
          <w:color w:val="000000"/>
          <w:szCs w:val="22"/>
          <w:lang w:val="sv-SE"/>
        </w:rPr>
      </w:pPr>
      <w:r>
        <w:rPr>
          <w:b/>
          <w:color w:val="000000"/>
          <w:szCs w:val="22"/>
          <w:lang w:val="sv-SE"/>
        </w:rPr>
        <w:t>Varningar och försiktighet</w:t>
      </w:r>
    </w:p>
    <w:p w14:paraId="5BB2D283" w14:textId="77777777" w:rsidR="00AB699C" w:rsidRPr="000354E6" w:rsidRDefault="00AB699C" w:rsidP="009E09A2">
      <w:pPr>
        <w:keepNext/>
        <w:widowControl w:val="0"/>
        <w:numPr>
          <w:ilvl w:val="12"/>
          <w:numId w:val="0"/>
        </w:numPr>
        <w:tabs>
          <w:tab w:val="clear" w:pos="567"/>
        </w:tabs>
        <w:spacing w:line="240" w:lineRule="auto"/>
        <w:ind w:right="-2"/>
        <w:rPr>
          <w:color w:val="000000"/>
          <w:szCs w:val="22"/>
          <w:lang w:val="sv-SE"/>
        </w:rPr>
      </w:pPr>
      <w:r>
        <w:rPr>
          <w:color w:val="000000"/>
          <w:szCs w:val="22"/>
          <w:lang w:val="sv-SE"/>
        </w:rPr>
        <w:t>Tala med läkare innan du tar Glivec:</w:t>
      </w:r>
    </w:p>
    <w:p w14:paraId="7642C174" w14:textId="77777777" w:rsidR="00AB699C" w:rsidRPr="000E7AE9" w:rsidRDefault="00AB699C" w:rsidP="00463647">
      <w:pPr>
        <w:widowControl w:val="0"/>
        <w:numPr>
          <w:ilvl w:val="12"/>
          <w:numId w:val="0"/>
        </w:numPr>
        <w:tabs>
          <w:tab w:val="clear" w:pos="567"/>
        </w:tabs>
        <w:spacing w:line="240" w:lineRule="auto"/>
        <w:rPr>
          <w:color w:val="000000"/>
          <w:szCs w:val="22"/>
          <w:lang w:val="sv-SE"/>
        </w:rPr>
      </w:pPr>
      <w:r w:rsidRPr="000E7AE9">
        <w:rPr>
          <w:color w:val="000000"/>
          <w:szCs w:val="22"/>
          <w:lang w:val="sv-SE"/>
        </w:rPr>
        <w:t>-</w:t>
      </w:r>
      <w:r w:rsidRPr="000E7AE9">
        <w:rPr>
          <w:color w:val="000000"/>
          <w:szCs w:val="22"/>
          <w:lang w:val="sv-SE"/>
        </w:rPr>
        <w:tab/>
        <w:t xml:space="preserve">om du har </w:t>
      </w:r>
      <w:r>
        <w:rPr>
          <w:color w:val="000000"/>
          <w:szCs w:val="22"/>
          <w:lang w:val="sv-SE"/>
        </w:rPr>
        <w:t xml:space="preserve">eller har haft </w:t>
      </w:r>
      <w:r w:rsidRPr="000E7AE9">
        <w:rPr>
          <w:color w:val="000000"/>
          <w:szCs w:val="22"/>
          <w:lang w:val="sv-SE"/>
        </w:rPr>
        <w:t>en lever-, njur- eller hjärtsjukdom</w:t>
      </w:r>
      <w:r>
        <w:rPr>
          <w:color w:val="000000"/>
          <w:szCs w:val="22"/>
          <w:lang w:val="sv-SE"/>
        </w:rPr>
        <w:t>.</w:t>
      </w:r>
    </w:p>
    <w:p w14:paraId="7A04857C" w14:textId="77777777" w:rsidR="00AB699C" w:rsidRDefault="00AB699C" w:rsidP="00463647">
      <w:pPr>
        <w:widowControl w:val="0"/>
        <w:tabs>
          <w:tab w:val="clear" w:pos="567"/>
        </w:tabs>
        <w:spacing w:line="240" w:lineRule="auto"/>
        <w:rPr>
          <w:color w:val="000000"/>
          <w:szCs w:val="22"/>
          <w:lang w:val="sv-SE"/>
        </w:rPr>
      </w:pPr>
      <w:r w:rsidRPr="000E7AE9">
        <w:rPr>
          <w:color w:val="000000"/>
          <w:szCs w:val="22"/>
          <w:lang w:val="sv-SE"/>
        </w:rPr>
        <w:t>-</w:t>
      </w:r>
      <w:r w:rsidRPr="000E7AE9">
        <w:rPr>
          <w:color w:val="000000"/>
          <w:szCs w:val="22"/>
          <w:lang w:val="sv-SE"/>
        </w:rPr>
        <w:tab/>
        <w:t xml:space="preserve">om du </w:t>
      </w:r>
      <w:r>
        <w:rPr>
          <w:color w:val="000000"/>
          <w:szCs w:val="22"/>
          <w:lang w:val="sv-SE"/>
        </w:rPr>
        <w:t xml:space="preserve">tar läkemedlet </w:t>
      </w:r>
      <w:r w:rsidRPr="000E7AE9">
        <w:rPr>
          <w:color w:val="000000"/>
          <w:szCs w:val="22"/>
          <w:lang w:val="sv-SE"/>
        </w:rPr>
        <w:t>levotyroxin pga. att din sköldkörtel har tagits bort.</w:t>
      </w:r>
    </w:p>
    <w:p w14:paraId="1A81DA1D" w14:textId="77777777" w:rsidR="00AE1541" w:rsidRDefault="00AE1541" w:rsidP="00463647">
      <w:pPr>
        <w:widowControl w:val="0"/>
        <w:tabs>
          <w:tab w:val="clear" w:pos="567"/>
        </w:tabs>
        <w:spacing w:line="240" w:lineRule="auto"/>
        <w:ind w:left="567" w:hanging="567"/>
        <w:rPr>
          <w:color w:val="000000"/>
          <w:szCs w:val="22"/>
          <w:lang w:val="sv-SE"/>
        </w:rPr>
      </w:pPr>
      <w:r w:rsidRPr="00AE1541">
        <w:rPr>
          <w:color w:val="000000"/>
          <w:szCs w:val="22"/>
          <w:lang w:val="sv-SE"/>
        </w:rPr>
        <w:t>-</w:t>
      </w:r>
      <w:r w:rsidRPr="00AE1541">
        <w:rPr>
          <w:color w:val="000000"/>
          <w:szCs w:val="22"/>
          <w:lang w:val="sv-SE"/>
        </w:rPr>
        <w:tab/>
        <w:t>om</w:t>
      </w:r>
      <w:r>
        <w:rPr>
          <w:color w:val="000000"/>
          <w:szCs w:val="22"/>
          <w:lang w:val="sv-SE"/>
        </w:rPr>
        <w:t xml:space="preserve"> du någonsin haft eller nu kan ha en hepatit B-infektion. Skälet till detta är att Glivec kan orsaka att din hepatit B blir aktiv igen, vilket i vissa fall kan vara dödligt. Patienter kommer att kontrolleras noggrant av sin läkare avseende tecken på denna infektion innan behandlingen påbörjas.</w:t>
      </w:r>
    </w:p>
    <w:p w14:paraId="02994BF4" w14:textId="77777777" w:rsidR="00F72B98" w:rsidRPr="000E7AE9" w:rsidRDefault="00F72B98" w:rsidP="00463647">
      <w:pPr>
        <w:widowControl w:val="0"/>
        <w:tabs>
          <w:tab w:val="clear" w:pos="567"/>
        </w:tabs>
        <w:spacing w:line="240" w:lineRule="auto"/>
        <w:ind w:left="567" w:hanging="567"/>
        <w:rPr>
          <w:color w:val="000000"/>
          <w:szCs w:val="22"/>
          <w:lang w:val="sv-SE"/>
        </w:rPr>
      </w:pPr>
      <w:r w:rsidRPr="006B6245">
        <w:rPr>
          <w:color w:val="000000"/>
          <w:szCs w:val="22"/>
          <w:lang w:val="sv-SE"/>
        </w:rPr>
        <w:t>-</w:t>
      </w:r>
      <w:r w:rsidRPr="006B6245">
        <w:rPr>
          <w:color w:val="000000"/>
          <w:szCs w:val="22"/>
          <w:lang w:val="sv-SE"/>
        </w:rPr>
        <w:tab/>
      </w:r>
      <w:r>
        <w:rPr>
          <w:color w:val="000000"/>
          <w:szCs w:val="22"/>
          <w:lang w:val="sv-SE"/>
        </w:rPr>
        <w:t>om du får blåmärken, blödningar, feber, blir mycket trött och förvirrad när du tar Glivec, kontakta din läkare. Detta kan vara tecken på en skada på blodkärlen som kallas trombotisk mikroangiopati (TMA).</w:t>
      </w:r>
    </w:p>
    <w:p w14:paraId="4E0372B5" w14:textId="77777777" w:rsidR="00AB699C" w:rsidRPr="000E7AE9" w:rsidRDefault="00AB699C" w:rsidP="00463647">
      <w:pPr>
        <w:pStyle w:val="TextChar"/>
        <w:widowControl w:val="0"/>
        <w:spacing w:before="0"/>
        <w:jc w:val="left"/>
        <w:rPr>
          <w:b/>
          <w:color w:val="000000"/>
          <w:sz w:val="22"/>
          <w:szCs w:val="22"/>
          <w:lang w:val="sv-SE"/>
        </w:rPr>
      </w:pPr>
      <w:r w:rsidRPr="000E7AE9">
        <w:rPr>
          <w:color w:val="000000"/>
          <w:sz w:val="22"/>
          <w:szCs w:val="22"/>
          <w:lang w:val="sv-SE"/>
        </w:rPr>
        <w:t xml:space="preserve">Om något av detta stämmer in på dig, </w:t>
      </w:r>
      <w:r w:rsidRPr="000E7AE9">
        <w:rPr>
          <w:b/>
          <w:color w:val="000000"/>
          <w:sz w:val="22"/>
          <w:szCs w:val="22"/>
          <w:lang w:val="sv-SE"/>
        </w:rPr>
        <w:t>tala om det för din läkare innan du tar Glivec.</w:t>
      </w:r>
    </w:p>
    <w:p w14:paraId="755463E4" w14:textId="77777777" w:rsidR="00AB699C" w:rsidRDefault="00AB699C" w:rsidP="00463647">
      <w:pPr>
        <w:widowControl w:val="0"/>
        <w:tabs>
          <w:tab w:val="clear" w:pos="567"/>
        </w:tabs>
        <w:spacing w:line="240" w:lineRule="auto"/>
        <w:rPr>
          <w:color w:val="000000"/>
          <w:szCs w:val="22"/>
          <w:lang w:val="sv-SE"/>
        </w:rPr>
      </w:pPr>
    </w:p>
    <w:p w14:paraId="41892660" w14:textId="77777777" w:rsidR="00965E7B" w:rsidRPr="00965E7B" w:rsidRDefault="00965E7B" w:rsidP="00463647">
      <w:pPr>
        <w:widowControl w:val="0"/>
        <w:tabs>
          <w:tab w:val="clear" w:pos="567"/>
        </w:tabs>
        <w:spacing w:line="240" w:lineRule="auto"/>
        <w:rPr>
          <w:color w:val="000000"/>
          <w:szCs w:val="22"/>
          <w:lang w:val="sv-SE"/>
        </w:rPr>
      </w:pPr>
      <w:r w:rsidRPr="00965E7B">
        <w:rPr>
          <w:color w:val="000000"/>
          <w:szCs w:val="22"/>
          <w:lang w:val="sv-SE"/>
        </w:rPr>
        <w:t>Du kan bli mer känslig för solen medan du tar Glivec. Det är viktigt att täcka utsatta delar av huden och använda solskyddsmedel med hög solskyddsfaktor (SPF). Dessa försiktighetsåtgärder gäller även barn.</w:t>
      </w:r>
    </w:p>
    <w:p w14:paraId="45921727" w14:textId="77777777" w:rsidR="00965E7B" w:rsidRPr="000E7AE9" w:rsidRDefault="00965E7B" w:rsidP="00463647">
      <w:pPr>
        <w:widowControl w:val="0"/>
        <w:tabs>
          <w:tab w:val="clear" w:pos="567"/>
        </w:tabs>
        <w:spacing w:line="240" w:lineRule="auto"/>
        <w:rPr>
          <w:color w:val="000000"/>
          <w:szCs w:val="22"/>
          <w:lang w:val="sv-SE"/>
        </w:rPr>
      </w:pPr>
    </w:p>
    <w:p w14:paraId="108F0AB0" w14:textId="77777777" w:rsidR="00AB699C" w:rsidRPr="000E7AE9" w:rsidRDefault="00AB699C" w:rsidP="00463647">
      <w:pPr>
        <w:widowControl w:val="0"/>
        <w:tabs>
          <w:tab w:val="clear" w:pos="567"/>
        </w:tabs>
        <w:spacing w:line="240" w:lineRule="auto"/>
        <w:rPr>
          <w:color w:val="000000"/>
          <w:szCs w:val="22"/>
          <w:lang w:val="sv-SE"/>
        </w:rPr>
      </w:pPr>
      <w:r w:rsidRPr="000354E6">
        <w:rPr>
          <w:b/>
          <w:color w:val="000000"/>
          <w:szCs w:val="22"/>
          <w:lang w:val="sv-SE"/>
        </w:rPr>
        <w:t>Vid</w:t>
      </w:r>
      <w:r>
        <w:rPr>
          <w:b/>
          <w:color w:val="000000"/>
          <w:szCs w:val="22"/>
          <w:lang w:val="sv-SE"/>
        </w:rPr>
        <w:t xml:space="preserve"> behandling med Glivec meddela</w:t>
      </w:r>
      <w:r w:rsidRPr="000354E6">
        <w:rPr>
          <w:b/>
          <w:color w:val="000000"/>
          <w:szCs w:val="22"/>
          <w:lang w:val="sv-SE"/>
        </w:rPr>
        <w:t xml:space="preserve"> din läkare omedelbart</w:t>
      </w:r>
      <w:r>
        <w:rPr>
          <w:color w:val="000000"/>
          <w:szCs w:val="22"/>
          <w:lang w:val="sv-SE"/>
        </w:rPr>
        <w:t xml:space="preserve"> </w:t>
      </w:r>
      <w:r w:rsidRPr="000E7AE9">
        <w:rPr>
          <w:color w:val="000000"/>
          <w:szCs w:val="22"/>
          <w:lang w:val="sv-SE"/>
        </w:rPr>
        <w:t>om du snabbt ökar i vikt.</w:t>
      </w:r>
      <w:r>
        <w:rPr>
          <w:color w:val="000000"/>
          <w:szCs w:val="22"/>
          <w:lang w:val="sv-SE"/>
        </w:rPr>
        <w:t xml:space="preserve"> Glivec kan göra att din kropp binder vätska (kraftig vätskeretention).</w:t>
      </w:r>
    </w:p>
    <w:p w14:paraId="5A99BB68" w14:textId="77777777" w:rsidR="00AB699C" w:rsidRPr="000E7AE9" w:rsidRDefault="00AB699C" w:rsidP="00463647">
      <w:pPr>
        <w:widowControl w:val="0"/>
        <w:tabs>
          <w:tab w:val="clear" w:pos="567"/>
        </w:tabs>
        <w:spacing w:line="240" w:lineRule="auto"/>
        <w:rPr>
          <w:color w:val="000000"/>
          <w:szCs w:val="22"/>
          <w:lang w:val="sv-SE"/>
        </w:rPr>
      </w:pPr>
    </w:p>
    <w:p w14:paraId="56B76AD5" w14:textId="77777777" w:rsidR="00AB699C" w:rsidRPr="000E7AE9" w:rsidRDefault="00AB699C" w:rsidP="00463647">
      <w:pPr>
        <w:widowControl w:val="0"/>
        <w:tabs>
          <w:tab w:val="clear" w:pos="567"/>
        </w:tabs>
        <w:spacing w:line="240" w:lineRule="auto"/>
        <w:rPr>
          <w:color w:val="000000"/>
          <w:szCs w:val="22"/>
          <w:lang w:val="sv-SE"/>
        </w:rPr>
      </w:pPr>
      <w:r>
        <w:rPr>
          <w:color w:val="000000"/>
          <w:szCs w:val="22"/>
          <w:lang w:val="sv-SE"/>
        </w:rPr>
        <w:t xml:space="preserve">När du tar Glivec </w:t>
      </w:r>
      <w:r w:rsidRPr="000E7AE9">
        <w:rPr>
          <w:color w:val="000000"/>
          <w:szCs w:val="22"/>
          <w:lang w:val="sv-SE"/>
        </w:rPr>
        <w:t xml:space="preserve">kommer din läkare </w:t>
      </w:r>
      <w:r>
        <w:rPr>
          <w:color w:val="000000"/>
          <w:szCs w:val="22"/>
          <w:lang w:val="sv-SE"/>
        </w:rPr>
        <w:t>regelbundet kontrollera om läkemedlet fungerar.</w:t>
      </w:r>
      <w:r w:rsidRPr="000E7AE9">
        <w:rPr>
          <w:color w:val="000000"/>
          <w:szCs w:val="22"/>
          <w:lang w:val="sv-SE"/>
        </w:rPr>
        <w:t xml:space="preserve"> Du kommer också att lämna blodprover och vägas regelbundet</w:t>
      </w:r>
      <w:r>
        <w:rPr>
          <w:color w:val="000000"/>
          <w:szCs w:val="22"/>
          <w:lang w:val="sv-SE"/>
        </w:rPr>
        <w:t>.</w:t>
      </w:r>
    </w:p>
    <w:p w14:paraId="558A565A"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371FA6E5" w14:textId="77777777" w:rsidR="00AB699C" w:rsidRPr="00471521" w:rsidRDefault="00AB699C" w:rsidP="009E09A2">
      <w:pPr>
        <w:pStyle w:val="EndnoteText"/>
        <w:keepNext/>
        <w:widowControl w:val="0"/>
        <w:numPr>
          <w:ilvl w:val="12"/>
          <w:numId w:val="0"/>
        </w:numPr>
        <w:tabs>
          <w:tab w:val="clear" w:pos="567"/>
        </w:tabs>
        <w:rPr>
          <w:b/>
          <w:color w:val="000000"/>
          <w:szCs w:val="22"/>
          <w:lang w:val="sv-SE"/>
        </w:rPr>
      </w:pPr>
      <w:r w:rsidRPr="00471521">
        <w:rPr>
          <w:b/>
          <w:color w:val="000000"/>
          <w:szCs w:val="22"/>
          <w:lang w:val="sv-SE"/>
        </w:rPr>
        <w:t xml:space="preserve">Barn och </w:t>
      </w:r>
      <w:r w:rsidR="00E27E52">
        <w:rPr>
          <w:b/>
          <w:color w:val="000000"/>
          <w:szCs w:val="22"/>
          <w:lang w:val="sv-SE"/>
        </w:rPr>
        <w:t>ungdomar</w:t>
      </w:r>
    </w:p>
    <w:p w14:paraId="54525DC1" w14:textId="77777777" w:rsidR="00EA70F8" w:rsidRDefault="00AB699C" w:rsidP="00463647">
      <w:pPr>
        <w:pStyle w:val="EndnoteText"/>
        <w:widowControl w:val="0"/>
        <w:numPr>
          <w:ilvl w:val="12"/>
          <w:numId w:val="0"/>
        </w:numPr>
        <w:tabs>
          <w:tab w:val="clear" w:pos="567"/>
        </w:tabs>
        <w:rPr>
          <w:color w:val="000000"/>
          <w:szCs w:val="22"/>
          <w:lang w:val="sv-SE"/>
        </w:rPr>
      </w:pPr>
      <w:r w:rsidRPr="000E7AE9">
        <w:rPr>
          <w:color w:val="000000"/>
          <w:szCs w:val="22"/>
          <w:lang w:val="sv-SE"/>
        </w:rPr>
        <w:t xml:space="preserve">Glivec är </w:t>
      </w:r>
      <w:r>
        <w:rPr>
          <w:color w:val="000000"/>
          <w:szCs w:val="22"/>
          <w:lang w:val="sv-SE"/>
        </w:rPr>
        <w:t xml:space="preserve">även </w:t>
      </w:r>
      <w:r w:rsidRPr="000E7AE9">
        <w:rPr>
          <w:color w:val="000000"/>
          <w:szCs w:val="22"/>
          <w:lang w:val="sv-SE"/>
        </w:rPr>
        <w:t>en behandling för barn med KML. Det finns ingen erfarenhet från barn med KML under 2 år. Det finns begränsad erfarenhet från barn med Ph-positiv</w:t>
      </w:r>
      <w:r w:rsidRPr="000E7AE9" w:rsidDel="00166157">
        <w:rPr>
          <w:color w:val="000000"/>
          <w:szCs w:val="22"/>
          <w:lang w:val="sv-SE"/>
        </w:rPr>
        <w:t xml:space="preserve"> </w:t>
      </w:r>
      <w:r w:rsidRPr="000E7AE9">
        <w:rPr>
          <w:color w:val="000000"/>
          <w:szCs w:val="22"/>
          <w:lang w:val="sv-SE"/>
        </w:rPr>
        <w:t>ALL</w:t>
      </w:r>
      <w:r w:rsidR="00D337EC" w:rsidRPr="00D337EC">
        <w:rPr>
          <w:color w:val="000000"/>
          <w:szCs w:val="22"/>
          <w:lang w:val="sv-SE"/>
        </w:rPr>
        <w:t xml:space="preserve"> </w:t>
      </w:r>
      <w:r w:rsidR="00D337EC">
        <w:rPr>
          <w:color w:val="000000"/>
          <w:szCs w:val="22"/>
          <w:lang w:val="sv-SE"/>
        </w:rPr>
        <w:t>och mycket begränsad erfarenhet från barn med MDS/MPD, DFSP, GIST och HES/CEL</w:t>
      </w:r>
      <w:r w:rsidR="00D337EC" w:rsidRPr="000E7AE9">
        <w:rPr>
          <w:color w:val="000000"/>
          <w:szCs w:val="22"/>
          <w:lang w:val="sv-SE"/>
        </w:rPr>
        <w:t>.</w:t>
      </w:r>
    </w:p>
    <w:p w14:paraId="76E3A8A6" w14:textId="77777777" w:rsidR="00AB699C" w:rsidRDefault="00AB699C" w:rsidP="00463647">
      <w:pPr>
        <w:pStyle w:val="EndnoteText"/>
        <w:widowControl w:val="0"/>
        <w:numPr>
          <w:ilvl w:val="12"/>
          <w:numId w:val="0"/>
        </w:numPr>
        <w:tabs>
          <w:tab w:val="clear" w:pos="567"/>
        </w:tabs>
        <w:rPr>
          <w:color w:val="000000"/>
          <w:szCs w:val="22"/>
          <w:lang w:val="sv-SE"/>
        </w:rPr>
      </w:pPr>
    </w:p>
    <w:p w14:paraId="16C9EBF5" w14:textId="77777777" w:rsidR="00AB699C" w:rsidRPr="007C7ADA" w:rsidRDefault="00AB699C" w:rsidP="00463647">
      <w:pPr>
        <w:pStyle w:val="EndnoteText"/>
        <w:widowControl w:val="0"/>
        <w:numPr>
          <w:ilvl w:val="12"/>
          <w:numId w:val="0"/>
        </w:numPr>
        <w:tabs>
          <w:tab w:val="clear" w:pos="567"/>
        </w:tabs>
        <w:rPr>
          <w:color w:val="000000"/>
          <w:szCs w:val="22"/>
          <w:lang w:val="sv-SE"/>
        </w:rPr>
      </w:pPr>
      <w:r w:rsidRPr="00CE607D">
        <w:rPr>
          <w:color w:val="000000"/>
          <w:szCs w:val="22"/>
          <w:lang w:val="sv-SE"/>
        </w:rPr>
        <w:t xml:space="preserve">En del barn och ungdomar som tar Glivec kan växa långsammare än normalt. </w:t>
      </w:r>
      <w:r w:rsidRPr="007C7ADA">
        <w:rPr>
          <w:color w:val="000000"/>
          <w:szCs w:val="22"/>
          <w:lang w:val="sv-SE"/>
        </w:rPr>
        <w:t>Läkaren kommer regelbundet att kontrollera din tillväxt.</w:t>
      </w:r>
    </w:p>
    <w:p w14:paraId="5B6DCF06"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1EABFBCA" w14:textId="77777777" w:rsidR="00AB699C" w:rsidRPr="000E7AE9" w:rsidRDefault="00AB699C" w:rsidP="009E09A2">
      <w:pPr>
        <w:keepNext/>
        <w:widowControl w:val="0"/>
        <w:numPr>
          <w:ilvl w:val="12"/>
          <w:numId w:val="0"/>
        </w:numPr>
        <w:tabs>
          <w:tab w:val="clear" w:pos="567"/>
        </w:tabs>
        <w:spacing w:line="240" w:lineRule="auto"/>
        <w:ind w:right="-2"/>
        <w:rPr>
          <w:color w:val="000000"/>
          <w:szCs w:val="22"/>
          <w:lang w:val="sv-SE"/>
        </w:rPr>
      </w:pPr>
      <w:r>
        <w:rPr>
          <w:b/>
          <w:color w:val="000000"/>
          <w:szCs w:val="22"/>
          <w:lang w:val="sv-SE"/>
        </w:rPr>
        <w:lastRenderedPageBreak/>
        <w:t>A</w:t>
      </w:r>
      <w:r w:rsidRPr="000E7AE9">
        <w:rPr>
          <w:b/>
          <w:color w:val="000000"/>
          <w:szCs w:val="22"/>
          <w:lang w:val="sv-SE"/>
        </w:rPr>
        <w:t>ndra läkemedel</w:t>
      </w:r>
      <w:r>
        <w:rPr>
          <w:b/>
          <w:color w:val="000000"/>
          <w:szCs w:val="22"/>
          <w:lang w:val="sv-SE"/>
        </w:rPr>
        <w:t xml:space="preserve"> och Glivec</w:t>
      </w:r>
    </w:p>
    <w:p w14:paraId="46E7295B" w14:textId="7B3C1298" w:rsidR="00AB699C" w:rsidRPr="000E7AE9" w:rsidRDefault="00AB699C" w:rsidP="00463647">
      <w:pPr>
        <w:pStyle w:val="EndnoteText"/>
        <w:widowControl w:val="0"/>
        <w:numPr>
          <w:ilvl w:val="12"/>
          <w:numId w:val="0"/>
        </w:numPr>
        <w:tabs>
          <w:tab w:val="clear" w:pos="567"/>
        </w:tabs>
        <w:rPr>
          <w:noProof/>
          <w:color w:val="000000"/>
          <w:szCs w:val="22"/>
          <w:lang w:val="sv-SE"/>
        </w:rPr>
      </w:pPr>
      <w:r w:rsidRPr="000E7AE9">
        <w:rPr>
          <w:noProof/>
          <w:color w:val="000000"/>
          <w:szCs w:val="22"/>
          <w:lang w:val="sv-SE"/>
        </w:rPr>
        <w:t>Tala om för läkare eller apotekspersonal om du tar</w:t>
      </w:r>
      <w:r>
        <w:rPr>
          <w:noProof/>
          <w:color w:val="000000"/>
          <w:szCs w:val="22"/>
          <w:lang w:val="sv-SE"/>
        </w:rPr>
        <w:t>,</w:t>
      </w:r>
      <w:r w:rsidRPr="000E7AE9">
        <w:rPr>
          <w:noProof/>
          <w:color w:val="000000"/>
          <w:szCs w:val="22"/>
          <w:lang w:val="sv-SE"/>
        </w:rPr>
        <w:t xml:space="preserve"> nyligen har tagit</w:t>
      </w:r>
      <w:r>
        <w:rPr>
          <w:noProof/>
          <w:color w:val="000000"/>
          <w:szCs w:val="22"/>
          <w:lang w:val="sv-SE"/>
        </w:rPr>
        <w:t xml:space="preserve"> eller kan tänkas ta</w:t>
      </w:r>
      <w:r w:rsidRPr="000E7AE9">
        <w:rPr>
          <w:noProof/>
          <w:color w:val="000000"/>
          <w:szCs w:val="22"/>
          <w:lang w:val="sv-SE"/>
        </w:rPr>
        <w:t xml:space="preserve"> andra läkemedel, även receptfria sådana (t.ex. paracetamol) och även växtbaserade läkemedel (t.ex. johannesört). Vissa läkemedel kan ha inverkan på Glivecs effekt när de tages tillsammans. De kan öka eller minska effekten hos Glivec och antingen leda till mer biverkningar eller till att göra Glivec </w:t>
      </w:r>
      <w:r>
        <w:rPr>
          <w:noProof/>
          <w:color w:val="000000"/>
          <w:szCs w:val="22"/>
          <w:lang w:val="sv-SE"/>
        </w:rPr>
        <w:t xml:space="preserve">mindre </w:t>
      </w:r>
      <w:r w:rsidRPr="000E7AE9">
        <w:rPr>
          <w:noProof/>
          <w:color w:val="000000"/>
          <w:szCs w:val="22"/>
          <w:lang w:val="sv-SE"/>
        </w:rPr>
        <w:t>effektivt. Glivec kan göra samma sak mot vissa andra läkemedel.</w:t>
      </w:r>
    </w:p>
    <w:p w14:paraId="2D2A7202" w14:textId="77777777" w:rsidR="00AB699C" w:rsidRDefault="00AB699C" w:rsidP="00463647">
      <w:pPr>
        <w:pStyle w:val="EndnoteText"/>
        <w:widowControl w:val="0"/>
        <w:numPr>
          <w:ilvl w:val="12"/>
          <w:numId w:val="0"/>
        </w:numPr>
        <w:tabs>
          <w:tab w:val="clear" w:pos="567"/>
        </w:tabs>
        <w:rPr>
          <w:color w:val="000000"/>
          <w:szCs w:val="22"/>
          <w:lang w:val="sv-SE"/>
        </w:rPr>
      </w:pPr>
    </w:p>
    <w:p w14:paraId="50648A6C" w14:textId="77777777" w:rsidR="005856F0" w:rsidRDefault="005856F0" w:rsidP="00463647">
      <w:pPr>
        <w:pStyle w:val="EndnoteText"/>
        <w:widowControl w:val="0"/>
        <w:numPr>
          <w:ilvl w:val="12"/>
          <w:numId w:val="0"/>
        </w:numPr>
        <w:tabs>
          <w:tab w:val="clear" w:pos="567"/>
        </w:tabs>
        <w:rPr>
          <w:color w:val="000000"/>
          <w:szCs w:val="22"/>
          <w:lang w:val="sv-SE"/>
        </w:rPr>
      </w:pPr>
      <w:r>
        <w:rPr>
          <w:color w:val="000000"/>
          <w:szCs w:val="22"/>
          <w:lang w:val="sv-SE"/>
        </w:rPr>
        <w:t xml:space="preserve">Tala om för läkare om du använder läkemedel som förhindrar bildningen av </w:t>
      </w:r>
      <w:r w:rsidRPr="0003204B">
        <w:rPr>
          <w:color w:val="000000"/>
          <w:szCs w:val="22"/>
          <w:lang w:val="sv-SE"/>
        </w:rPr>
        <w:t>blod</w:t>
      </w:r>
      <w:r>
        <w:rPr>
          <w:color w:val="000000"/>
          <w:szCs w:val="22"/>
          <w:lang w:val="sv-SE"/>
        </w:rPr>
        <w:t>proppar.</w:t>
      </w:r>
    </w:p>
    <w:p w14:paraId="3C1F26F4" w14:textId="77777777" w:rsidR="005856F0" w:rsidRPr="000E7AE9" w:rsidRDefault="005856F0" w:rsidP="00463647">
      <w:pPr>
        <w:pStyle w:val="EndnoteText"/>
        <w:widowControl w:val="0"/>
        <w:numPr>
          <w:ilvl w:val="12"/>
          <w:numId w:val="0"/>
        </w:numPr>
        <w:tabs>
          <w:tab w:val="clear" w:pos="567"/>
        </w:tabs>
        <w:rPr>
          <w:color w:val="000000"/>
          <w:szCs w:val="22"/>
          <w:lang w:val="sv-SE"/>
        </w:rPr>
      </w:pPr>
    </w:p>
    <w:p w14:paraId="122630B1" w14:textId="77777777" w:rsidR="00AB699C" w:rsidRPr="000E7AE9" w:rsidRDefault="00AB699C" w:rsidP="009E09A2">
      <w:pPr>
        <w:pStyle w:val="EndnoteText"/>
        <w:keepNext/>
        <w:widowControl w:val="0"/>
        <w:numPr>
          <w:ilvl w:val="12"/>
          <w:numId w:val="0"/>
        </w:numPr>
        <w:tabs>
          <w:tab w:val="clear" w:pos="567"/>
        </w:tabs>
        <w:rPr>
          <w:b/>
          <w:color w:val="000000"/>
          <w:szCs w:val="22"/>
          <w:lang w:val="sv-SE"/>
        </w:rPr>
      </w:pPr>
      <w:r w:rsidRPr="000E7AE9">
        <w:rPr>
          <w:b/>
          <w:color w:val="000000"/>
          <w:szCs w:val="22"/>
          <w:lang w:val="sv-SE"/>
        </w:rPr>
        <w:t>Graviditet</w:t>
      </w:r>
      <w:r>
        <w:rPr>
          <w:b/>
          <w:color w:val="000000"/>
          <w:szCs w:val="22"/>
          <w:lang w:val="sv-SE"/>
        </w:rPr>
        <w:t>,</w:t>
      </w:r>
      <w:r w:rsidRPr="000E7AE9">
        <w:rPr>
          <w:b/>
          <w:color w:val="000000"/>
          <w:szCs w:val="22"/>
          <w:lang w:val="sv-SE"/>
        </w:rPr>
        <w:t xml:space="preserve"> amning</w:t>
      </w:r>
      <w:r>
        <w:rPr>
          <w:b/>
          <w:color w:val="000000"/>
          <w:szCs w:val="22"/>
          <w:lang w:val="sv-SE"/>
        </w:rPr>
        <w:t xml:space="preserve"> och fertilitet</w:t>
      </w:r>
    </w:p>
    <w:p w14:paraId="5E26A5CE" w14:textId="77777777" w:rsidR="00AB699C" w:rsidRDefault="00AB699C" w:rsidP="00463647">
      <w:pPr>
        <w:widowControl w:val="0"/>
        <w:numPr>
          <w:ilvl w:val="12"/>
          <w:numId w:val="0"/>
        </w:numPr>
        <w:tabs>
          <w:tab w:val="clear" w:pos="567"/>
        </w:tabs>
        <w:spacing w:line="240" w:lineRule="auto"/>
        <w:ind w:left="567" w:hanging="567"/>
        <w:rPr>
          <w:b/>
          <w:color w:val="000000"/>
          <w:szCs w:val="22"/>
          <w:lang w:val="sv-SE"/>
        </w:rPr>
      </w:pPr>
      <w:r w:rsidRPr="000E7AE9">
        <w:rPr>
          <w:color w:val="000000"/>
          <w:szCs w:val="22"/>
          <w:lang w:val="sv-SE"/>
        </w:rPr>
        <w:t>-</w:t>
      </w:r>
      <w:r w:rsidRPr="000E7AE9">
        <w:rPr>
          <w:color w:val="000000"/>
          <w:szCs w:val="22"/>
          <w:lang w:val="sv-SE"/>
        </w:rPr>
        <w:tab/>
      </w:r>
      <w:r>
        <w:rPr>
          <w:color w:val="000000"/>
          <w:szCs w:val="22"/>
          <w:lang w:val="sv-SE"/>
        </w:rPr>
        <w:t xml:space="preserve">Om du är gravid eller ammar, tror att du kan vara gravid eller planerar att skaffa barn, rådfråga läkare innan du </w:t>
      </w:r>
      <w:r w:rsidR="00E27E52">
        <w:rPr>
          <w:color w:val="000000"/>
          <w:szCs w:val="22"/>
          <w:lang w:val="sv-SE"/>
        </w:rPr>
        <w:t>använder</w:t>
      </w:r>
      <w:r>
        <w:rPr>
          <w:color w:val="000000"/>
          <w:szCs w:val="22"/>
          <w:lang w:val="sv-SE"/>
        </w:rPr>
        <w:t xml:space="preserve"> detta läkemedel.</w:t>
      </w:r>
    </w:p>
    <w:p w14:paraId="0BB3AFD3" w14:textId="77777777" w:rsidR="00AB699C" w:rsidRPr="000E7AE9" w:rsidRDefault="00AB699C" w:rsidP="00463647">
      <w:pPr>
        <w:widowControl w:val="0"/>
        <w:numPr>
          <w:ilvl w:val="12"/>
          <w:numId w:val="0"/>
        </w:numPr>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t xml:space="preserve">Glivec </w:t>
      </w:r>
      <w:r>
        <w:rPr>
          <w:color w:val="000000"/>
          <w:szCs w:val="22"/>
          <w:lang w:val="sv-SE"/>
        </w:rPr>
        <w:t>rekommenderas inte</w:t>
      </w:r>
      <w:r w:rsidRPr="000E7AE9">
        <w:rPr>
          <w:color w:val="000000"/>
          <w:szCs w:val="22"/>
          <w:lang w:val="sv-SE"/>
        </w:rPr>
        <w:t xml:space="preserve"> under graviditet såvida det inte är nödvändigt</w:t>
      </w:r>
      <w:r>
        <w:rPr>
          <w:color w:val="000000"/>
          <w:szCs w:val="22"/>
          <w:lang w:val="sv-SE"/>
        </w:rPr>
        <w:t xml:space="preserve"> då det kan skada ditt barn</w:t>
      </w:r>
      <w:r w:rsidRPr="000E7AE9">
        <w:rPr>
          <w:color w:val="000000"/>
          <w:szCs w:val="22"/>
          <w:lang w:val="sv-SE"/>
        </w:rPr>
        <w:t xml:space="preserve">. Din läkare kommer att diskutera </w:t>
      </w:r>
      <w:r>
        <w:rPr>
          <w:color w:val="000000"/>
          <w:szCs w:val="22"/>
          <w:lang w:val="sv-SE"/>
        </w:rPr>
        <w:t xml:space="preserve">möjliga </w:t>
      </w:r>
      <w:r w:rsidRPr="000E7AE9">
        <w:rPr>
          <w:color w:val="000000"/>
          <w:szCs w:val="22"/>
          <w:lang w:val="sv-SE"/>
        </w:rPr>
        <w:t>risker med att ta Glivec under graviditet.</w:t>
      </w:r>
    </w:p>
    <w:p w14:paraId="076CD8EB" w14:textId="77777777" w:rsidR="00AB699C" w:rsidRPr="000E7AE9" w:rsidRDefault="00AB699C" w:rsidP="00463647">
      <w:pPr>
        <w:widowControl w:val="0"/>
        <w:numPr>
          <w:ilvl w:val="12"/>
          <w:numId w:val="0"/>
        </w:numPr>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t>Kvinnor som kan komma att bli gravida rekommenderas att använda effektiv preventivmetod under behandlingen</w:t>
      </w:r>
      <w:r w:rsidR="009F6610">
        <w:rPr>
          <w:color w:val="000000"/>
          <w:szCs w:val="22"/>
          <w:lang w:val="sv-SE"/>
        </w:rPr>
        <w:t xml:space="preserve"> och under 15 dagar efter avslutad behandling</w:t>
      </w:r>
      <w:r w:rsidRPr="000E7AE9">
        <w:rPr>
          <w:color w:val="000000"/>
          <w:szCs w:val="22"/>
          <w:lang w:val="sv-SE"/>
        </w:rPr>
        <w:t>.</w:t>
      </w:r>
    </w:p>
    <w:p w14:paraId="75CA69BD" w14:textId="4AA255B1" w:rsidR="00AB699C" w:rsidRDefault="00AB699C" w:rsidP="006861E6">
      <w:pPr>
        <w:widowControl w:val="0"/>
        <w:numPr>
          <w:ilvl w:val="12"/>
          <w:numId w:val="0"/>
        </w:numPr>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r>
      <w:r w:rsidRPr="00BC30FA">
        <w:rPr>
          <w:color w:val="000000"/>
          <w:szCs w:val="22"/>
          <w:lang w:val="sv-SE"/>
        </w:rPr>
        <w:t>Amma inte</w:t>
      </w:r>
      <w:r w:rsidRPr="000E7AE9">
        <w:rPr>
          <w:color w:val="000000"/>
          <w:szCs w:val="22"/>
          <w:lang w:val="sv-SE"/>
        </w:rPr>
        <w:t xml:space="preserve"> under behandling med Glivec</w:t>
      </w:r>
      <w:r w:rsidR="009F6610">
        <w:rPr>
          <w:color w:val="000000"/>
          <w:szCs w:val="22"/>
          <w:lang w:val="sv-SE"/>
        </w:rPr>
        <w:t xml:space="preserve"> och under 15 dagar efter </w:t>
      </w:r>
      <w:r w:rsidR="000F4462">
        <w:rPr>
          <w:color w:val="000000"/>
          <w:szCs w:val="22"/>
          <w:lang w:val="sv-SE"/>
        </w:rPr>
        <w:t xml:space="preserve">behandlingen </w:t>
      </w:r>
      <w:r w:rsidR="009F6610">
        <w:rPr>
          <w:color w:val="000000"/>
          <w:szCs w:val="22"/>
          <w:lang w:val="sv-SE"/>
        </w:rPr>
        <w:t>avsluta</w:t>
      </w:r>
      <w:r w:rsidR="000F4462">
        <w:rPr>
          <w:color w:val="000000"/>
          <w:szCs w:val="22"/>
          <w:lang w:val="sv-SE"/>
        </w:rPr>
        <w:t>ts</w:t>
      </w:r>
      <w:r w:rsidR="009F6610">
        <w:rPr>
          <w:color w:val="000000"/>
          <w:szCs w:val="22"/>
          <w:lang w:val="sv-SE"/>
        </w:rPr>
        <w:t xml:space="preserve"> eftersom det kan </w:t>
      </w:r>
      <w:r w:rsidR="005E4EB9">
        <w:rPr>
          <w:color w:val="000000"/>
          <w:szCs w:val="22"/>
          <w:lang w:val="sv-SE"/>
        </w:rPr>
        <w:t>vara skadligt för</w:t>
      </w:r>
      <w:r w:rsidR="009F6610">
        <w:rPr>
          <w:color w:val="000000"/>
          <w:szCs w:val="22"/>
          <w:lang w:val="sv-SE"/>
        </w:rPr>
        <w:t xml:space="preserve"> ditt barn</w:t>
      </w:r>
      <w:r w:rsidRPr="000E7AE9">
        <w:rPr>
          <w:color w:val="000000"/>
          <w:szCs w:val="22"/>
          <w:lang w:val="sv-SE"/>
        </w:rPr>
        <w:t>.</w:t>
      </w:r>
    </w:p>
    <w:p w14:paraId="7147649A" w14:textId="77777777" w:rsidR="00AB699C" w:rsidRPr="000E7AE9" w:rsidRDefault="00AB699C" w:rsidP="00463647">
      <w:pPr>
        <w:widowControl w:val="0"/>
        <w:numPr>
          <w:ilvl w:val="12"/>
          <w:numId w:val="0"/>
        </w:numPr>
        <w:tabs>
          <w:tab w:val="clear" w:pos="567"/>
        </w:tabs>
        <w:spacing w:line="240" w:lineRule="auto"/>
        <w:ind w:left="567" w:hanging="567"/>
        <w:rPr>
          <w:color w:val="000000"/>
          <w:szCs w:val="22"/>
          <w:lang w:val="sv-SE"/>
        </w:rPr>
      </w:pPr>
      <w:r w:rsidRPr="000E7AE9">
        <w:rPr>
          <w:color w:val="000000"/>
          <w:szCs w:val="22"/>
          <w:lang w:val="sv-SE"/>
        </w:rPr>
        <w:t>-</w:t>
      </w:r>
      <w:r w:rsidRPr="000E7AE9">
        <w:rPr>
          <w:color w:val="000000"/>
          <w:szCs w:val="22"/>
          <w:lang w:val="sv-SE"/>
        </w:rPr>
        <w:tab/>
      </w:r>
      <w:r>
        <w:rPr>
          <w:color w:val="000000"/>
          <w:szCs w:val="22"/>
          <w:lang w:val="sv-SE"/>
        </w:rPr>
        <w:t>Patienter som är oroliga över sin fertilitet vid intag av Glivec rekommenderas att rådgöra med sin läkare.</w:t>
      </w:r>
    </w:p>
    <w:p w14:paraId="5AEB6C58" w14:textId="77777777" w:rsidR="00AB699C" w:rsidRPr="000E7AE9" w:rsidRDefault="00AB699C" w:rsidP="00463647">
      <w:pPr>
        <w:widowControl w:val="0"/>
        <w:numPr>
          <w:ilvl w:val="12"/>
          <w:numId w:val="0"/>
        </w:numPr>
        <w:tabs>
          <w:tab w:val="clear" w:pos="567"/>
        </w:tabs>
        <w:spacing w:line="240" w:lineRule="auto"/>
        <w:rPr>
          <w:color w:val="000000"/>
          <w:szCs w:val="22"/>
          <w:lang w:val="sv-SE"/>
        </w:rPr>
      </w:pPr>
    </w:p>
    <w:p w14:paraId="14A84450" w14:textId="77777777" w:rsidR="00AB699C" w:rsidRPr="000E7AE9" w:rsidRDefault="00AB699C" w:rsidP="009E09A2">
      <w:pPr>
        <w:keepNext/>
        <w:widowControl w:val="0"/>
        <w:numPr>
          <w:ilvl w:val="12"/>
          <w:numId w:val="0"/>
        </w:numPr>
        <w:tabs>
          <w:tab w:val="clear" w:pos="567"/>
        </w:tabs>
        <w:spacing w:line="240" w:lineRule="auto"/>
        <w:ind w:right="-2"/>
        <w:rPr>
          <w:color w:val="000000"/>
          <w:szCs w:val="22"/>
          <w:lang w:val="sv-SE"/>
        </w:rPr>
      </w:pPr>
      <w:r w:rsidRPr="000E7AE9">
        <w:rPr>
          <w:b/>
          <w:color w:val="000000"/>
          <w:szCs w:val="22"/>
          <w:lang w:val="sv-SE"/>
        </w:rPr>
        <w:t>Körförmåga och användning av maskiner</w:t>
      </w:r>
    </w:p>
    <w:p w14:paraId="16516A76" w14:textId="77777777" w:rsidR="00AB699C" w:rsidRPr="000E7AE9" w:rsidRDefault="00AB699C" w:rsidP="00463647">
      <w:pPr>
        <w:widowControl w:val="0"/>
        <w:numPr>
          <w:ilvl w:val="12"/>
          <w:numId w:val="0"/>
        </w:numPr>
        <w:tabs>
          <w:tab w:val="clear" w:pos="567"/>
        </w:tabs>
        <w:spacing w:line="240" w:lineRule="auto"/>
        <w:ind w:right="-29"/>
        <w:rPr>
          <w:color w:val="000000"/>
          <w:szCs w:val="22"/>
          <w:lang w:val="sv-SE"/>
        </w:rPr>
      </w:pPr>
      <w:r>
        <w:rPr>
          <w:color w:val="000000"/>
          <w:szCs w:val="22"/>
          <w:lang w:val="sv-SE"/>
        </w:rPr>
        <w:t>Du kan känna</w:t>
      </w:r>
      <w:r w:rsidRPr="000E7AE9">
        <w:rPr>
          <w:color w:val="000000"/>
          <w:szCs w:val="22"/>
          <w:lang w:val="sv-SE"/>
        </w:rPr>
        <w:t xml:space="preserve"> dig yr </w:t>
      </w:r>
      <w:r>
        <w:rPr>
          <w:color w:val="000000"/>
          <w:szCs w:val="22"/>
          <w:lang w:val="sv-SE"/>
        </w:rPr>
        <w:t xml:space="preserve">eller trött </w:t>
      </w:r>
      <w:r w:rsidRPr="000E7AE9">
        <w:rPr>
          <w:color w:val="000000"/>
          <w:szCs w:val="22"/>
          <w:lang w:val="sv-SE"/>
        </w:rPr>
        <w:t xml:space="preserve">eller </w:t>
      </w:r>
      <w:r>
        <w:rPr>
          <w:color w:val="000000"/>
          <w:szCs w:val="22"/>
          <w:lang w:val="sv-SE"/>
        </w:rPr>
        <w:t>få</w:t>
      </w:r>
      <w:r w:rsidRPr="000E7AE9">
        <w:rPr>
          <w:color w:val="000000"/>
          <w:szCs w:val="22"/>
          <w:lang w:val="sv-SE"/>
        </w:rPr>
        <w:t xml:space="preserve"> dimsyn när du använder </w:t>
      </w:r>
      <w:r>
        <w:rPr>
          <w:color w:val="000000"/>
          <w:szCs w:val="22"/>
          <w:lang w:val="sv-SE"/>
        </w:rPr>
        <w:t>detta läkemedel. Om detta sker,</w:t>
      </w:r>
      <w:r w:rsidRPr="000E7AE9">
        <w:rPr>
          <w:color w:val="000000"/>
          <w:szCs w:val="22"/>
          <w:lang w:val="sv-SE"/>
        </w:rPr>
        <w:t xml:space="preserve"> kör då inte bil och använd inte verktyg eller maskiner förrän du känner dig bra igen.</w:t>
      </w:r>
    </w:p>
    <w:p w14:paraId="4C6DE996"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2FA70C97" w14:textId="77777777" w:rsidR="00AB699C" w:rsidRPr="000E7AE9" w:rsidRDefault="00AB699C" w:rsidP="00463647">
      <w:pPr>
        <w:pStyle w:val="EndnoteText"/>
        <w:widowControl w:val="0"/>
        <w:numPr>
          <w:ilvl w:val="12"/>
          <w:numId w:val="0"/>
        </w:numPr>
        <w:tabs>
          <w:tab w:val="clear" w:pos="567"/>
        </w:tabs>
        <w:rPr>
          <w:color w:val="000000"/>
          <w:szCs w:val="22"/>
          <w:lang w:val="sv-SE"/>
        </w:rPr>
      </w:pPr>
    </w:p>
    <w:p w14:paraId="369AC251" w14:textId="77777777" w:rsidR="00CE607D" w:rsidRPr="000E7AE9" w:rsidRDefault="00CE607D" w:rsidP="009E09A2">
      <w:pPr>
        <w:pStyle w:val="Heading4"/>
        <w:widowControl w:val="0"/>
        <w:spacing w:line="240" w:lineRule="auto"/>
        <w:rPr>
          <w:noProof w:val="0"/>
          <w:color w:val="000000"/>
          <w:szCs w:val="22"/>
          <w:lang w:val="sv-SE"/>
        </w:rPr>
      </w:pPr>
      <w:r w:rsidRPr="000E7AE9">
        <w:rPr>
          <w:noProof w:val="0"/>
          <w:color w:val="000000"/>
          <w:szCs w:val="22"/>
          <w:lang w:val="sv-SE"/>
        </w:rPr>
        <w:t>3.</w:t>
      </w:r>
      <w:r w:rsidRPr="000E7AE9">
        <w:rPr>
          <w:noProof w:val="0"/>
          <w:color w:val="000000"/>
          <w:szCs w:val="22"/>
          <w:lang w:val="sv-SE"/>
        </w:rPr>
        <w:tab/>
      </w:r>
      <w:r w:rsidR="00085502">
        <w:rPr>
          <w:noProof w:val="0"/>
          <w:color w:val="000000"/>
          <w:szCs w:val="22"/>
          <w:lang w:val="sv-SE"/>
        </w:rPr>
        <w:t>Hur du tar Glivec</w:t>
      </w:r>
    </w:p>
    <w:p w14:paraId="6A1D5F83" w14:textId="77777777" w:rsidR="00CE607D" w:rsidRPr="000E7AE9" w:rsidRDefault="00CE607D" w:rsidP="009E09A2">
      <w:pPr>
        <w:pStyle w:val="EndnoteText"/>
        <w:keepNext/>
        <w:widowControl w:val="0"/>
        <w:numPr>
          <w:ilvl w:val="12"/>
          <w:numId w:val="0"/>
        </w:numPr>
        <w:tabs>
          <w:tab w:val="clear" w:pos="567"/>
        </w:tabs>
        <w:rPr>
          <w:color w:val="000000"/>
          <w:szCs w:val="22"/>
          <w:lang w:val="sv-SE"/>
        </w:rPr>
      </w:pPr>
    </w:p>
    <w:p w14:paraId="03E60660" w14:textId="77777777" w:rsidR="00CE607D" w:rsidRDefault="00CE607D" w:rsidP="00463647">
      <w:pPr>
        <w:pStyle w:val="EndnoteText"/>
        <w:widowControl w:val="0"/>
        <w:numPr>
          <w:ilvl w:val="12"/>
          <w:numId w:val="0"/>
        </w:numPr>
        <w:tabs>
          <w:tab w:val="clear" w:pos="567"/>
        </w:tabs>
        <w:rPr>
          <w:color w:val="000000"/>
          <w:szCs w:val="22"/>
          <w:lang w:val="sv-SE"/>
        </w:rPr>
      </w:pPr>
      <w:r>
        <w:rPr>
          <w:color w:val="000000"/>
          <w:szCs w:val="22"/>
          <w:lang w:val="sv-SE"/>
        </w:rPr>
        <w:t>Din läkare har ordinerat Glivec för att du lider av en allvarlig sjukdom. Glivec kan hjälpa dig att bekämpa detta tillstånd.</w:t>
      </w:r>
    </w:p>
    <w:p w14:paraId="2A8F45ED" w14:textId="77777777" w:rsidR="00CE607D" w:rsidRDefault="00CE607D" w:rsidP="00463647">
      <w:pPr>
        <w:pStyle w:val="TextChar"/>
        <w:widowControl w:val="0"/>
        <w:spacing w:before="0"/>
        <w:jc w:val="left"/>
        <w:outlineLvl w:val="0"/>
        <w:rPr>
          <w:noProof/>
          <w:color w:val="000000"/>
          <w:sz w:val="22"/>
          <w:szCs w:val="22"/>
          <w:lang w:val="sv-SE"/>
        </w:rPr>
      </w:pPr>
    </w:p>
    <w:p w14:paraId="557A5FA6" w14:textId="77777777" w:rsidR="00CE607D" w:rsidRPr="000E7AE9" w:rsidRDefault="00CE607D" w:rsidP="00463647">
      <w:pPr>
        <w:pStyle w:val="TextChar"/>
        <w:widowControl w:val="0"/>
        <w:spacing w:before="0"/>
        <w:jc w:val="left"/>
        <w:outlineLvl w:val="0"/>
        <w:rPr>
          <w:color w:val="000000"/>
          <w:sz w:val="22"/>
          <w:szCs w:val="22"/>
          <w:lang w:val="sv-SE"/>
        </w:rPr>
      </w:pPr>
      <w:r w:rsidRPr="000E7AE9">
        <w:rPr>
          <w:noProof/>
          <w:color w:val="000000"/>
          <w:sz w:val="22"/>
          <w:szCs w:val="22"/>
          <w:lang w:val="sv-SE"/>
        </w:rPr>
        <w:t>Ta</w:t>
      </w:r>
      <w:r>
        <w:rPr>
          <w:noProof/>
          <w:color w:val="000000"/>
          <w:sz w:val="22"/>
          <w:szCs w:val="22"/>
          <w:lang w:val="sv-SE"/>
        </w:rPr>
        <w:t xml:space="preserve"> </w:t>
      </w:r>
      <w:r w:rsidRPr="000E7AE9">
        <w:rPr>
          <w:noProof/>
          <w:color w:val="000000"/>
          <w:sz w:val="22"/>
          <w:szCs w:val="22"/>
          <w:lang w:val="sv-SE"/>
        </w:rPr>
        <w:t xml:space="preserve">alltid </w:t>
      </w:r>
      <w:r w:rsidR="00085502">
        <w:rPr>
          <w:noProof/>
          <w:color w:val="000000"/>
          <w:sz w:val="22"/>
          <w:szCs w:val="22"/>
          <w:lang w:val="sv-SE"/>
        </w:rPr>
        <w:t>detta läkemedel</w:t>
      </w:r>
      <w:r w:rsidR="002D6A90">
        <w:rPr>
          <w:noProof/>
          <w:color w:val="000000"/>
          <w:sz w:val="22"/>
          <w:szCs w:val="22"/>
          <w:lang w:val="sv-SE"/>
        </w:rPr>
        <w:t xml:space="preserve"> exakt</w:t>
      </w:r>
      <w:r w:rsidRPr="000E7AE9">
        <w:rPr>
          <w:noProof/>
          <w:color w:val="000000"/>
          <w:sz w:val="22"/>
          <w:szCs w:val="22"/>
          <w:lang w:val="sv-SE"/>
        </w:rPr>
        <w:t xml:space="preserve"> enligt läkarens </w:t>
      </w:r>
      <w:r w:rsidR="00085502">
        <w:rPr>
          <w:noProof/>
          <w:color w:val="000000"/>
          <w:sz w:val="22"/>
          <w:szCs w:val="22"/>
          <w:lang w:val="sv-SE"/>
        </w:rPr>
        <w:t xml:space="preserve">eller apotekspersonalens </w:t>
      </w:r>
      <w:r w:rsidRPr="000E7AE9">
        <w:rPr>
          <w:noProof/>
          <w:color w:val="000000"/>
          <w:sz w:val="22"/>
          <w:szCs w:val="22"/>
          <w:lang w:val="sv-SE"/>
        </w:rPr>
        <w:t xml:space="preserve">anvisningar. </w:t>
      </w:r>
      <w:r>
        <w:rPr>
          <w:color w:val="000000"/>
          <w:sz w:val="22"/>
          <w:szCs w:val="22"/>
          <w:lang w:val="sv-SE"/>
        </w:rPr>
        <w:t xml:space="preserve">Det är viktigt att du gör det så länge din läkare </w:t>
      </w:r>
      <w:r w:rsidR="00085502">
        <w:rPr>
          <w:color w:val="000000"/>
          <w:sz w:val="22"/>
          <w:szCs w:val="22"/>
          <w:lang w:val="sv-SE"/>
        </w:rPr>
        <w:t xml:space="preserve">eller apotekspersonalen </w:t>
      </w:r>
      <w:r>
        <w:rPr>
          <w:color w:val="000000"/>
          <w:sz w:val="22"/>
          <w:szCs w:val="22"/>
          <w:lang w:val="sv-SE"/>
        </w:rPr>
        <w:t xml:space="preserve">säger att du ska göra det. </w:t>
      </w:r>
      <w:r w:rsidRPr="000E7AE9">
        <w:rPr>
          <w:noProof/>
          <w:color w:val="000000"/>
          <w:sz w:val="22"/>
          <w:szCs w:val="22"/>
          <w:lang w:val="sv-SE"/>
        </w:rPr>
        <w:t>Rådfråga läkare eller apotekspersonal om du är osäker.</w:t>
      </w:r>
    </w:p>
    <w:p w14:paraId="52B4593E" w14:textId="77777777" w:rsidR="00CE607D" w:rsidRDefault="00CE607D" w:rsidP="00463647">
      <w:pPr>
        <w:pStyle w:val="TextChar"/>
        <w:widowControl w:val="0"/>
        <w:spacing w:before="0"/>
        <w:jc w:val="left"/>
        <w:rPr>
          <w:color w:val="000000"/>
          <w:sz w:val="22"/>
          <w:szCs w:val="22"/>
          <w:lang w:val="sv-SE"/>
        </w:rPr>
      </w:pPr>
    </w:p>
    <w:p w14:paraId="6BD0759D" w14:textId="77777777" w:rsidR="00CE607D" w:rsidRPr="000E7AE9" w:rsidRDefault="00CE607D" w:rsidP="00463647">
      <w:pPr>
        <w:pStyle w:val="TextChar"/>
        <w:widowControl w:val="0"/>
        <w:spacing w:before="0"/>
        <w:jc w:val="left"/>
        <w:rPr>
          <w:color w:val="000000"/>
          <w:sz w:val="22"/>
          <w:szCs w:val="22"/>
          <w:lang w:val="sv-SE"/>
        </w:rPr>
      </w:pPr>
      <w:r>
        <w:rPr>
          <w:color w:val="000000"/>
          <w:sz w:val="22"/>
          <w:szCs w:val="22"/>
          <w:lang w:val="sv-SE"/>
        </w:rPr>
        <w:t>Sluta inte att ta Glivec om inte din läkare säger åt dig att göra det. Om du inte kan ta läkemedlet enligt din läkares ordination eller om du känner att du inte behöver det längre, kontakta omedelbart din läkare.</w:t>
      </w:r>
    </w:p>
    <w:p w14:paraId="373CFCED" w14:textId="77777777" w:rsidR="00CE607D" w:rsidRPr="000E7AE9" w:rsidRDefault="00CE607D" w:rsidP="00463647">
      <w:pPr>
        <w:pStyle w:val="TextChar"/>
        <w:widowControl w:val="0"/>
        <w:spacing w:before="0"/>
        <w:jc w:val="left"/>
        <w:rPr>
          <w:color w:val="000000"/>
          <w:sz w:val="22"/>
          <w:szCs w:val="22"/>
          <w:lang w:val="sv-SE"/>
        </w:rPr>
      </w:pPr>
    </w:p>
    <w:p w14:paraId="39BFD15C" w14:textId="77777777" w:rsidR="00CE607D" w:rsidRPr="000E7AE9" w:rsidRDefault="00CE607D" w:rsidP="009E09A2">
      <w:pPr>
        <w:pStyle w:val="Heading2"/>
        <w:widowControl w:val="0"/>
        <w:spacing w:before="0" w:after="0" w:line="240" w:lineRule="auto"/>
        <w:rPr>
          <w:rFonts w:ascii="Times New Roman" w:hAnsi="Times New Roman"/>
          <w:i w:val="0"/>
          <w:color w:val="000000"/>
          <w:sz w:val="22"/>
          <w:szCs w:val="22"/>
          <w:lang w:val="sv-SE"/>
        </w:rPr>
      </w:pPr>
      <w:r w:rsidRPr="000E7AE9">
        <w:rPr>
          <w:rFonts w:ascii="Times New Roman" w:hAnsi="Times New Roman"/>
          <w:i w:val="0"/>
          <w:color w:val="000000"/>
          <w:sz w:val="22"/>
          <w:szCs w:val="22"/>
          <w:lang w:val="sv-SE"/>
        </w:rPr>
        <w:t xml:space="preserve">Hur mycket </w:t>
      </w:r>
      <w:r w:rsidR="00085502">
        <w:rPr>
          <w:rFonts w:ascii="Times New Roman" w:hAnsi="Times New Roman"/>
          <w:i w:val="0"/>
          <w:color w:val="000000"/>
          <w:sz w:val="22"/>
          <w:szCs w:val="22"/>
          <w:lang w:val="sv-SE"/>
        </w:rPr>
        <w:t xml:space="preserve">Glivec </w:t>
      </w:r>
      <w:r w:rsidRPr="000E7AE9">
        <w:rPr>
          <w:rFonts w:ascii="Times New Roman" w:hAnsi="Times New Roman"/>
          <w:i w:val="0"/>
          <w:color w:val="000000"/>
          <w:sz w:val="22"/>
          <w:szCs w:val="22"/>
          <w:lang w:val="sv-SE"/>
        </w:rPr>
        <w:t>skall man ta?</w:t>
      </w:r>
    </w:p>
    <w:p w14:paraId="0ECF9848" w14:textId="77777777" w:rsidR="00CE607D" w:rsidRPr="002E78CA" w:rsidRDefault="00CE607D" w:rsidP="009E09A2">
      <w:pPr>
        <w:pStyle w:val="TextChar"/>
        <w:keepNext/>
        <w:widowControl w:val="0"/>
        <w:spacing w:before="0"/>
        <w:jc w:val="left"/>
        <w:outlineLvl w:val="0"/>
        <w:rPr>
          <w:color w:val="000000"/>
          <w:sz w:val="22"/>
          <w:szCs w:val="22"/>
          <w:lang w:val="sv-SE"/>
        </w:rPr>
      </w:pPr>
    </w:p>
    <w:p w14:paraId="4D11BE2C" w14:textId="77777777" w:rsidR="00CE607D" w:rsidRPr="00886D3C" w:rsidRDefault="00CE607D" w:rsidP="009E09A2">
      <w:pPr>
        <w:pStyle w:val="TextChar"/>
        <w:keepNext/>
        <w:widowControl w:val="0"/>
        <w:spacing w:before="0"/>
        <w:jc w:val="left"/>
        <w:outlineLvl w:val="0"/>
        <w:rPr>
          <w:b/>
          <w:color w:val="000000"/>
          <w:sz w:val="22"/>
          <w:szCs w:val="22"/>
          <w:lang w:val="sv-SE"/>
        </w:rPr>
      </w:pPr>
      <w:r w:rsidRPr="00886D3C">
        <w:rPr>
          <w:b/>
          <w:color w:val="000000"/>
          <w:sz w:val="22"/>
          <w:szCs w:val="22"/>
          <w:lang w:val="sv-SE"/>
        </w:rPr>
        <w:t xml:space="preserve">Användning </w:t>
      </w:r>
      <w:r w:rsidR="00085502">
        <w:rPr>
          <w:b/>
          <w:color w:val="000000"/>
          <w:sz w:val="22"/>
          <w:szCs w:val="22"/>
          <w:lang w:val="sv-SE"/>
        </w:rPr>
        <w:t>för</w:t>
      </w:r>
      <w:r w:rsidRPr="00886D3C">
        <w:rPr>
          <w:b/>
          <w:color w:val="000000"/>
          <w:sz w:val="22"/>
          <w:szCs w:val="22"/>
          <w:lang w:val="sv-SE"/>
        </w:rPr>
        <w:t xml:space="preserve"> vuxna</w:t>
      </w:r>
    </w:p>
    <w:p w14:paraId="3CB98AC8" w14:textId="77777777" w:rsidR="00CE607D" w:rsidRPr="000E7AE9" w:rsidRDefault="00CE607D" w:rsidP="00463647">
      <w:pPr>
        <w:pStyle w:val="TextChar"/>
        <w:widowControl w:val="0"/>
        <w:spacing w:before="0"/>
        <w:jc w:val="left"/>
        <w:rPr>
          <w:color w:val="000000"/>
          <w:sz w:val="22"/>
          <w:szCs w:val="22"/>
          <w:lang w:val="sv-SE"/>
        </w:rPr>
      </w:pPr>
      <w:r w:rsidRPr="000E7AE9">
        <w:rPr>
          <w:color w:val="000000"/>
          <w:sz w:val="22"/>
          <w:szCs w:val="22"/>
          <w:lang w:val="sv-SE"/>
        </w:rPr>
        <w:t>Din läkare informerar dig om</w:t>
      </w:r>
      <w:r>
        <w:rPr>
          <w:color w:val="000000"/>
          <w:sz w:val="22"/>
          <w:szCs w:val="22"/>
          <w:lang w:val="sv-SE"/>
        </w:rPr>
        <w:t xml:space="preserve"> exakt</w:t>
      </w:r>
      <w:r w:rsidRPr="000E7AE9">
        <w:rPr>
          <w:color w:val="000000"/>
          <w:sz w:val="22"/>
          <w:szCs w:val="22"/>
          <w:lang w:val="sv-SE"/>
        </w:rPr>
        <w:t xml:space="preserve"> hur många tabletter Glivec du skall ta.</w:t>
      </w:r>
    </w:p>
    <w:p w14:paraId="350DEA9B" w14:textId="77777777" w:rsidR="00CE607D" w:rsidRPr="000E7AE9" w:rsidRDefault="00CE607D" w:rsidP="00463647">
      <w:pPr>
        <w:pStyle w:val="TextChar"/>
        <w:widowControl w:val="0"/>
        <w:spacing w:before="0"/>
        <w:jc w:val="left"/>
        <w:rPr>
          <w:color w:val="000000"/>
          <w:sz w:val="22"/>
          <w:szCs w:val="22"/>
          <w:lang w:val="sv-SE"/>
        </w:rPr>
      </w:pPr>
    </w:p>
    <w:p w14:paraId="71EE0EE0" w14:textId="77777777" w:rsidR="00CE607D" w:rsidRPr="00886D3C" w:rsidRDefault="00CE607D" w:rsidP="009E09A2">
      <w:pPr>
        <w:pStyle w:val="TextChar"/>
        <w:keepNext/>
        <w:widowControl w:val="0"/>
        <w:spacing w:before="0"/>
        <w:jc w:val="left"/>
        <w:rPr>
          <w:b/>
          <w:color w:val="000000"/>
          <w:sz w:val="22"/>
          <w:szCs w:val="22"/>
          <w:lang w:val="sv-SE"/>
        </w:rPr>
      </w:pPr>
      <w:r w:rsidRPr="00886D3C">
        <w:rPr>
          <w:b/>
          <w:color w:val="000000"/>
          <w:szCs w:val="22"/>
          <w:lang w:val="sv-SE"/>
        </w:rPr>
        <w:t>-</w:t>
      </w:r>
      <w:r w:rsidRPr="00886D3C">
        <w:rPr>
          <w:b/>
          <w:color w:val="000000"/>
          <w:szCs w:val="22"/>
          <w:lang w:val="sv-SE"/>
        </w:rPr>
        <w:tab/>
      </w:r>
      <w:r w:rsidRPr="00886D3C">
        <w:rPr>
          <w:b/>
          <w:color w:val="000000"/>
          <w:sz w:val="22"/>
          <w:szCs w:val="22"/>
          <w:lang w:val="sv-SE"/>
        </w:rPr>
        <w:t>Om du behandlas för KML:</w:t>
      </w:r>
    </w:p>
    <w:p w14:paraId="54BDAE05" w14:textId="50BE4689" w:rsidR="00CE607D" w:rsidRPr="002E78CA" w:rsidRDefault="00CE607D" w:rsidP="009E09A2">
      <w:pPr>
        <w:pStyle w:val="TextChar"/>
        <w:keepNext/>
        <w:widowControl w:val="0"/>
        <w:spacing w:before="0"/>
        <w:ind w:left="567"/>
        <w:jc w:val="left"/>
        <w:rPr>
          <w:color w:val="000000"/>
          <w:sz w:val="22"/>
          <w:szCs w:val="22"/>
          <w:lang w:val="sv-SE"/>
        </w:rPr>
      </w:pPr>
      <w:r w:rsidRPr="002E78CA">
        <w:rPr>
          <w:color w:val="000000"/>
          <w:sz w:val="22"/>
          <w:szCs w:val="22"/>
          <w:lang w:val="sv-SE"/>
        </w:rPr>
        <w:t xml:space="preserve">Beroende på ditt tillstånd är den vanliga startdosen antingen </w:t>
      </w:r>
      <w:r w:rsidRPr="00E16833">
        <w:rPr>
          <w:b/>
          <w:color w:val="000000"/>
          <w:sz w:val="22"/>
          <w:szCs w:val="22"/>
          <w:lang w:val="sv-SE"/>
        </w:rPr>
        <w:t>400 mg eller 600 mg</w:t>
      </w:r>
      <w:r w:rsidR="006F7B84">
        <w:rPr>
          <w:color w:val="000000"/>
          <w:sz w:val="22"/>
          <w:szCs w:val="22"/>
          <w:lang w:val="sv-SE"/>
        </w:rPr>
        <w:t xml:space="preserve"> som tas </w:t>
      </w:r>
      <w:r w:rsidR="006F7B84" w:rsidRPr="00E16833">
        <w:rPr>
          <w:b/>
          <w:color w:val="000000"/>
          <w:sz w:val="22"/>
          <w:szCs w:val="22"/>
          <w:lang w:val="sv-SE"/>
        </w:rPr>
        <w:t>en</w:t>
      </w:r>
      <w:r w:rsidR="006F7B84">
        <w:rPr>
          <w:color w:val="000000"/>
          <w:sz w:val="22"/>
          <w:szCs w:val="22"/>
          <w:lang w:val="sv-SE"/>
        </w:rPr>
        <w:t xml:space="preserve"> gång om dagen</w:t>
      </w:r>
      <w:r w:rsidR="003E7632">
        <w:rPr>
          <w:color w:val="000000"/>
          <w:sz w:val="22"/>
          <w:szCs w:val="22"/>
          <w:lang w:val="sv-SE"/>
        </w:rPr>
        <w:t>.</w:t>
      </w:r>
    </w:p>
    <w:p w14:paraId="41B27CD2" w14:textId="77777777" w:rsidR="00CE607D" w:rsidRPr="000E7AE9" w:rsidRDefault="00CE607D" w:rsidP="00463647">
      <w:pPr>
        <w:pStyle w:val="TextChar"/>
        <w:widowControl w:val="0"/>
        <w:spacing w:before="0"/>
        <w:jc w:val="left"/>
        <w:rPr>
          <w:color w:val="000000"/>
          <w:sz w:val="22"/>
          <w:szCs w:val="22"/>
          <w:lang w:val="sv-SE"/>
        </w:rPr>
      </w:pPr>
    </w:p>
    <w:p w14:paraId="776B5476" w14:textId="77777777" w:rsidR="00CE607D" w:rsidRPr="00D66D51" w:rsidRDefault="00CE607D" w:rsidP="009E09A2">
      <w:pPr>
        <w:pStyle w:val="TextChar"/>
        <w:keepNext/>
        <w:widowControl w:val="0"/>
        <w:spacing w:before="0"/>
        <w:jc w:val="left"/>
        <w:rPr>
          <w:color w:val="000000"/>
          <w:sz w:val="22"/>
          <w:szCs w:val="22"/>
          <w:lang w:val="sv-SE"/>
        </w:rPr>
      </w:pPr>
      <w:r w:rsidRPr="00D66D51">
        <w:rPr>
          <w:color w:val="000000"/>
          <w:szCs w:val="22"/>
          <w:lang w:val="sv-SE"/>
        </w:rPr>
        <w:t>-</w:t>
      </w:r>
      <w:r w:rsidRPr="00D66D51">
        <w:rPr>
          <w:color w:val="000000"/>
          <w:szCs w:val="22"/>
          <w:lang w:val="sv-SE"/>
        </w:rPr>
        <w:tab/>
      </w:r>
      <w:r w:rsidRPr="00875002">
        <w:rPr>
          <w:b/>
          <w:color w:val="000000"/>
          <w:sz w:val="22"/>
          <w:szCs w:val="22"/>
          <w:lang w:val="sv-SE"/>
        </w:rPr>
        <w:t>Om du behandlas för GIST:</w:t>
      </w:r>
    </w:p>
    <w:p w14:paraId="6B941A57" w14:textId="771B5ED3" w:rsidR="00CE607D" w:rsidRPr="000E7AE9" w:rsidRDefault="00CE607D" w:rsidP="00463647">
      <w:pPr>
        <w:pStyle w:val="TextChar"/>
        <w:widowControl w:val="0"/>
        <w:spacing w:before="0"/>
        <w:ind w:left="567"/>
        <w:jc w:val="left"/>
        <w:rPr>
          <w:color w:val="000000"/>
          <w:sz w:val="22"/>
          <w:szCs w:val="22"/>
          <w:lang w:val="sv-SE"/>
        </w:rPr>
      </w:pPr>
      <w:r>
        <w:rPr>
          <w:color w:val="000000"/>
          <w:sz w:val="22"/>
          <w:szCs w:val="22"/>
          <w:lang w:val="sv-SE"/>
        </w:rPr>
        <w:t>ä</w:t>
      </w:r>
      <w:r w:rsidRPr="000E7AE9">
        <w:rPr>
          <w:color w:val="000000"/>
          <w:sz w:val="22"/>
          <w:szCs w:val="22"/>
          <w:lang w:val="sv-SE"/>
        </w:rPr>
        <w:t xml:space="preserve">r startdosen 400 mg, som tas </w:t>
      </w:r>
      <w:r w:rsidRPr="00D66D51">
        <w:rPr>
          <w:b/>
          <w:color w:val="000000"/>
          <w:sz w:val="22"/>
          <w:szCs w:val="22"/>
          <w:lang w:val="sv-SE"/>
        </w:rPr>
        <w:t>en</w:t>
      </w:r>
      <w:r w:rsidRPr="000E7AE9">
        <w:rPr>
          <w:color w:val="000000"/>
          <w:sz w:val="22"/>
          <w:szCs w:val="22"/>
          <w:lang w:val="sv-SE"/>
        </w:rPr>
        <w:t xml:space="preserve"> gång om dagen.</w:t>
      </w:r>
    </w:p>
    <w:p w14:paraId="2BC375F7" w14:textId="77777777" w:rsidR="00CE607D" w:rsidRPr="000E7AE9" w:rsidRDefault="00CE607D" w:rsidP="00463647">
      <w:pPr>
        <w:pStyle w:val="TextChar"/>
        <w:widowControl w:val="0"/>
        <w:spacing w:before="0"/>
        <w:jc w:val="left"/>
        <w:rPr>
          <w:color w:val="000000"/>
          <w:sz w:val="22"/>
          <w:szCs w:val="22"/>
          <w:lang w:val="sv-SE"/>
        </w:rPr>
      </w:pPr>
    </w:p>
    <w:p w14:paraId="0491500A" w14:textId="178DDF48" w:rsidR="00CE607D" w:rsidRPr="000E7AE9" w:rsidRDefault="00CE607D" w:rsidP="00463647">
      <w:pPr>
        <w:pStyle w:val="TextChar"/>
        <w:widowControl w:val="0"/>
        <w:spacing w:before="0"/>
        <w:jc w:val="left"/>
        <w:rPr>
          <w:color w:val="000000"/>
          <w:sz w:val="22"/>
          <w:szCs w:val="22"/>
          <w:lang w:val="sv-SE"/>
        </w:rPr>
      </w:pPr>
      <w:r>
        <w:rPr>
          <w:color w:val="000000"/>
          <w:sz w:val="22"/>
          <w:szCs w:val="22"/>
          <w:lang w:val="sv-SE"/>
        </w:rPr>
        <w:t xml:space="preserve">För KML och GIST </w:t>
      </w:r>
      <w:r w:rsidRPr="000E7AE9">
        <w:rPr>
          <w:color w:val="000000"/>
          <w:sz w:val="22"/>
          <w:szCs w:val="22"/>
          <w:lang w:val="sv-SE"/>
        </w:rPr>
        <w:t>kan din läkare förskriva en högre eller lägre dos</w:t>
      </w:r>
      <w:r>
        <w:rPr>
          <w:color w:val="000000"/>
          <w:sz w:val="22"/>
          <w:szCs w:val="22"/>
          <w:lang w:val="sv-SE"/>
        </w:rPr>
        <w:t xml:space="preserve"> beroende på hur du svarar på behandlingen</w:t>
      </w:r>
      <w:r w:rsidRPr="000E7AE9">
        <w:rPr>
          <w:color w:val="000000"/>
          <w:sz w:val="22"/>
          <w:szCs w:val="22"/>
          <w:lang w:val="sv-SE"/>
        </w:rPr>
        <w:t>. Om din dagliga dos är 800 mg</w:t>
      </w:r>
      <w:r>
        <w:rPr>
          <w:color w:val="000000"/>
          <w:sz w:val="22"/>
          <w:szCs w:val="22"/>
          <w:lang w:val="sv-SE"/>
        </w:rPr>
        <w:t xml:space="preserve"> </w:t>
      </w:r>
      <w:r w:rsidRPr="000E7AE9">
        <w:rPr>
          <w:color w:val="000000"/>
          <w:sz w:val="22"/>
          <w:szCs w:val="22"/>
          <w:lang w:val="sv-SE"/>
        </w:rPr>
        <w:t xml:space="preserve">ska du ta </w:t>
      </w:r>
      <w:r>
        <w:rPr>
          <w:color w:val="000000"/>
          <w:sz w:val="22"/>
          <w:szCs w:val="22"/>
          <w:lang w:val="sv-SE"/>
        </w:rPr>
        <w:t>4</w:t>
      </w:r>
      <w:r w:rsidR="007A5CC9">
        <w:rPr>
          <w:color w:val="000000"/>
          <w:sz w:val="22"/>
          <w:szCs w:val="22"/>
          <w:lang w:val="sv-SE"/>
        </w:rPr>
        <w:t>00</w:t>
      </w:r>
      <w:r w:rsidRPr="000E7AE9">
        <w:rPr>
          <w:color w:val="000000"/>
          <w:sz w:val="22"/>
          <w:szCs w:val="22"/>
          <w:lang w:val="sv-SE"/>
        </w:rPr>
        <w:t> </w:t>
      </w:r>
      <w:r w:rsidR="007A5CC9">
        <w:rPr>
          <w:color w:val="000000"/>
          <w:sz w:val="22"/>
          <w:szCs w:val="22"/>
          <w:lang w:val="sv-SE"/>
        </w:rPr>
        <w:t>mg</w:t>
      </w:r>
      <w:r w:rsidRPr="000E7AE9">
        <w:rPr>
          <w:color w:val="000000"/>
          <w:sz w:val="22"/>
          <w:szCs w:val="22"/>
          <w:lang w:val="sv-SE"/>
        </w:rPr>
        <w:t xml:space="preserve"> på morgonen och </w:t>
      </w:r>
      <w:r>
        <w:rPr>
          <w:color w:val="000000"/>
          <w:sz w:val="22"/>
          <w:szCs w:val="22"/>
          <w:lang w:val="sv-SE"/>
        </w:rPr>
        <w:t>4</w:t>
      </w:r>
      <w:r w:rsidR="007A5CC9">
        <w:rPr>
          <w:color w:val="000000"/>
          <w:sz w:val="22"/>
          <w:szCs w:val="22"/>
          <w:lang w:val="sv-SE"/>
        </w:rPr>
        <w:t>00</w:t>
      </w:r>
      <w:r w:rsidRPr="000E7AE9">
        <w:rPr>
          <w:color w:val="000000"/>
          <w:sz w:val="22"/>
          <w:szCs w:val="22"/>
          <w:lang w:val="sv-SE"/>
        </w:rPr>
        <w:t> </w:t>
      </w:r>
      <w:r w:rsidR="007A5CC9">
        <w:rPr>
          <w:color w:val="000000"/>
          <w:sz w:val="22"/>
          <w:szCs w:val="22"/>
          <w:lang w:val="sv-SE"/>
        </w:rPr>
        <w:t>mg</w:t>
      </w:r>
      <w:r>
        <w:rPr>
          <w:color w:val="000000"/>
          <w:sz w:val="22"/>
          <w:szCs w:val="22"/>
          <w:lang w:val="sv-SE"/>
        </w:rPr>
        <w:t xml:space="preserve"> </w:t>
      </w:r>
      <w:r w:rsidRPr="000E7AE9">
        <w:rPr>
          <w:color w:val="000000"/>
          <w:sz w:val="22"/>
          <w:szCs w:val="22"/>
          <w:lang w:val="sv-SE"/>
        </w:rPr>
        <w:t>på kvällen.</w:t>
      </w:r>
    </w:p>
    <w:p w14:paraId="55B831CD" w14:textId="77777777" w:rsidR="00CE607D" w:rsidRPr="000E7AE9" w:rsidRDefault="00CE607D" w:rsidP="00463647">
      <w:pPr>
        <w:pStyle w:val="TextChar"/>
        <w:widowControl w:val="0"/>
        <w:spacing w:before="0"/>
        <w:jc w:val="left"/>
        <w:rPr>
          <w:color w:val="000000"/>
          <w:sz w:val="22"/>
          <w:szCs w:val="22"/>
          <w:lang w:val="sv-SE"/>
        </w:rPr>
      </w:pPr>
    </w:p>
    <w:p w14:paraId="165B58B9" w14:textId="77777777" w:rsidR="00CE607D" w:rsidRPr="002F0C45" w:rsidRDefault="00CE607D" w:rsidP="009E09A2">
      <w:pPr>
        <w:pStyle w:val="TextChar"/>
        <w:keepNext/>
        <w:widowControl w:val="0"/>
        <w:spacing w:before="0"/>
        <w:jc w:val="left"/>
        <w:rPr>
          <w:b/>
          <w:color w:val="000000"/>
          <w:sz w:val="22"/>
          <w:szCs w:val="22"/>
          <w:lang w:val="sv-SE"/>
        </w:rPr>
      </w:pPr>
      <w:r w:rsidRPr="002F0C45">
        <w:rPr>
          <w:b/>
          <w:color w:val="000000"/>
          <w:szCs w:val="22"/>
          <w:lang w:val="sv-SE"/>
        </w:rPr>
        <w:t>-</w:t>
      </w:r>
      <w:r w:rsidRPr="002F0C45">
        <w:rPr>
          <w:b/>
          <w:color w:val="000000"/>
          <w:szCs w:val="22"/>
          <w:lang w:val="sv-SE"/>
        </w:rPr>
        <w:tab/>
      </w:r>
      <w:r w:rsidRPr="002F0C45">
        <w:rPr>
          <w:b/>
          <w:color w:val="000000"/>
          <w:sz w:val="22"/>
          <w:szCs w:val="22"/>
          <w:lang w:val="sv-SE"/>
        </w:rPr>
        <w:t>Om du behandlas för Ph-positiv ALL:</w:t>
      </w:r>
    </w:p>
    <w:p w14:paraId="49675D1D" w14:textId="1B7F5099" w:rsidR="00CE607D" w:rsidRPr="000E7AE9" w:rsidRDefault="00CE607D" w:rsidP="00463647">
      <w:pPr>
        <w:pStyle w:val="TextChar"/>
        <w:widowControl w:val="0"/>
        <w:spacing w:before="0"/>
        <w:ind w:left="567"/>
        <w:jc w:val="left"/>
        <w:rPr>
          <w:color w:val="000000"/>
          <w:sz w:val="22"/>
          <w:szCs w:val="22"/>
          <w:lang w:val="sv-SE"/>
        </w:rPr>
      </w:pPr>
      <w:r>
        <w:rPr>
          <w:color w:val="000000"/>
          <w:sz w:val="22"/>
          <w:szCs w:val="22"/>
          <w:lang w:val="sv-SE"/>
        </w:rPr>
        <w:t>ä</w:t>
      </w:r>
      <w:r w:rsidRPr="000E7AE9">
        <w:rPr>
          <w:color w:val="000000"/>
          <w:sz w:val="22"/>
          <w:szCs w:val="22"/>
          <w:lang w:val="sv-SE"/>
        </w:rPr>
        <w:t xml:space="preserve">r startdosen 600 mg som tas </w:t>
      </w:r>
      <w:r w:rsidRPr="002F0C45">
        <w:rPr>
          <w:b/>
          <w:color w:val="000000"/>
          <w:sz w:val="22"/>
          <w:szCs w:val="22"/>
          <w:lang w:val="sv-SE"/>
        </w:rPr>
        <w:t>en</w:t>
      </w:r>
      <w:r w:rsidRPr="000E7AE9">
        <w:rPr>
          <w:color w:val="000000"/>
          <w:sz w:val="22"/>
          <w:szCs w:val="22"/>
          <w:lang w:val="sv-SE"/>
        </w:rPr>
        <w:t xml:space="preserve"> gång dagligen.</w:t>
      </w:r>
    </w:p>
    <w:p w14:paraId="1D6C0C4F" w14:textId="77777777" w:rsidR="00CE607D" w:rsidRPr="000E7AE9" w:rsidRDefault="00CE607D" w:rsidP="00463647">
      <w:pPr>
        <w:pStyle w:val="TextChar"/>
        <w:widowControl w:val="0"/>
        <w:spacing w:before="0"/>
        <w:jc w:val="left"/>
        <w:rPr>
          <w:color w:val="000000"/>
          <w:sz w:val="22"/>
          <w:szCs w:val="22"/>
          <w:lang w:val="sv-SE"/>
        </w:rPr>
      </w:pPr>
    </w:p>
    <w:p w14:paraId="55210651" w14:textId="77777777" w:rsidR="00CE607D" w:rsidRPr="002F0C45" w:rsidRDefault="00CE607D" w:rsidP="009E09A2">
      <w:pPr>
        <w:pStyle w:val="TextChar"/>
        <w:keepNext/>
        <w:widowControl w:val="0"/>
        <w:spacing w:before="0"/>
        <w:jc w:val="left"/>
        <w:rPr>
          <w:b/>
          <w:color w:val="000000"/>
          <w:sz w:val="22"/>
          <w:szCs w:val="22"/>
          <w:lang w:val="sv-SE"/>
        </w:rPr>
      </w:pPr>
      <w:r w:rsidRPr="002F0C45">
        <w:rPr>
          <w:b/>
          <w:color w:val="000000"/>
          <w:szCs w:val="22"/>
          <w:lang w:val="sv-SE"/>
        </w:rPr>
        <w:lastRenderedPageBreak/>
        <w:t>-</w:t>
      </w:r>
      <w:r w:rsidRPr="002F0C45">
        <w:rPr>
          <w:b/>
          <w:color w:val="000000"/>
          <w:szCs w:val="22"/>
          <w:lang w:val="sv-SE"/>
        </w:rPr>
        <w:tab/>
      </w:r>
      <w:r w:rsidRPr="002F0C45">
        <w:rPr>
          <w:b/>
          <w:color w:val="000000"/>
          <w:sz w:val="22"/>
          <w:szCs w:val="22"/>
          <w:lang w:val="sv-SE"/>
        </w:rPr>
        <w:t>Om du behandlas för MDS/MPD:</w:t>
      </w:r>
    </w:p>
    <w:p w14:paraId="6EFC4689" w14:textId="005C362A" w:rsidR="00CE607D" w:rsidRPr="000E7AE9" w:rsidRDefault="00CE607D" w:rsidP="00463647">
      <w:pPr>
        <w:pStyle w:val="TextChar"/>
        <w:widowControl w:val="0"/>
        <w:spacing w:before="0"/>
        <w:ind w:left="567"/>
        <w:jc w:val="left"/>
        <w:rPr>
          <w:color w:val="000000"/>
          <w:sz w:val="22"/>
          <w:szCs w:val="22"/>
          <w:lang w:val="sv-SE"/>
        </w:rPr>
      </w:pPr>
      <w:r>
        <w:rPr>
          <w:color w:val="000000"/>
          <w:sz w:val="22"/>
          <w:szCs w:val="22"/>
          <w:lang w:val="sv-SE"/>
        </w:rPr>
        <w:t>ä</w:t>
      </w:r>
      <w:r w:rsidRPr="000E7AE9">
        <w:rPr>
          <w:color w:val="000000"/>
          <w:sz w:val="22"/>
          <w:szCs w:val="22"/>
          <w:lang w:val="sv-SE"/>
        </w:rPr>
        <w:t xml:space="preserve">r startdosen 400 mg som tas </w:t>
      </w:r>
      <w:r w:rsidRPr="002F0C45">
        <w:rPr>
          <w:b/>
          <w:color w:val="000000"/>
          <w:sz w:val="22"/>
          <w:szCs w:val="22"/>
          <w:lang w:val="sv-SE"/>
        </w:rPr>
        <w:t>en</w:t>
      </w:r>
      <w:r w:rsidRPr="000E7AE9">
        <w:rPr>
          <w:color w:val="000000"/>
          <w:sz w:val="22"/>
          <w:szCs w:val="22"/>
          <w:lang w:val="sv-SE"/>
        </w:rPr>
        <w:t xml:space="preserve"> gång dagligen.</w:t>
      </w:r>
    </w:p>
    <w:p w14:paraId="5F2AF24C" w14:textId="77777777" w:rsidR="00CE607D" w:rsidRPr="000E7AE9" w:rsidRDefault="00CE607D" w:rsidP="00463647">
      <w:pPr>
        <w:pStyle w:val="TextChar"/>
        <w:widowControl w:val="0"/>
        <w:spacing w:before="0"/>
        <w:jc w:val="left"/>
        <w:rPr>
          <w:color w:val="000000"/>
          <w:sz w:val="22"/>
          <w:szCs w:val="22"/>
          <w:lang w:val="sv-SE"/>
        </w:rPr>
      </w:pPr>
    </w:p>
    <w:p w14:paraId="0D9E499E" w14:textId="77777777" w:rsidR="00CE607D" w:rsidRPr="002F0C45" w:rsidRDefault="00CE607D" w:rsidP="009E09A2">
      <w:pPr>
        <w:pStyle w:val="TextChar"/>
        <w:keepNext/>
        <w:widowControl w:val="0"/>
        <w:spacing w:before="0"/>
        <w:jc w:val="left"/>
        <w:rPr>
          <w:b/>
          <w:color w:val="000000"/>
          <w:sz w:val="22"/>
          <w:szCs w:val="22"/>
          <w:lang w:val="sv-SE"/>
        </w:rPr>
      </w:pPr>
      <w:r w:rsidRPr="002F0C45">
        <w:rPr>
          <w:b/>
          <w:color w:val="000000"/>
          <w:szCs w:val="22"/>
          <w:lang w:val="sv-SE"/>
        </w:rPr>
        <w:t>-</w:t>
      </w:r>
      <w:r w:rsidRPr="002F0C45">
        <w:rPr>
          <w:b/>
          <w:color w:val="000000"/>
          <w:szCs w:val="22"/>
          <w:lang w:val="sv-SE"/>
        </w:rPr>
        <w:tab/>
      </w:r>
      <w:r w:rsidRPr="002F0C45">
        <w:rPr>
          <w:b/>
          <w:color w:val="000000"/>
          <w:sz w:val="22"/>
          <w:szCs w:val="22"/>
          <w:lang w:val="sv-SE"/>
        </w:rPr>
        <w:t>Om du behandlas för HES/CEL:</w:t>
      </w:r>
    </w:p>
    <w:p w14:paraId="0C7AFD7B" w14:textId="089CD977" w:rsidR="00CE607D" w:rsidRPr="000E7AE9" w:rsidRDefault="00CE607D" w:rsidP="00463647">
      <w:pPr>
        <w:pStyle w:val="TextChar"/>
        <w:widowControl w:val="0"/>
        <w:spacing w:before="0"/>
        <w:ind w:left="567" w:firstLine="3"/>
        <w:jc w:val="left"/>
        <w:rPr>
          <w:color w:val="000000"/>
          <w:sz w:val="22"/>
          <w:szCs w:val="22"/>
          <w:lang w:val="sv-SE"/>
        </w:rPr>
      </w:pPr>
      <w:r>
        <w:rPr>
          <w:color w:val="000000"/>
          <w:sz w:val="22"/>
          <w:szCs w:val="22"/>
          <w:lang w:val="sv-SE"/>
        </w:rPr>
        <w:t>ä</w:t>
      </w:r>
      <w:r w:rsidRPr="000E7AE9">
        <w:rPr>
          <w:color w:val="000000"/>
          <w:sz w:val="22"/>
          <w:szCs w:val="22"/>
          <w:lang w:val="sv-SE"/>
        </w:rPr>
        <w:t xml:space="preserve">r startdosen 100 mg som tas </w:t>
      </w:r>
      <w:r w:rsidRPr="002F0C45">
        <w:rPr>
          <w:b/>
          <w:color w:val="000000"/>
          <w:sz w:val="22"/>
          <w:szCs w:val="22"/>
          <w:lang w:val="sv-SE"/>
        </w:rPr>
        <w:t>en</w:t>
      </w:r>
      <w:r w:rsidRPr="000E7AE9">
        <w:rPr>
          <w:color w:val="000000"/>
          <w:sz w:val="22"/>
          <w:szCs w:val="22"/>
          <w:lang w:val="sv-SE"/>
        </w:rPr>
        <w:t xml:space="preserve"> gång dagligen. Din läkare kan bestämma sig för att öka dosen till 400 mg som tas </w:t>
      </w:r>
      <w:r w:rsidRPr="002F0C45">
        <w:rPr>
          <w:b/>
          <w:color w:val="000000"/>
          <w:sz w:val="22"/>
          <w:szCs w:val="22"/>
          <w:lang w:val="sv-SE"/>
        </w:rPr>
        <w:t xml:space="preserve">en </w:t>
      </w:r>
      <w:r w:rsidRPr="000E7AE9">
        <w:rPr>
          <w:color w:val="000000"/>
          <w:sz w:val="22"/>
          <w:szCs w:val="22"/>
          <w:lang w:val="sv-SE"/>
        </w:rPr>
        <w:t>gång dagligen, beroende på hur du svarar på behandlingen.</w:t>
      </w:r>
    </w:p>
    <w:p w14:paraId="655B0B4F" w14:textId="77777777" w:rsidR="00CE607D" w:rsidRPr="000E7AE9" w:rsidRDefault="00CE607D" w:rsidP="00463647">
      <w:pPr>
        <w:pStyle w:val="TextChar"/>
        <w:widowControl w:val="0"/>
        <w:spacing w:before="0"/>
        <w:jc w:val="left"/>
        <w:rPr>
          <w:color w:val="000000"/>
          <w:sz w:val="22"/>
          <w:szCs w:val="22"/>
          <w:lang w:val="sv-SE"/>
        </w:rPr>
      </w:pPr>
    </w:p>
    <w:p w14:paraId="70CDB54E" w14:textId="77777777" w:rsidR="00CE607D" w:rsidRPr="00347A45" w:rsidRDefault="00CE607D" w:rsidP="009E09A2">
      <w:pPr>
        <w:pStyle w:val="TextChar"/>
        <w:keepNext/>
        <w:widowControl w:val="0"/>
        <w:spacing w:before="0"/>
        <w:jc w:val="left"/>
        <w:rPr>
          <w:b/>
          <w:color w:val="000000"/>
          <w:sz w:val="22"/>
          <w:szCs w:val="22"/>
          <w:lang w:val="sv-SE"/>
        </w:rPr>
      </w:pPr>
      <w:r w:rsidRPr="00347A45">
        <w:rPr>
          <w:b/>
          <w:color w:val="000000"/>
          <w:szCs w:val="22"/>
          <w:lang w:val="sv-SE"/>
        </w:rPr>
        <w:t>-</w:t>
      </w:r>
      <w:r w:rsidRPr="00347A45">
        <w:rPr>
          <w:b/>
          <w:color w:val="000000"/>
          <w:szCs w:val="22"/>
          <w:lang w:val="sv-SE"/>
        </w:rPr>
        <w:tab/>
      </w:r>
      <w:r w:rsidRPr="00347A45">
        <w:rPr>
          <w:b/>
          <w:color w:val="000000"/>
          <w:sz w:val="22"/>
          <w:szCs w:val="22"/>
          <w:lang w:val="sv-SE"/>
        </w:rPr>
        <w:t>Om du behandlas för DFSP:</w:t>
      </w:r>
    </w:p>
    <w:p w14:paraId="1EB168D9" w14:textId="78DA2786" w:rsidR="00CE607D" w:rsidRPr="000E7AE9" w:rsidRDefault="00CE607D" w:rsidP="00463647">
      <w:pPr>
        <w:pStyle w:val="TextChar"/>
        <w:widowControl w:val="0"/>
        <w:spacing w:before="0"/>
        <w:ind w:left="567" w:firstLine="60"/>
        <w:jc w:val="left"/>
        <w:rPr>
          <w:color w:val="000000"/>
          <w:sz w:val="22"/>
          <w:szCs w:val="22"/>
          <w:lang w:val="sv-SE"/>
        </w:rPr>
      </w:pPr>
      <w:r>
        <w:rPr>
          <w:color w:val="000000"/>
          <w:sz w:val="22"/>
          <w:szCs w:val="22"/>
          <w:lang w:val="sv-SE"/>
        </w:rPr>
        <w:t>ä</w:t>
      </w:r>
      <w:r w:rsidRPr="000E7AE9">
        <w:rPr>
          <w:color w:val="000000"/>
          <w:sz w:val="22"/>
          <w:szCs w:val="22"/>
          <w:lang w:val="sv-SE"/>
        </w:rPr>
        <w:t>r dosen 800 mg per dygn</w:t>
      </w:r>
      <w:r>
        <w:rPr>
          <w:color w:val="000000"/>
          <w:sz w:val="22"/>
          <w:szCs w:val="22"/>
          <w:lang w:val="sv-SE"/>
        </w:rPr>
        <w:t xml:space="preserve"> </w:t>
      </w:r>
      <w:r w:rsidRPr="000E7AE9">
        <w:rPr>
          <w:color w:val="000000"/>
          <w:sz w:val="22"/>
          <w:szCs w:val="22"/>
          <w:lang w:val="sv-SE"/>
        </w:rPr>
        <w:t xml:space="preserve">som tas som </w:t>
      </w:r>
      <w:r>
        <w:rPr>
          <w:color w:val="000000"/>
          <w:sz w:val="22"/>
          <w:szCs w:val="22"/>
          <w:lang w:val="sv-SE"/>
        </w:rPr>
        <w:t>4</w:t>
      </w:r>
      <w:r w:rsidR="001543B7">
        <w:rPr>
          <w:color w:val="000000"/>
          <w:sz w:val="22"/>
          <w:szCs w:val="22"/>
          <w:lang w:val="sv-SE"/>
        </w:rPr>
        <w:t>00</w:t>
      </w:r>
      <w:r>
        <w:rPr>
          <w:color w:val="000000"/>
          <w:sz w:val="22"/>
          <w:szCs w:val="22"/>
          <w:lang w:val="sv-SE"/>
        </w:rPr>
        <w:t> </w:t>
      </w:r>
      <w:r w:rsidR="001543B7">
        <w:rPr>
          <w:color w:val="000000"/>
          <w:sz w:val="22"/>
          <w:szCs w:val="22"/>
          <w:lang w:val="sv-SE"/>
        </w:rPr>
        <w:t>mg</w:t>
      </w:r>
      <w:r w:rsidRPr="000E7AE9">
        <w:rPr>
          <w:color w:val="000000"/>
          <w:sz w:val="22"/>
          <w:szCs w:val="22"/>
          <w:lang w:val="sv-SE"/>
        </w:rPr>
        <w:t xml:space="preserve"> på morgonen och </w:t>
      </w:r>
      <w:r>
        <w:rPr>
          <w:color w:val="000000"/>
          <w:sz w:val="22"/>
          <w:szCs w:val="22"/>
          <w:lang w:val="sv-SE"/>
        </w:rPr>
        <w:t>4</w:t>
      </w:r>
      <w:r w:rsidR="001543B7">
        <w:rPr>
          <w:color w:val="000000"/>
          <w:sz w:val="22"/>
          <w:szCs w:val="22"/>
          <w:lang w:val="sv-SE"/>
        </w:rPr>
        <w:t>00</w:t>
      </w:r>
      <w:r>
        <w:rPr>
          <w:color w:val="000000"/>
          <w:sz w:val="22"/>
          <w:szCs w:val="22"/>
          <w:lang w:val="sv-SE"/>
        </w:rPr>
        <w:t> </w:t>
      </w:r>
      <w:r w:rsidR="001543B7">
        <w:rPr>
          <w:color w:val="000000"/>
          <w:sz w:val="22"/>
          <w:szCs w:val="22"/>
          <w:lang w:val="sv-SE"/>
        </w:rPr>
        <w:t xml:space="preserve">mg </w:t>
      </w:r>
      <w:r w:rsidRPr="000E7AE9">
        <w:rPr>
          <w:color w:val="000000"/>
          <w:sz w:val="22"/>
          <w:szCs w:val="22"/>
          <w:lang w:val="sv-SE"/>
        </w:rPr>
        <w:t>på kvällen.</w:t>
      </w:r>
    </w:p>
    <w:p w14:paraId="17101BE2" w14:textId="2B203E68" w:rsidR="00CE607D" w:rsidRDefault="00CE607D" w:rsidP="00463647">
      <w:pPr>
        <w:pStyle w:val="Heading2"/>
        <w:keepNext w:val="0"/>
        <w:widowControl w:val="0"/>
        <w:spacing w:before="0" w:after="0" w:line="240" w:lineRule="auto"/>
        <w:rPr>
          <w:rFonts w:ascii="Times New Roman" w:hAnsi="Times New Roman"/>
          <w:b w:val="0"/>
          <w:i w:val="0"/>
          <w:color w:val="000000"/>
          <w:sz w:val="22"/>
          <w:szCs w:val="22"/>
          <w:lang w:val="sv-SE"/>
        </w:rPr>
      </w:pPr>
    </w:p>
    <w:p w14:paraId="0F06F21A" w14:textId="0FB72E99" w:rsidR="001543B7" w:rsidRDefault="001543B7" w:rsidP="00644A2E">
      <w:pPr>
        <w:rPr>
          <w:lang w:val="sv-SE"/>
        </w:rPr>
      </w:pPr>
      <w:r>
        <w:rPr>
          <w:lang w:val="sv-SE"/>
        </w:rPr>
        <w:t>En 400 mg</w:t>
      </w:r>
      <w:r w:rsidR="00A62C3F">
        <w:rPr>
          <w:lang w:val="sv-SE"/>
        </w:rPr>
        <w:t>-</w:t>
      </w:r>
      <w:r>
        <w:rPr>
          <w:lang w:val="sv-SE"/>
        </w:rPr>
        <w:t>dos kan tas antingen som 1</w:t>
      </w:r>
      <w:r w:rsidR="00A62C3F">
        <w:rPr>
          <w:lang w:val="sv-SE"/>
        </w:rPr>
        <w:t> tablett om 400 mg eller 4 tabletter om</w:t>
      </w:r>
      <w:r>
        <w:rPr>
          <w:lang w:val="sv-SE"/>
        </w:rPr>
        <w:t xml:space="preserve"> 100 mg.</w:t>
      </w:r>
    </w:p>
    <w:p w14:paraId="45D3EA16" w14:textId="2F29C557" w:rsidR="00A30870" w:rsidRDefault="00A30870" w:rsidP="00644A2E">
      <w:pPr>
        <w:rPr>
          <w:lang w:val="sv-SE"/>
        </w:rPr>
      </w:pPr>
      <w:r>
        <w:rPr>
          <w:lang w:val="sv-SE"/>
        </w:rPr>
        <w:t>En 600 mg</w:t>
      </w:r>
      <w:r w:rsidR="00A62C3F">
        <w:rPr>
          <w:lang w:val="sv-SE"/>
        </w:rPr>
        <w:t>-</w:t>
      </w:r>
      <w:r w:rsidR="000927DD">
        <w:rPr>
          <w:lang w:val="sv-SE"/>
        </w:rPr>
        <w:t>dos tas som 1 tablett om</w:t>
      </w:r>
      <w:r>
        <w:rPr>
          <w:lang w:val="sv-SE"/>
        </w:rPr>
        <w:t xml:space="preserve"> 400 mg plus 2 tabletter </w:t>
      </w:r>
      <w:r w:rsidR="000927DD">
        <w:rPr>
          <w:lang w:val="sv-SE"/>
        </w:rPr>
        <w:t>om</w:t>
      </w:r>
      <w:r>
        <w:rPr>
          <w:lang w:val="sv-SE"/>
        </w:rPr>
        <w:t xml:space="preserve"> 100 mg.</w:t>
      </w:r>
    </w:p>
    <w:p w14:paraId="7F6204D6" w14:textId="77777777" w:rsidR="00A30870" w:rsidRPr="00644A2E" w:rsidRDefault="00A30870" w:rsidP="00644A2E">
      <w:pPr>
        <w:rPr>
          <w:lang w:val="sv-SE"/>
        </w:rPr>
      </w:pPr>
    </w:p>
    <w:p w14:paraId="600A78C7" w14:textId="77777777" w:rsidR="00CE607D" w:rsidRPr="00EA3C0F" w:rsidRDefault="00CE607D" w:rsidP="009E09A2">
      <w:pPr>
        <w:keepNext/>
        <w:widowControl w:val="0"/>
        <w:spacing w:line="240" w:lineRule="auto"/>
        <w:outlineLvl w:val="0"/>
        <w:rPr>
          <w:b/>
          <w:color w:val="000000"/>
          <w:szCs w:val="22"/>
          <w:lang w:val="sv-SE"/>
        </w:rPr>
      </w:pPr>
      <w:r w:rsidRPr="00EA3C0F">
        <w:rPr>
          <w:b/>
          <w:color w:val="000000"/>
          <w:szCs w:val="22"/>
          <w:lang w:val="sv-SE"/>
        </w:rPr>
        <w:t xml:space="preserve">Användning </w:t>
      </w:r>
      <w:r w:rsidR="00085502">
        <w:rPr>
          <w:b/>
          <w:color w:val="000000"/>
          <w:szCs w:val="22"/>
          <w:lang w:val="sv-SE"/>
        </w:rPr>
        <w:t xml:space="preserve">för </w:t>
      </w:r>
      <w:r w:rsidRPr="00EA3C0F">
        <w:rPr>
          <w:b/>
          <w:color w:val="000000"/>
          <w:szCs w:val="22"/>
          <w:lang w:val="sv-SE"/>
        </w:rPr>
        <w:t>barn</w:t>
      </w:r>
      <w:r w:rsidR="00085502">
        <w:rPr>
          <w:b/>
          <w:color w:val="000000"/>
          <w:szCs w:val="22"/>
          <w:lang w:val="sv-SE"/>
        </w:rPr>
        <w:t xml:space="preserve"> och </w:t>
      </w:r>
      <w:r w:rsidR="00E27E52">
        <w:rPr>
          <w:b/>
          <w:color w:val="000000"/>
          <w:szCs w:val="22"/>
          <w:lang w:val="sv-SE"/>
        </w:rPr>
        <w:t>ungdomar</w:t>
      </w:r>
    </w:p>
    <w:p w14:paraId="0CC855AB" w14:textId="77777777" w:rsidR="00CE607D" w:rsidRPr="000E7AE9" w:rsidRDefault="00CE607D" w:rsidP="00463647">
      <w:pPr>
        <w:widowControl w:val="0"/>
        <w:spacing w:line="240" w:lineRule="auto"/>
        <w:rPr>
          <w:color w:val="000000"/>
          <w:szCs w:val="22"/>
          <w:lang w:val="sv-SE"/>
        </w:rPr>
      </w:pPr>
      <w:r w:rsidRPr="000E7AE9">
        <w:rPr>
          <w:color w:val="000000"/>
          <w:szCs w:val="22"/>
          <w:lang w:val="sv-SE"/>
        </w:rPr>
        <w:t xml:space="preserve">Din läkare informerar dig om hur många tabletter Glivec </w:t>
      </w:r>
      <w:r>
        <w:rPr>
          <w:color w:val="000000"/>
          <w:szCs w:val="22"/>
          <w:lang w:val="sv-SE"/>
        </w:rPr>
        <w:t>som</w:t>
      </w:r>
      <w:r w:rsidRPr="000E7AE9">
        <w:rPr>
          <w:color w:val="000000"/>
          <w:szCs w:val="22"/>
          <w:lang w:val="sv-SE"/>
        </w:rPr>
        <w:t xml:space="preserve"> ska ge</w:t>
      </w:r>
      <w:r>
        <w:rPr>
          <w:color w:val="000000"/>
          <w:szCs w:val="22"/>
          <w:lang w:val="sv-SE"/>
        </w:rPr>
        <w:t>s till</w:t>
      </w:r>
      <w:r w:rsidRPr="000E7AE9">
        <w:rPr>
          <w:color w:val="000000"/>
          <w:szCs w:val="22"/>
          <w:lang w:val="sv-SE"/>
        </w:rPr>
        <w:t xml:space="preserve"> ditt barn. Mängden Glivec som ges är beroende av ditt barns tillstånd</w:t>
      </w:r>
      <w:r>
        <w:rPr>
          <w:color w:val="000000"/>
          <w:szCs w:val="22"/>
          <w:lang w:val="sv-SE"/>
        </w:rPr>
        <w:t>,</w:t>
      </w:r>
      <w:r w:rsidRPr="000E7AE9">
        <w:rPr>
          <w:color w:val="000000"/>
          <w:szCs w:val="22"/>
          <w:lang w:val="sv-SE"/>
        </w:rPr>
        <w:t xml:space="preserve"> kroppsvikt och längd. Den totala dosen till barn skall inte överstiga 800 mg</w:t>
      </w:r>
      <w:r w:rsidR="00D046C5">
        <w:rPr>
          <w:color w:val="000000"/>
          <w:szCs w:val="22"/>
          <w:lang w:val="sv-SE"/>
        </w:rPr>
        <w:t xml:space="preserve"> vid KML och 600 mg vid Ph</w:t>
      </w:r>
      <w:r w:rsidR="00C16421">
        <w:rPr>
          <w:color w:val="000000"/>
          <w:szCs w:val="22"/>
          <w:lang w:val="sv-SE"/>
        </w:rPr>
        <w:t xml:space="preserve">-positiv </w:t>
      </w:r>
      <w:r w:rsidR="00D046C5">
        <w:rPr>
          <w:color w:val="000000"/>
          <w:szCs w:val="22"/>
          <w:lang w:val="sv-SE"/>
        </w:rPr>
        <w:t>ALL</w:t>
      </w:r>
      <w:r>
        <w:rPr>
          <w:color w:val="000000"/>
          <w:szCs w:val="22"/>
          <w:lang w:val="sv-SE"/>
        </w:rPr>
        <w:t>.</w:t>
      </w:r>
      <w:r w:rsidRPr="000E7AE9">
        <w:rPr>
          <w:color w:val="000000"/>
          <w:szCs w:val="22"/>
          <w:lang w:val="sv-SE"/>
        </w:rPr>
        <w:t xml:space="preserve"> Behandlingen kan antingen ges till ditt barn som en engångsdos eller alternativt kan den dagliga dosen ges vid två olika tillfällen (</w:t>
      </w:r>
      <w:r>
        <w:rPr>
          <w:color w:val="000000"/>
          <w:szCs w:val="22"/>
          <w:lang w:val="sv-SE"/>
        </w:rPr>
        <w:t>hälften</w:t>
      </w:r>
      <w:r w:rsidRPr="000E7AE9">
        <w:rPr>
          <w:color w:val="000000"/>
          <w:szCs w:val="22"/>
          <w:lang w:val="sv-SE"/>
        </w:rPr>
        <w:t xml:space="preserve"> på morgonen och </w:t>
      </w:r>
      <w:r>
        <w:rPr>
          <w:color w:val="000000"/>
          <w:szCs w:val="22"/>
          <w:lang w:val="sv-SE"/>
        </w:rPr>
        <w:t>hälften</w:t>
      </w:r>
      <w:r w:rsidRPr="000E7AE9">
        <w:rPr>
          <w:color w:val="000000"/>
          <w:szCs w:val="22"/>
          <w:lang w:val="sv-SE"/>
        </w:rPr>
        <w:t xml:space="preserve"> på kvällen).</w:t>
      </w:r>
    </w:p>
    <w:p w14:paraId="7C8B3FC2" w14:textId="77777777" w:rsidR="00CE607D" w:rsidRPr="000E7AE9" w:rsidRDefault="00CE607D" w:rsidP="00463647">
      <w:pPr>
        <w:widowControl w:val="0"/>
        <w:spacing w:line="240" w:lineRule="auto"/>
        <w:rPr>
          <w:color w:val="000000"/>
          <w:szCs w:val="22"/>
          <w:lang w:val="sv-SE"/>
        </w:rPr>
      </w:pPr>
    </w:p>
    <w:p w14:paraId="0519EFFD" w14:textId="77777777" w:rsidR="00CE607D" w:rsidRDefault="00CE607D" w:rsidP="009E09A2">
      <w:pPr>
        <w:pStyle w:val="TextChar"/>
        <w:keepNext/>
        <w:widowControl w:val="0"/>
        <w:spacing w:before="0"/>
        <w:jc w:val="left"/>
        <w:outlineLvl w:val="0"/>
        <w:rPr>
          <w:b/>
          <w:color w:val="000000"/>
          <w:sz w:val="22"/>
          <w:szCs w:val="22"/>
          <w:lang w:val="sv-SE"/>
        </w:rPr>
      </w:pPr>
      <w:r w:rsidRPr="000E7AE9">
        <w:rPr>
          <w:b/>
          <w:color w:val="000000"/>
          <w:sz w:val="22"/>
          <w:szCs w:val="22"/>
          <w:lang w:val="sv-SE"/>
        </w:rPr>
        <w:t>När och hur skall man ta Glivec?</w:t>
      </w:r>
    </w:p>
    <w:p w14:paraId="4F186FC9" w14:textId="77777777" w:rsidR="00CE607D" w:rsidRDefault="00CE607D" w:rsidP="00463647">
      <w:pPr>
        <w:pStyle w:val="EndnoteText"/>
        <w:widowControl w:val="0"/>
        <w:tabs>
          <w:tab w:val="clear" w:pos="567"/>
        </w:tabs>
        <w:ind w:left="567" w:hanging="567"/>
        <w:rPr>
          <w:color w:val="000000"/>
          <w:szCs w:val="22"/>
          <w:lang w:val="sv-SE"/>
        </w:rPr>
      </w:pPr>
      <w:r w:rsidRPr="00886D3C">
        <w:rPr>
          <w:b/>
          <w:color w:val="000000"/>
          <w:szCs w:val="22"/>
          <w:lang w:val="sv-SE"/>
        </w:rPr>
        <w:t>-</w:t>
      </w:r>
      <w:r w:rsidRPr="00886D3C">
        <w:rPr>
          <w:b/>
          <w:color w:val="000000"/>
          <w:szCs w:val="22"/>
          <w:lang w:val="sv-SE"/>
        </w:rPr>
        <w:tab/>
      </w:r>
      <w:r w:rsidRPr="000E7AE9">
        <w:rPr>
          <w:b/>
          <w:color w:val="000000"/>
          <w:szCs w:val="22"/>
          <w:lang w:val="sv-SE"/>
        </w:rPr>
        <w:t>Ta Glivec i samband med en måltid</w:t>
      </w:r>
      <w:r>
        <w:rPr>
          <w:b/>
          <w:color w:val="000000"/>
          <w:szCs w:val="22"/>
          <w:lang w:val="sv-SE"/>
        </w:rPr>
        <w:t>.</w:t>
      </w:r>
      <w:r w:rsidRPr="000E7AE9">
        <w:rPr>
          <w:b/>
          <w:color w:val="000000"/>
          <w:szCs w:val="22"/>
          <w:lang w:val="sv-SE"/>
        </w:rPr>
        <w:t xml:space="preserve"> </w:t>
      </w:r>
      <w:r>
        <w:rPr>
          <w:color w:val="000000"/>
          <w:szCs w:val="22"/>
          <w:lang w:val="sv-SE"/>
        </w:rPr>
        <w:t xml:space="preserve">Det </w:t>
      </w:r>
      <w:r w:rsidRPr="00D62391">
        <w:rPr>
          <w:color w:val="000000"/>
          <w:szCs w:val="22"/>
          <w:lang w:val="sv-SE"/>
        </w:rPr>
        <w:t>hjälper till att skydda</w:t>
      </w:r>
      <w:r>
        <w:rPr>
          <w:color w:val="000000"/>
          <w:szCs w:val="22"/>
          <w:lang w:val="sv-SE"/>
        </w:rPr>
        <w:t xml:space="preserve"> mot magproblem när du tar Glivec</w:t>
      </w:r>
      <w:r w:rsidRPr="00D62391">
        <w:rPr>
          <w:color w:val="000000"/>
          <w:szCs w:val="22"/>
          <w:lang w:val="sv-SE"/>
        </w:rPr>
        <w:t>.</w:t>
      </w:r>
    </w:p>
    <w:p w14:paraId="778558AB" w14:textId="77777777" w:rsidR="00CE607D" w:rsidRPr="00D62391" w:rsidRDefault="00CE607D" w:rsidP="00463647">
      <w:pPr>
        <w:pStyle w:val="EndnoteText"/>
        <w:widowControl w:val="0"/>
        <w:tabs>
          <w:tab w:val="clear" w:pos="567"/>
        </w:tabs>
        <w:rPr>
          <w:b/>
          <w:color w:val="000000"/>
          <w:szCs w:val="22"/>
          <w:lang w:val="sv-SE"/>
        </w:rPr>
      </w:pPr>
      <w:r w:rsidRPr="00D62391">
        <w:rPr>
          <w:b/>
          <w:color w:val="000000"/>
          <w:szCs w:val="22"/>
          <w:lang w:val="sv-SE"/>
        </w:rPr>
        <w:t>-</w:t>
      </w:r>
      <w:r w:rsidRPr="00D62391">
        <w:rPr>
          <w:b/>
          <w:color w:val="000000"/>
          <w:szCs w:val="22"/>
          <w:lang w:val="sv-SE"/>
        </w:rPr>
        <w:tab/>
        <w:t>Svälj tabletterna hela med ett stort glas vatten.</w:t>
      </w:r>
    </w:p>
    <w:p w14:paraId="51A7927A" w14:textId="77777777" w:rsidR="00CE607D" w:rsidRPr="000E7AE9" w:rsidRDefault="00CE607D" w:rsidP="00463647">
      <w:pPr>
        <w:pStyle w:val="EndnoteText"/>
        <w:widowControl w:val="0"/>
        <w:tabs>
          <w:tab w:val="clear" w:pos="567"/>
        </w:tabs>
        <w:rPr>
          <w:color w:val="000000"/>
          <w:szCs w:val="22"/>
          <w:lang w:val="sv-SE"/>
        </w:rPr>
      </w:pPr>
    </w:p>
    <w:p w14:paraId="24AB43FD" w14:textId="77777777" w:rsidR="00CE607D" w:rsidRPr="000E7AE9" w:rsidRDefault="00CE607D" w:rsidP="009E09A2">
      <w:pPr>
        <w:pStyle w:val="EndnoteText"/>
        <w:keepNext/>
        <w:widowControl w:val="0"/>
        <w:tabs>
          <w:tab w:val="clear" w:pos="567"/>
        </w:tabs>
        <w:rPr>
          <w:color w:val="000000"/>
          <w:szCs w:val="22"/>
          <w:lang w:val="sv-SE"/>
        </w:rPr>
      </w:pPr>
      <w:r w:rsidRPr="000E7AE9">
        <w:rPr>
          <w:color w:val="000000"/>
          <w:szCs w:val="22"/>
          <w:lang w:val="sv-SE"/>
        </w:rPr>
        <w:t xml:space="preserve">Om du inte kan svälja tabletterna, kan du slamma upp dem i endera ett glas </w:t>
      </w:r>
      <w:r>
        <w:rPr>
          <w:color w:val="000000"/>
          <w:szCs w:val="22"/>
          <w:lang w:val="sv-SE"/>
        </w:rPr>
        <w:t xml:space="preserve">icke kolsyrat </w:t>
      </w:r>
      <w:r w:rsidRPr="000E7AE9">
        <w:rPr>
          <w:color w:val="000000"/>
          <w:szCs w:val="22"/>
          <w:lang w:val="sv-SE"/>
        </w:rPr>
        <w:t>vatten eller äppeljuice:</w:t>
      </w:r>
    </w:p>
    <w:p w14:paraId="595C0971" w14:textId="6776AE8F" w:rsidR="00CE607D" w:rsidRPr="000E7AE9" w:rsidRDefault="00CE607D" w:rsidP="00463647">
      <w:pPr>
        <w:pStyle w:val="EndnoteText"/>
        <w:widowControl w:val="0"/>
        <w:numPr>
          <w:ilvl w:val="0"/>
          <w:numId w:val="10"/>
        </w:numPr>
        <w:tabs>
          <w:tab w:val="clear" w:pos="567"/>
          <w:tab w:val="clear" w:pos="927"/>
        </w:tabs>
        <w:ind w:left="567" w:hanging="567"/>
        <w:rPr>
          <w:color w:val="000000"/>
          <w:szCs w:val="22"/>
          <w:lang w:val="sv-SE"/>
        </w:rPr>
      </w:pPr>
      <w:r>
        <w:rPr>
          <w:color w:val="000000"/>
          <w:szCs w:val="22"/>
          <w:lang w:val="sv-SE"/>
        </w:rPr>
        <w:t xml:space="preserve">Ta </w:t>
      </w:r>
      <w:r w:rsidRPr="000E7AE9">
        <w:rPr>
          <w:color w:val="000000"/>
          <w:szCs w:val="22"/>
          <w:lang w:val="sv-SE"/>
        </w:rPr>
        <w:t xml:space="preserve">cirka 50 ml för </w:t>
      </w:r>
      <w:r>
        <w:rPr>
          <w:color w:val="000000"/>
          <w:szCs w:val="22"/>
          <w:lang w:val="sv-SE"/>
        </w:rPr>
        <w:t>varje</w:t>
      </w:r>
      <w:r w:rsidRPr="000E7AE9">
        <w:rPr>
          <w:color w:val="000000"/>
          <w:szCs w:val="22"/>
          <w:lang w:val="sv-SE"/>
        </w:rPr>
        <w:t xml:space="preserve"> 100 mg-tablett</w:t>
      </w:r>
      <w:r w:rsidR="00A30870">
        <w:rPr>
          <w:color w:val="000000"/>
          <w:szCs w:val="22"/>
          <w:lang w:val="sv-SE"/>
        </w:rPr>
        <w:t xml:space="preserve"> eller 200 ml för varje 400</w:t>
      </w:r>
      <w:r w:rsidR="00F60A89">
        <w:rPr>
          <w:color w:val="000000"/>
          <w:szCs w:val="22"/>
          <w:lang w:val="sv-SE"/>
        </w:rPr>
        <w:t> </w:t>
      </w:r>
      <w:r w:rsidR="00A30870">
        <w:rPr>
          <w:color w:val="000000"/>
          <w:szCs w:val="22"/>
          <w:lang w:val="sv-SE"/>
        </w:rPr>
        <w:t>mg</w:t>
      </w:r>
      <w:r w:rsidR="000927DD">
        <w:rPr>
          <w:color w:val="000000"/>
          <w:szCs w:val="22"/>
          <w:lang w:val="sv-SE"/>
        </w:rPr>
        <w:t>-</w:t>
      </w:r>
      <w:r w:rsidR="00A30870">
        <w:rPr>
          <w:color w:val="000000"/>
          <w:szCs w:val="22"/>
          <w:lang w:val="sv-SE"/>
        </w:rPr>
        <w:t>tablett</w:t>
      </w:r>
      <w:r>
        <w:rPr>
          <w:color w:val="000000"/>
          <w:szCs w:val="22"/>
          <w:lang w:val="sv-SE"/>
        </w:rPr>
        <w:t>.</w:t>
      </w:r>
    </w:p>
    <w:p w14:paraId="3AE3074C" w14:textId="77777777" w:rsidR="00CE607D" w:rsidRPr="000E7AE9" w:rsidRDefault="00CE607D" w:rsidP="00463647">
      <w:pPr>
        <w:pStyle w:val="EndnoteText"/>
        <w:widowControl w:val="0"/>
        <w:numPr>
          <w:ilvl w:val="0"/>
          <w:numId w:val="10"/>
        </w:numPr>
        <w:tabs>
          <w:tab w:val="clear" w:pos="567"/>
          <w:tab w:val="clear" w:pos="927"/>
        </w:tabs>
        <w:ind w:left="567" w:hanging="567"/>
        <w:rPr>
          <w:color w:val="000000"/>
          <w:szCs w:val="22"/>
          <w:lang w:val="sv-SE"/>
        </w:rPr>
      </w:pPr>
      <w:r w:rsidRPr="000E7AE9">
        <w:rPr>
          <w:color w:val="000000"/>
          <w:szCs w:val="22"/>
          <w:lang w:val="sv-SE"/>
        </w:rPr>
        <w:t>Rör om med en sked tills tabletterna har lösts upp</w:t>
      </w:r>
      <w:r>
        <w:rPr>
          <w:color w:val="000000"/>
          <w:szCs w:val="22"/>
          <w:lang w:val="sv-SE"/>
        </w:rPr>
        <w:t xml:space="preserve"> sig</w:t>
      </w:r>
      <w:r w:rsidRPr="000E7AE9">
        <w:rPr>
          <w:color w:val="000000"/>
          <w:szCs w:val="22"/>
          <w:lang w:val="sv-SE"/>
        </w:rPr>
        <w:t xml:space="preserve"> fullständigt</w:t>
      </w:r>
      <w:r>
        <w:rPr>
          <w:color w:val="000000"/>
          <w:szCs w:val="22"/>
          <w:lang w:val="sv-SE"/>
        </w:rPr>
        <w:t>.</w:t>
      </w:r>
    </w:p>
    <w:p w14:paraId="329BC0E2" w14:textId="77777777" w:rsidR="00CE607D" w:rsidRPr="000E7AE9" w:rsidRDefault="00CE607D" w:rsidP="00463647">
      <w:pPr>
        <w:pStyle w:val="EndnoteText"/>
        <w:widowControl w:val="0"/>
        <w:numPr>
          <w:ilvl w:val="0"/>
          <w:numId w:val="10"/>
        </w:numPr>
        <w:tabs>
          <w:tab w:val="clear" w:pos="567"/>
          <w:tab w:val="clear" w:pos="927"/>
        </w:tabs>
        <w:ind w:left="567" w:hanging="567"/>
        <w:rPr>
          <w:color w:val="000000"/>
          <w:szCs w:val="22"/>
          <w:lang w:val="sv-SE"/>
        </w:rPr>
      </w:pPr>
      <w:r>
        <w:rPr>
          <w:color w:val="000000"/>
          <w:szCs w:val="22"/>
          <w:lang w:val="sv-SE"/>
        </w:rPr>
        <w:t>När tabletten har lösts upp drick omedelbart upp hela innehållet i glaset.</w:t>
      </w:r>
      <w:r w:rsidRPr="000E7AE9">
        <w:rPr>
          <w:color w:val="000000"/>
          <w:szCs w:val="22"/>
          <w:lang w:val="sv-SE"/>
        </w:rPr>
        <w:t xml:space="preserve"> Rester av de upplösta tabletterna kan finnas kvar i glaset.</w:t>
      </w:r>
    </w:p>
    <w:p w14:paraId="1C436283" w14:textId="77777777" w:rsidR="00CE607D" w:rsidRPr="000E7AE9" w:rsidRDefault="00CE607D" w:rsidP="00463647">
      <w:pPr>
        <w:pStyle w:val="EndnoteText"/>
        <w:widowControl w:val="0"/>
        <w:tabs>
          <w:tab w:val="clear" w:pos="567"/>
        </w:tabs>
        <w:rPr>
          <w:color w:val="000000"/>
          <w:szCs w:val="22"/>
          <w:lang w:val="sv-SE"/>
        </w:rPr>
      </w:pPr>
    </w:p>
    <w:p w14:paraId="60270F35" w14:textId="77777777" w:rsidR="00CE607D" w:rsidRPr="000E7AE9" w:rsidRDefault="00CE607D" w:rsidP="009E09A2">
      <w:pPr>
        <w:pStyle w:val="TextChar"/>
        <w:keepNext/>
        <w:widowControl w:val="0"/>
        <w:spacing w:before="0"/>
        <w:jc w:val="left"/>
        <w:outlineLvl w:val="0"/>
        <w:rPr>
          <w:b/>
          <w:color w:val="000000"/>
          <w:sz w:val="22"/>
          <w:szCs w:val="22"/>
          <w:lang w:val="sv-SE"/>
        </w:rPr>
      </w:pPr>
      <w:r w:rsidRPr="000E7AE9">
        <w:rPr>
          <w:b/>
          <w:color w:val="000000"/>
          <w:sz w:val="22"/>
          <w:szCs w:val="22"/>
          <w:lang w:val="sv-SE"/>
        </w:rPr>
        <w:t>Hur länge skall man ta Glivec?</w:t>
      </w:r>
    </w:p>
    <w:p w14:paraId="557F595E" w14:textId="77777777" w:rsidR="00CE607D" w:rsidRDefault="00CE607D" w:rsidP="00463647">
      <w:pPr>
        <w:pStyle w:val="TextChar"/>
        <w:widowControl w:val="0"/>
        <w:spacing w:before="0"/>
        <w:jc w:val="left"/>
        <w:rPr>
          <w:color w:val="000000"/>
          <w:sz w:val="22"/>
          <w:szCs w:val="22"/>
          <w:lang w:val="sv-SE"/>
        </w:rPr>
      </w:pPr>
      <w:r>
        <w:rPr>
          <w:color w:val="000000"/>
          <w:sz w:val="22"/>
          <w:szCs w:val="22"/>
          <w:lang w:val="sv-SE"/>
        </w:rPr>
        <w:t>Fortsätt att t</w:t>
      </w:r>
      <w:r w:rsidRPr="000E7AE9">
        <w:rPr>
          <w:color w:val="000000"/>
          <w:sz w:val="22"/>
          <w:szCs w:val="22"/>
          <w:lang w:val="sv-SE"/>
        </w:rPr>
        <w:t>a Glivec varje dag</w:t>
      </w:r>
      <w:r>
        <w:rPr>
          <w:color w:val="000000"/>
          <w:sz w:val="22"/>
          <w:szCs w:val="22"/>
          <w:lang w:val="sv-SE"/>
        </w:rPr>
        <w:t xml:space="preserve"> så länge</w:t>
      </w:r>
      <w:r w:rsidRPr="000E7AE9">
        <w:rPr>
          <w:color w:val="000000"/>
          <w:sz w:val="22"/>
          <w:szCs w:val="22"/>
          <w:lang w:val="sv-SE"/>
        </w:rPr>
        <w:t xml:space="preserve"> din läkare säger åt dig att </w:t>
      </w:r>
      <w:r>
        <w:rPr>
          <w:color w:val="000000"/>
          <w:sz w:val="22"/>
          <w:szCs w:val="22"/>
          <w:lang w:val="sv-SE"/>
        </w:rPr>
        <w:t>göra det</w:t>
      </w:r>
      <w:r w:rsidRPr="000E7AE9">
        <w:rPr>
          <w:color w:val="000000"/>
          <w:sz w:val="22"/>
          <w:szCs w:val="22"/>
          <w:lang w:val="sv-SE"/>
        </w:rPr>
        <w:t>.</w:t>
      </w:r>
    </w:p>
    <w:p w14:paraId="11944152" w14:textId="77777777" w:rsidR="00CE607D" w:rsidRPr="000E7AE9" w:rsidRDefault="00CE607D" w:rsidP="00463647">
      <w:pPr>
        <w:pStyle w:val="TextChar"/>
        <w:widowControl w:val="0"/>
        <w:spacing w:before="0"/>
        <w:jc w:val="left"/>
        <w:rPr>
          <w:color w:val="000000"/>
          <w:sz w:val="22"/>
          <w:szCs w:val="22"/>
          <w:lang w:val="sv-SE"/>
        </w:rPr>
      </w:pPr>
    </w:p>
    <w:p w14:paraId="7F9A95EA" w14:textId="77777777" w:rsidR="00CE607D" w:rsidRPr="000E7AE9" w:rsidRDefault="00CE607D" w:rsidP="009E09A2">
      <w:pPr>
        <w:keepNext/>
        <w:widowControl w:val="0"/>
        <w:numPr>
          <w:ilvl w:val="12"/>
          <w:numId w:val="0"/>
        </w:numPr>
        <w:spacing w:line="240" w:lineRule="auto"/>
        <w:ind w:right="-2"/>
        <w:outlineLvl w:val="0"/>
        <w:rPr>
          <w:color w:val="000000"/>
          <w:szCs w:val="22"/>
          <w:lang w:val="sv-SE"/>
        </w:rPr>
      </w:pPr>
      <w:r w:rsidRPr="000E7AE9">
        <w:rPr>
          <w:b/>
          <w:color w:val="000000"/>
          <w:szCs w:val="22"/>
          <w:lang w:val="sv-SE"/>
        </w:rPr>
        <w:t>Om du har tagit för stor mängd av Glivec</w:t>
      </w:r>
    </w:p>
    <w:p w14:paraId="68763BE0" w14:textId="77777777" w:rsidR="00CE607D" w:rsidRPr="000E7AE9" w:rsidRDefault="00CE607D" w:rsidP="00463647">
      <w:pPr>
        <w:pStyle w:val="TextChar"/>
        <w:widowControl w:val="0"/>
        <w:spacing w:before="0"/>
        <w:jc w:val="left"/>
        <w:rPr>
          <w:color w:val="000000"/>
          <w:sz w:val="22"/>
          <w:szCs w:val="22"/>
          <w:lang w:val="sv-SE"/>
        </w:rPr>
      </w:pPr>
      <w:r w:rsidRPr="000E7AE9">
        <w:rPr>
          <w:color w:val="000000"/>
          <w:sz w:val="22"/>
          <w:szCs w:val="22"/>
          <w:lang w:val="sv-SE"/>
        </w:rPr>
        <w:t xml:space="preserve">Kontakta din läkare </w:t>
      </w:r>
      <w:r w:rsidRPr="000E7AE9">
        <w:rPr>
          <w:b/>
          <w:color w:val="000000"/>
          <w:sz w:val="22"/>
          <w:szCs w:val="22"/>
          <w:lang w:val="sv-SE"/>
        </w:rPr>
        <w:t xml:space="preserve">omedelbart </w:t>
      </w:r>
      <w:r w:rsidRPr="000E7AE9">
        <w:rPr>
          <w:color w:val="000000"/>
          <w:sz w:val="22"/>
          <w:szCs w:val="22"/>
          <w:lang w:val="sv-SE"/>
        </w:rPr>
        <w:t>om du av misstag tagit för många tabletter. Du kan behöva medicinsk vård.</w:t>
      </w:r>
      <w:r>
        <w:rPr>
          <w:color w:val="000000"/>
          <w:sz w:val="22"/>
          <w:szCs w:val="22"/>
          <w:lang w:val="sv-SE"/>
        </w:rPr>
        <w:t xml:space="preserve"> Ta med dig läkemedelsförpackningen.</w:t>
      </w:r>
    </w:p>
    <w:p w14:paraId="1AE3E29C" w14:textId="77777777" w:rsidR="00CE607D" w:rsidRPr="000E7AE9" w:rsidRDefault="00CE607D" w:rsidP="00463647">
      <w:pPr>
        <w:widowControl w:val="0"/>
        <w:numPr>
          <w:ilvl w:val="12"/>
          <w:numId w:val="0"/>
        </w:numPr>
        <w:tabs>
          <w:tab w:val="clear" w:pos="567"/>
        </w:tabs>
        <w:spacing w:line="240" w:lineRule="auto"/>
        <w:ind w:right="-2"/>
        <w:rPr>
          <w:color w:val="000000"/>
          <w:szCs w:val="22"/>
          <w:lang w:val="sv-SE"/>
        </w:rPr>
      </w:pPr>
    </w:p>
    <w:p w14:paraId="3379332B" w14:textId="77777777" w:rsidR="00CE607D" w:rsidRPr="000E7AE9" w:rsidRDefault="00CE607D" w:rsidP="009E09A2">
      <w:pPr>
        <w:keepNext/>
        <w:widowControl w:val="0"/>
        <w:numPr>
          <w:ilvl w:val="12"/>
          <w:numId w:val="0"/>
        </w:numPr>
        <w:tabs>
          <w:tab w:val="clear" w:pos="567"/>
        </w:tabs>
        <w:spacing w:line="240" w:lineRule="auto"/>
        <w:ind w:right="-2"/>
        <w:rPr>
          <w:b/>
          <w:color w:val="000000"/>
          <w:szCs w:val="22"/>
          <w:lang w:val="sv-SE"/>
        </w:rPr>
      </w:pPr>
      <w:r w:rsidRPr="000E7AE9">
        <w:rPr>
          <w:b/>
          <w:color w:val="000000"/>
          <w:szCs w:val="22"/>
          <w:lang w:val="sv-SE"/>
        </w:rPr>
        <w:t>Om du har glömt att ta Glivec</w:t>
      </w:r>
    </w:p>
    <w:p w14:paraId="4BACD0D0" w14:textId="77777777" w:rsidR="00CE607D" w:rsidRDefault="00CE607D" w:rsidP="00463647">
      <w:pPr>
        <w:widowControl w:val="0"/>
        <w:numPr>
          <w:ilvl w:val="12"/>
          <w:numId w:val="0"/>
        </w:numPr>
        <w:tabs>
          <w:tab w:val="clear" w:pos="567"/>
        </w:tabs>
        <w:spacing w:line="240" w:lineRule="auto"/>
        <w:ind w:left="567" w:right="-2" w:hanging="567"/>
        <w:rPr>
          <w:color w:val="000000"/>
          <w:szCs w:val="22"/>
          <w:lang w:val="sv-SE"/>
        </w:rPr>
      </w:pPr>
      <w:r w:rsidRPr="00886D3C">
        <w:rPr>
          <w:b/>
          <w:color w:val="000000"/>
          <w:szCs w:val="22"/>
          <w:lang w:val="sv-SE"/>
        </w:rPr>
        <w:t>-</w:t>
      </w:r>
      <w:r w:rsidRPr="00886D3C">
        <w:rPr>
          <w:b/>
          <w:color w:val="000000"/>
          <w:szCs w:val="22"/>
          <w:lang w:val="sv-SE"/>
        </w:rPr>
        <w:tab/>
      </w:r>
      <w:r>
        <w:rPr>
          <w:color w:val="000000"/>
          <w:szCs w:val="22"/>
          <w:lang w:val="sv-SE"/>
        </w:rPr>
        <w:t>Om du glömt att ta en dos, t</w:t>
      </w:r>
      <w:r w:rsidRPr="000E7AE9">
        <w:rPr>
          <w:color w:val="000000"/>
          <w:szCs w:val="22"/>
          <w:lang w:val="sv-SE"/>
        </w:rPr>
        <w:t>ag den så snart du kommer ihåg</w:t>
      </w:r>
      <w:r>
        <w:rPr>
          <w:color w:val="000000"/>
          <w:szCs w:val="22"/>
          <w:lang w:val="sv-SE"/>
        </w:rPr>
        <w:t>.</w:t>
      </w:r>
      <w:r w:rsidRPr="000E7AE9">
        <w:rPr>
          <w:color w:val="000000"/>
          <w:szCs w:val="22"/>
          <w:lang w:val="sv-SE"/>
        </w:rPr>
        <w:t xml:space="preserve"> </w:t>
      </w:r>
      <w:r>
        <w:rPr>
          <w:color w:val="000000"/>
          <w:szCs w:val="22"/>
          <w:lang w:val="sv-SE"/>
        </w:rPr>
        <w:t>Hoppa däremot över missad dos om det snart är dags att ta nästa dos.</w:t>
      </w:r>
    </w:p>
    <w:p w14:paraId="3FD38D62" w14:textId="77777777" w:rsidR="00CE607D" w:rsidRDefault="00CE607D" w:rsidP="00463647">
      <w:pPr>
        <w:widowControl w:val="0"/>
        <w:numPr>
          <w:ilvl w:val="12"/>
          <w:numId w:val="0"/>
        </w:numPr>
        <w:tabs>
          <w:tab w:val="clear" w:pos="567"/>
        </w:tabs>
        <w:spacing w:line="240" w:lineRule="auto"/>
        <w:ind w:right="-2"/>
        <w:rPr>
          <w:color w:val="000000"/>
          <w:szCs w:val="22"/>
          <w:lang w:val="sv-SE"/>
        </w:rPr>
      </w:pPr>
      <w:r w:rsidRPr="00886D3C">
        <w:rPr>
          <w:b/>
          <w:color w:val="000000"/>
          <w:szCs w:val="22"/>
          <w:lang w:val="sv-SE"/>
        </w:rPr>
        <w:t>-</w:t>
      </w:r>
      <w:r w:rsidRPr="00886D3C">
        <w:rPr>
          <w:b/>
          <w:color w:val="000000"/>
          <w:szCs w:val="22"/>
          <w:lang w:val="sv-SE"/>
        </w:rPr>
        <w:tab/>
      </w:r>
      <w:r w:rsidRPr="000E7AE9">
        <w:rPr>
          <w:color w:val="000000"/>
          <w:szCs w:val="22"/>
          <w:lang w:val="sv-SE"/>
        </w:rPr>
        <w:t>Fortsätt därefter med ditt normala schema.</w:t>
      </w:r>
    </w:p>
    <w:p w14:paraId="31E3CFEE" w14:textId="77777777" w:rsidR="00CE607D" w:rsidRPr="000E7AE9" w:rsidRDefault="00CE607D" w:rsidP="00463647">
      <w:pPr>
        <w:widowControl w:val="0"/>
        <w:numPr>
          <w:ilvl w:val="12"/>
          <w:numId w:val="0"/>
        </w:numPr>
        <w:tabs>
          <w:tab w:val="clear" w:pos="567"/>
        </w:tabs>
        <w:spacing w:line="240" w:lineRule="auto"/>
        <w:ind w:right="-2"/>
        <w:rPr>
          <w:color w:val="000000"/>
          <w:szCs w:val="22"/>
          <w:lang w:val="sv-SE"/>
        </w:rPr>
      </w:pPr>
      <w:r w:rsidRPr="00886D3C">
        <w:rPr>
          <w:b/>
          <w:color w:val="000000"/>
          <w:szCs w:val="22"/>
          <w:lang w:val="sv-SE"/>
        </w:rPr>
        <w:t>-</w:t>
      </w:r>
      <w:r w:rsidRPr="00886D3C">
        <w:rPr>
          <w:b/>
          <w:color w:val="000000"/>
          <w:szCs w:val="22"/>
          <w:lang w:val="sv-SE"/>
        </w:rPr>
        <w:tab/>
      </w:r>
      <w:r w:rsidRPr="000E7AE9">
        <w:rPr>
          <w:color w:val="000000"/>
          <w:szCs w:val="22"/>
          <w:lang w:val="sv-SE"/>
        </w:rPr>
        <w:t>Ta inte dubbel dos för att kompensera för glömd dos.</w:t>
      </w:r>
    </w:p>
    <w:p w14:paraId="0BACA373" w14:textId="77777777" w:rsidR="00CE607D" w:rsidRPr="000E7AE9" w:rsidRDefault="00CE607D" w:rsidP="00463647">
      <w:pPr>
        <w:widowControl w:val="0"/>
        <w:numPr>
          <w:ilvl w:val="12"/>
          <w:numId w:val="0"/>
        </w:numPr>
        <w:tabs>
          <w:tab w:val="clear" w:pos="567"/>
        </w:tabs>
        <w:spacing w:line="240" w:lineRule="auto"/>
        <w:ind w:right="-2"/>
        <w:rPr>
          <w:color w:val="000000"/>
          <w:szCs w:val="22"/>
          <w:lang w:val="sv-SE"/>
        </w:rPr>
      </w:pPr>
    </w:p>
    <w:p w14:paraId="790718EA" w14:textId="77777777" w:rsidR="00CE607D" w:rsidRPr="000E7AE9" w:rsidRDefault="00CE607D" w:rsidP="00463647">
      <w:pPr>
        <w:widowControl w:val="0"/>
        <w:numPr>
          <w:ilvl w:val="12"/>
          <w:numId w:val="0"/>
        </w:numPr>
        <w:tabs>
          <w:tab w:val="clear" w:pos="567"/>
        </w:tabs>
        <w:spacing w:line="240" w:lineRule="auto"/>
        <w:ind w:right="-2"/>
        <w:rPr>
          <w:color w:val="000000"/>
          <w:szCs w:val="22"/>
          <w:lang w:val="sv-SE"/>
        </w:rPr>
      </w:pPr>
      <w:r w:rsidRPr="000E7AE9">
        <w:rPr>
          <w:color w:val="000000"/>
          <w:szCs w:val="22"/>
          <w:lang w:val="sv-SE"/>
        </w:rPr>
        <w:t>Om du har ytterligare frågor om detta läkemedel kontakta läkare</w:t>
      </w:r>
      <w:r w:rsidR="00085502">
        <w:rPr>
          <w:color w:val="000000"/>
          <w:szCs w:val="22"/>
          <w:lang w:val="sv-SE"/>
        </w:rPr>
        <w:t>,</w:t>
      </w:r>
      <w:r w:rsidRPr="000E7AE9">
        <w:rPr>
          <w:color w:val="000000"/>
          <w:szCs w:val="22"/>
          <w:lang w:val="sv-SE"/>
        </w:rPr>
        <w:t xml:space="preserve"> apotekspersonal</w:t>
      </w:r>
      <w:r w:rsidR="00085502">
        <w:rPr>
          <w:color w:val="000000"/>
          <w:szCs w:val="22"/>
          <w:lang w:val="sv-SE"/>
        </w:rPr>
        <w:t xml:space="preserve"> eller sjuksköterska</w:t>
      </w:r>
      <w:r w:rsidRPr="000E7AE9">
        <w:rPr>
          <w:color w:val="000000"/>
          <w:szCs w:val="22"/>
          <w:lang w:val="sv-SE"/>
        </w:rPr>
        <w:t>.</w:t>
      </w:r>
    </w:p>
    <w:p w14:paraId="2053B44F" w14:textId="77777777" w:rsidR="00CE607D" w:rsidRPr="000E7AE9" w:rsidRDefault="00CE607D" w:rsidP="00463647">
      <w:pPr>
        <w:widowControl w:val="0"/>
        <w:numPr>
          <w:ilvl w:val="12"/>
          <w:numId w:val="0"/>
        </w:numPr>
        <w:spacing w:line="240" w:lineRule="auto"/>
        <w:ind w:right="-2"/>
        <w:rPr>
          <w:color w:val="000000"/>
          <w:szCs w:val="22"/>
          <w:lang w:val="sv-SE"/>
        </w:rPr>
      </w:pPr>
    </w:p>
    <w:p w14:paraId="4638F25F" w14:textId="77777777" w:rsidR="00CE607D" w:rsidRPr="000E7AE9" w:rsidRDefault="00CE607D" w:rsidP="00463647">
      <w:pPr>
        <w:widowControl w:val="0"/>
        <w:numPr>
          <w:ilvl w:val="12"/>
          <w:numId w:val="0"/>
        </w:numPr>
        <w:spacing w:line="240" w:lineRule="auto"/>
        <w:ind w:right="-2"/>
        <w:rPr>
          <w:color w:val="000000"/>
          <w:szCs w:val="22"/>
          <w:lang w:val="sv-SE"/>
        </w:rPr>
      </w:pPr>
    </w:p>
    <w:p w14:paraId="11B6FEC8" w14:textId="77777777" w:rsidR="00547CA2" w:rsidRPr="000E7AE9" w:rsidRDefault="00547CA2" w:rsidP="009E09A2">
      <w:pPr>
        <w:pStyle w:val="Heading4"/>
        <w:widowControl w:val="0"/>
        <w:spacing w:line="240" w:lineRule="auto"/>
        <w:rPr>
          <w:noProof w:val="0"/>
          <w:color w:val="000000"/>
          <w:szCs w:val="22"/>
          <w:lang w:val="sv-SE"/>
        </w:rPr>
      </w:pPr>
      <w:r w:rsidRPr="000E7AE9">
        <w:rPr>
          <w:noProof w:val="0"/>
          <w:color w:val="000000"/>
          <w:szCs w:val="22"/>
          <w:lang w:val="sv-SE"/>
        </w:rPr>
        <w:t>4.</w:t>
      </w:r>
      <w:r w:rsidRPr="000E7AE9">
        <w:rPr>
          <w:noProof w:val="0"/>
          <w:color w:val="000000"/>
          <w:szCs w:val="22"/>
          <w:lang w:val="sv-SE"/>
        </w:rPr>
        <w:tab/>
      </w:r>
      <w:r>
        <w:rPr>
          <w:noProof w:val="0"/>
          <w:color w:val="000000"/>
          <w:szCs w:val="22"/>
          <w:lang w:val="sv-SE"/>
        </w:rPr>
        <w:t>Eventuella biverkningar</w:t>
      </w:r>
    </w:p>
    <w:p w14:paraId="3458F116" w14:textId="77777777" w:rsidR="00547CA2" w:rsidRPr="000E7AE9" w:rsidRDefault="00547CA2" w:rsidP="009E09A2">
      <w:pPr>
        <w:pStyle w:val="TextChar"/>
        <w:keepNext/>
        <w:widowControl w:val="0"/>
        <w:spacing w:before="0"/>
        <w:jc w:val="left"/>
        <w:rPr>
          <w:color w:val="000000"/>
          <w:sz w:val="22"/>
          <w:szCs w:val="22"/>
          <w:lang w:val="sv-SE"/>
        </w:rPr>
      </w:pPr>
    </w:p>
    <w:p w14:paraId="532595D5" w14:textId="77777777" w:rsidR="00547CA2" w:rsidRPr="00AB480A" w:rsidRDefault="00547CA2" w:rsidP="00463647">
      <w:pPr>
        <w:pStyle w:val="TextChar"/>
        <w:widowControl w:val="0"/>
        <w:spacing w:before="0"/>
        <w:jc w:val="left"/>
        <w:rPr>
          <w:bCs/>
          <w:color w:val="000000"/>
          <w:sz w:val="22"/>
          <w:szCs w:val="22"/>
          <w:lang w:val="sv-SE"/>
        </w:rPr>
      </w:pPr>
      <w:r w:rsidRPr="000E7AE9">
        <w:rPr>
          <w:color w:val="000000"/>
          <w:sz w:val="22"/>
          <w:szCs w:val="22"/>
          <w:lang w:val="sv-SE"/>
        </w:rPr>
        <w:t xml:space="preserve">Liksom alla läkemedel kan </w:t>
      </w:r>
      <w:r>
        <w:rPr>
          <w:color w:val="000000"/>
          <w:sz w:val="22"/>
          <w:szCs w:val="22"/>
          <w:lang w:val="sv-SE"/>
        </w:rPr>
        <w:t>detta läkemedel</w:t>
      </w:r>
      <w:r w:rsidRPr="000E7AE9">
        <w:rPr>
          <w:color w:val="000000"/>
          <w:sz w:val="22"/>
          <w:szCs w:val="22"/>
          <w:lang w:val="sv-SE"/>
        </w:rPr>
        <w:t xml:space="preserve"> orsaka biverkningar</w:t>
      </w:r>
      <w:r>
        <w:rPr>
          <w:color w:val="000000"/>
          <w:sz w:val="22"/>
          <w:szCs w:val="22"/>
          <w:lang w:val="sv-SE"/>
        </w:rPr>
        <w:t>,</w:t>
      </w:r>
      <w:r w:rsidRPr="000E7AE9">
        <w:rPr>
          <w:color w:val="000000"/>
          <w:sz w:val="22"/>
          <w:szCs w:val="22"/>
          <w:lang w:val="sv-SE"/>
        </w:rPr>
        <w:t xml:space="preserve"> men alla användare behöver inte få dem. De är vanligtvis av lätt till måttlig svårighetsgrad.</w:t>
      </w:r>
    </w:p>
    <w:p w14:paraId="63F1F919" w14:textId="77777777" w:rsidR="00547CA2" w:rsidRPr="00862A7C" w:rsidRDefault="00547CA2" w:rsidP="00463647">
      <w:pPr>
        <w:pStyle w:val="TextChar"/>
        <w:widowControl w:val="0"/>
        <w:spacing w:before="0"/>
        <w:jc w:val="left"/>
        <w:rPr>
          <w:color w:val="000000"/>
          <w:sz w:val="22"/>
          <w:szCs w:val="22"/>
          <w:lang w:val="sv-SE"/>
        </w:rPr>
      </w:pPr>
    </w:p>
    <w:p w14:paraId="54EE236D" w14:textId="77777777" w:rsidR="00547CA2" w:rsidRPr="00862A7C" w:rsidRDefault="00547CA2" w:rsidP="009E09A2">
      <w:pPr>
        <w:pStyle w:val="TextChar"/>
        <w:keepNext/>
        <w:widowControl w:val="0"/>
        <w:spacing w:before="0"/>
        <w:jc w:val="left"/>
        <w:rPr>
          <w:b/>
          <w:color w:val="000000"/>
          <w:sz w:val="22"/>
          <w:szCs w:val="22"/>
          <w:lang w:val="sv-SE"/>
        </w:rPr>
      </w:pPr>
      <w:r w:rsidRPr="00862A7C">
        <w:rPr>
          <w:b/>
          <w:color w:val="000000"/>
          <w:sz w:val="22"/>
          <w:szCs w:val="22"/>
          <w:lang w:val="sv-SE"/>
        </w:rPr>
        <w:t>Vissa biverkningar kan vara allvarliga. Meddela din läkare omedelbart om du får några av följande:</w:t>
      </w:r>
    </w:p>
    <w:p w14:paraId="4ED1E34A" w14:textId="77777777" w:rsidR="00547CA2" w:rsidRPr="000E7AE9" w:rsidRDefault="00547CA2" w:rsidP="009E09A2">
      <w:pPr>
        <w:pStyle w:val="TextChar"/>
        <w:keepNext/>
        <w:widowControl w:val="0"/>
        <w:spacing w:before="0"/>
        <w:jc w:val="left"/>
        <w:rPr>
          <w:color w:val="000000"/>
          <w:sz w:val="22"/>
          <w:szCs w:val="22"/>
          <w:lang w:val="sv-SE"/>
        </w:rPr>
      </w:pPr>
    </w:p>
    <w:p w14:paraId="65096DCA" w14:textId="77777777" w:rsidR="00547CA2" w:rsidRPr="000E7AE9" w:rsidRDefault="00547CA2" w:rsidP="009E09A2">
      <w:pPr>
        <w:pStyle w:val="TextChar"/>
        <w:keepNext/>
        <w:widowControl w:val="0"/>
        <w:spacing w:before="0"/>
        <w:jc w:val="left"/>
        <w:rPr>
          <w:bCs/>
          <w:color w:val="000000"/>
          <w:sz w:val="22"/>
          <w:szCs w:val="22"/>
          <w:lang w:val="sv-SE"/>
        </w:rPr>
      </w:pPr>
      <w:r>
        <w:rPr>
          <w:b/>
          <w:color w:val="000000"/>
          <w:sz w:val="22"/>
          <w:szCs w:val="22"/>
          <w:lang w:val="sv-SE"/>
        </w:rPr>
        <w:t xml:space="preserve">Mycket vanliga </w:t>
      </w:r>
      <w:r w:rsidRPr="008504F2">
        <w:rPr>
          <w:color w:val="000000"/>
          <w:sz w:val="22"/>
          <w:szCs w:val="22"/>
          <w:lang w:val="sv-SE"/>
        </w:rPr>
        <w:t>(kan förekomma hos fler än 1 av 10 personer)</w:t>
      </w:r>
      <w:r>
        <w:rPr>
          <w:b/>
          <w:color w:val="000000"/>
          <w:sz w:val="22"/>
          <w:szCs w:val="22"/>
          <w:lang w:val="sv-SE"/>
        </w:rPr>
        <w:t xml:space="preserve"> eller vanliga </w:t>
      </w:r>
      <w:r w:rsidRPr="008504F2">
        <w:rPr>
          <w:color w:val="000000"/>
          <w:sz w:val="22"/>
          <w:szCs w:val="22"/>
          <w:lang w:val="sv-SE"/>
        </w:rPr>
        <w:t xml:space="preserve">(kan förekomma hos upp </w:t>
      </w:r>
      <w:r w:rsidRPr="008504F2">
        <w:rPr>
          <w:color w:val="000000"/>
          <w:sz w:val="22"/>
          <w:szCs w:val="22"/>
          <w:lang w:val="sv-SE"/>
        </w:rPr>
        <w:lastRenderedPageBreak/>
        <w:t>till 1 av 10</w:t>
      </w:r>
      <w:r>
        <w:rPr>
          <w:color w:val="000000"/>
          <w:sz w:val="22"/>
          <w:szCs w:val="22"/>
          <w:lang w:val="sv-SE"/>
        </w:rPr>
        <w:t> </w:t>
      </w:r>
      <w:r w:rsidRPr="008504F2">
        <w:rPr>
          <w:color w:val="000000"/>
          <w:sz w:val="22"/>
          <w:szCs w:val="22"/>
          <w:lang w:val="sv-SE"/>
        </w:rPr>
        <w:t>personer):</w:t>
      </w:r>
    </w:p>
    <w:p w14:paraId="35C5CB68"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sidRPr="000E7AE9">
        <w:rPr>
          <w:color w:val="000000"/>
          <w:sz w:val="22"/>
          <w:szCs w:val="22"/>
          <w:lang w:val="sv-SE"/>
        </w:rPr>
        <w:t>Snabb viktökning. Glivec kan göra så att din kropp binder vatten (</w:t>
      </w:r>
      <w:r>
        <w:rPr>
          <w:color w:val="000000"/>
          <w:sz w:val="22"/>
          <w:szCs w:val="22"/>
          <w:lang w:val="sv-SE"/>
        </w:rPr>
        <w:t xml:space="preserve">svår </w:t>
      </w:r>
      <w:r w:rsidRPr="000E7AE9">
        <w:rPr>
          <w:color w:val="000000"/>
          <w:sz w:val="22"/>
          <w:szCs w:val="22"/>
          <w:lang w:val="sv-SE"/>
        </w:rPr>
        <w:t>vätskeretention).</w:t>
      </w:r>
    </w:p>
    <w:p w14:paraId="00191347" w14:textId="77777777" w:rsidR="00547CA2" w:rsidRPr="000E7AE9" w:rsidRDefault="00547CA2" w:rsidP="00463647">
      <w:pPr>
        <w:pStyle w:val="TextChar"/>
        <w:widowControl w:val="0"/>
        <w:numPr>
          <w:ilvl w:val="0"/>
          <w:numId w:val="5"/>
        </w:numPr>
        <w:tabs>
          <w:tab w:val="clear" w:pos="360"/>
        </w:tabs>
        <w:spacing w:before="0"/>
        <w:ind w:left="567" w:hanging="567"/>
        <w:jc w:val="left"/>
        <w:rPr>
          <w:color w:val="000000"/>
          <w:sz w:val="22"/>
          <w:szCs w:val="22"/>
          <w:lang w:val="sv-SE"/>
        </w:rPr>
      </w:pPr>
      <w:r w:rsidRPr="000E7AE9">
        <w:rPr>
          <w:color w:val="000000"/>
          <w:sz w:val="22"/>
          <w:szCs w:val="22"/>
          <w:lang w:val="sv-SE"/>
        </w:rPr>
        <w:t>Tecken på infektion, t.ex. feber, frossbrytningar, ont i halsen eller sår i munnen. Glivec kan leda till minskning av antalet vita blodkroppar</w:t>
      </w:r>
      <w:r>
        <w:rPr>
          <w:color w:val="000000"/>
          <w:sz w:val="22"/>
          <w:szCs w:val="22"/>
          <w:lang w:val="sv-SE"/>
        </w:rPr>
        <w:t xml:space="preserve"> så att du lättare kan</w:t>
      </w:r>
      <w:r w:rsidRPr="000E7AE9">
        <w:rPr>
          <w:color w:val="000000"/>
          <w:sz w:val="22"/>
          <w:szCs w:val="22"/>
          <w:lang w:val="sv-SE"/>
        </w:rPr>
        <w:t xml:space="preserve"> </w:t>
      </w:r>
      <w:r>
        <w:rPr>
          <w:color w:val="000000"/>
          <w:sz w:val="22"/>
          <w:szCs w:val="22"/>
          <w:lang w:val="sv-SE"/>
        </w:rPr>
        <w:t>få infektioner.</w:t>
      </w:r>
    </w:p>
    <w:p w14:paraId="5D052AA3" w14:textId="77777777" w:rsidR="00547CA2" w:rsidRPr="000E7AE9" w:rsidRDefault="00547CA2" w:rsidP="00463647">
      <w:pPr>
        <w:pStyle w:val="TextChar"/>
        <w:widowControl w:val="0"/>
        <w:numPr>
          <w:ilvl w:val="0"/>
          <w:numId w:val="6"/>
        </w:numPr>
        <w:tabs>
          <w:tab w:val="clear" w:pos="360"/>
        </w:tabs>
        <w:spacing w:before="0"/>
        <w:ind w:left="567" w:hanging="567"/>
        <w:jc w:val="left"/>
        <w:rPr>
          <w:color w:val="000000"/>
          <w:sz w:val="22"/>
          <w:szCs w:val="22"/>
          <w:lang w:val="sv-SE"/>
        </w:rPr>
      </w:pPr>
      <w:r w:rsidRPr="000E7AE9">
        <w:rPr>
          <w:color w:val="000000"/>
          <w:sz w:val="22"/>
          <w:szCs w:val="22"/>
          <w:lang w:val="sv-SE"/>
        </w:rPr>
        <w:t>Plötsliga blödningar eller sår</w:t>
      </w:r>
      <w:r>
        <w:rPr>
          <w:color w:val="000000"/>
          <w:sz w:val="22"/>
          <w:szCs w:val="22"/>
          <w:lang w:val="sv-SE"/>
        </w:rPr>
        <w:t xml:space="preserve"> (när du inte har skadat dig).</w:t>
      </w:r>
    </w:p>
    <w:p w14:paraId="2A4190A0" w14:textId="77777777" w:rsidR="00547CA2" w:rsidRPr="000E7AE9" w:rsidRDefault="00547CA2" w:rsidP="00463647">
      <w:pPr>
        <w:pStyle w:val="TextChar"/>
        <w:widowControl w:val="0"/>
        <w:spacing w:before="0"/>
        <w:jc w:val="left"/>
        <w:rPr>
          <w:color w:val="000000"/>
          <w:sz w:val="22"/>
          <w:szCs w:val="22"/>
          <w:lang w:val="sv-SE"/>
        </w:rPr>
      </w:pPr>
    </w:p>
    <w:p w14:paraId="30561056" w14:textId="77777777" w:rsidR="00547CA2" w:rsidRPr="008504F2" w:rsidRDefault="00547CA2" w:rsidP="009E09A2">
      <w:pPr>
        <w:pStyle w:val="TextChar"/>
        <w:keepNext/>
        <w:widowControl w:val="0"/>
        <w:spacing w:before="0"/>
        <w:jc w:val="left"/>
        <w:rPr>
          <w:bCs/>
          <w:iCs/>
          <w:color w:val="000000"/>
          <w:sz w:val="22"/>
          <w:szCs w:val="22"/>
          <w:lang w:val="sv-SE"/>
        </w:rPr>
      </w:pPr>
      <w:r w:rsidRPr="00902621">
        <w:rPr>
          <w:b/>
          <w:bCs/>
          <w:iCs/>
          <w:color w:val="000000"/>
          <w:sz w:val="22"/>
          <w:szCs w:val="22"/>
          <w:lang w:val="sv-SE"/>
        </w:rPr>
        <w:t xml:space="preserve">Mindre vanliga </w:t>
      </w:r>
      <w:r w:rsidRPr="008504F2">
        <w:rPr>
          <w:bCs/>
          <w:iCs/>
          <w:color w:val="000000"/>
          <w:sz w:val="22"/>
          <w:szCs w:val="22"/>
          <w:lang w:val="sv-SE"/>
        </w:rPr>
        <w:t>(kan förekomma hos upp till 1 av 100 personer)</w:t>
      </w:r>
      <w:r>
        <w:rPr>
          <w:b/>
          <w:bCs/>
          <w:iCs/>
          <w:color w:val="000000"/>
          <w:sz w:val="22"/>
          <w:szCs w:val="22"/>
          <w:lang w:val="sv-SE"/>
        </w:rPr>
        <w:t xml:space="preserve"> </w:t>
      </w:r>
      <w:r w:rsidRPr="00902621">
        <w:rPr>
          <w:b/>
          <w:bCs/>
          <w:iCs/>
          <w:color w:val="000000"/>
          <w:sz w:val="22"/>
          <w:szCs w:val="22"/>
          <w:lang w:val="sv-SE"/>
        </w:rPr>
        <w:t>eller sällsynta</w:t>
      </w:r>
      <w:r>
        <w:rPr>
          <w:b/>
          <w:bCs/>
          <w:iCs/>
          <w:color w:val="000000"/>
          <w:sz w:val="22"/>
          <w:szCs w:val="22"/>
          <w:lang w:val="sv-SE"/>
        </w:rPr>
        <w:t xml:space="preserve"> </w:t>
      </w:r>
      <w:r w:rsidRPr="008504F2">
        <w:rPr>
          <w:bCs/>
          <w:iCs/>
          <w:color w:val="000000"/>
          <w:sz w:val="22"/>
          <w:szCs w:val="22"/>
          <w:lang w:val="sv-SE"/>
        </w:rPr>
        <w:t>(kan förekomma hos upp till 1 av 1 000 personer):</w:t>
      </w:r>
    </w:p>
    <w:p w14:paraId="70BD6E48"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sidRPr="000E7AE9">
        <w:rPr>
          <w:color w:val="000000"/>
          <w:sz w:val="22"/>
          <w:szCs w:val="22"/>
          <w:lang w:val="sv-SE"/>
        </w:rPr>
        <w:t>Bröstsmärta, oregelbunden hjärtrytm</w:t>
      </w:r>
      <w:r>
        <w:rPr>
          <w:color w:val="000000"/>
          <w:sz w:val="22"/>
          <w:szCs w:val="22"/>
          <w:lang w:val="sv-SE"/>
        </w:rPr>
        <w:t xml:space="preserve"> (tecken på hjärtproblem)</w:t>
      </w:r>
      <w:r w:rsidRPr="000E7AE9">
        <w:rPr>
          <w:color w:val="000000"/>
          <w:sz w:val="22"/>
          <w:szCs w:val="22"/>
          <w:lang w:val="sv-SE"/>
        </w:rPr>
        <w:t>.</w:t>
      </w:r>
    </w:p>
    <w:p w14:paraId="2E3CC575"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sidRPr="000E7AE9">
        <w:rPr>
          <w:color w:val="000000"/>
          <w:sz w:val="22"/>
          <w:szCs w:val="22"/>
          <w:lang w:val="sv-SE"/>
        </w:rPr>
        <w:t>Hosta, svår</w:t>
      </w:r>
      <w:r>
        <w:rPr>
          <w:color w:val="000000"/>
          <w:sz w:val="22"/>
          <w:szCs w:val="22"/>
          <w:lang w:val="sv-SE"/>
        </w:rPr>
        <w:t>igheter</w:t>
      </w:r>
      <w:r w:rsidRPr="000E7AE9">
        <w:rPr>
          <w:color w:val="000000"/>
          <w:sz w:val="22"/>
          <w:szCs w:val="22"/>
          <w:lang w:val="sv-SE"/>
        </w:rPr>
        <w:t xml:space="preserve"> att andas eller smärtsam andning</w:t>
      </w:r>
      <w:r>
        <w:rPr>
          <w:color w:val="000000"/>
          <w:sz w:val="22"/>
          <w:szCs w:val="22"/>
          <w:lang w:val="sv-SE"/>
        </w:rPr>
        <w:t xml:space="preserve"> (tecken på lungproblem)</w:t>
      </w:r>
      <w:r w:rsidRPr="000E7AE9">
        <w:rPr>
          <w:color w:val="000000"/>
          <w:sz w:val="22"/>
          <w:szCs w:val="22"/>
          <w:lang w:val="sv-SE"/>
        </w:rPr>
        <w:t>.</w:t>
      </w:r>
    </w:p>
    <w:p w14:paraId="6C6FD25F"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Pr>
          <w:color w:val="000000"/>
          <w:sz w:val="22"/>
          <w:szCs w:val="22"/>
          <w:lang w:val="sv-SE"/>
        </w:rPr>
        <w:t>Känna sig snurrig, y</w:t>
      </w:r>
      <w:r w:rsidRPr="000E7AE9">
        <w:rPr>
          <w:color w:val="000000"/>
          <w:sz w:val="22"/>
          <w:szCs w:val="22"/>
          <w:lang w:val="sv-SE"/>
        </w:rPr>
        <w:t>rsel eller svimning</w:t>
      </w:r>
      <w:r>
        <w:rPr>
          <w:color w:val="000000"/>
          <w:sz w:val="22"/>
          <w:szCs w:val="22"/>
          <w:lang w:val="sv-SE"/>
        </w:rPr>
        <w:t xml:space="preserve"> (tecken på lågt blodtryck)</w:t>
      </w:r>
      <w:r w:rsidRPr="000E7AE9">
        <w:rPr>
          <w:color w:val="000000"/>
          <w:sz w:val="22"/>
          <w:szCs w:val="22"/>
          <w:lang w:val="sv-SE"/>
        </w:rPr>
        <w:t>.</w:t>
      </w:r>
    </w:p>
    <w:p w14:paraId="18E6818C" w14:textId="77777777" w:rsidR="00547CA2" w:rsidRPr="000E7AE9" w:rsidRDefault="00547CA2" w:rsidP="00463647">
      <w:pPr>
        <w:pStyle w:val="TextChar"/>
        <w:widowControl w:val="0"/>
        <w:numPr>
          <w:ilvl w:val="0"/>
          <w:numId w:val="4"/>
        </w:numPr>
        <w:tabs>
          <w:tab w:val="clear" w:pos="360"/>
        </w:tabs>
        <w:spacing w:before="0"/>
        <w:ind w:left="567" w:hanging="567"/>
        <w:jc w:val="left"/>
        <w:rPr>
          <w:color w:val="000000"/>
          <w:sz w:val="22"/>
          <w:szCs w:val="22"/>
          <w:lang w:val="sv-SE"/>
        </w:rPr>
      </w:pPr>
      <w:r w:rsidRPr="000E7AE9">
        <w:rPr>
          <w:color w:val="000000"/>
          <w:sz w:val="22"/>
          <w:szCs w:val="22"/>
          <w:lang w:val="sv-SE"/>
        </w:rPr>
        <w:t xml:space="preserve">Illamående, </w:t>
      </w:r>
      <w:r>
        <w:rPr>
          <w:color w:val="000000"/>
          <w:sz w:val="22"/>
          <w:szCs w:val="22"/>
          <w:lang w:val="sv-SE"/>
        </w:rPr>
        <w:t xml:space="preserve">med </w:t>
      </w:r>
      <w:r w:rsidRPr="000E7AE9">
        <w:rPr>
          <w:color w:val="000000"/>
          <w:sz w:val="22"/>
          <w:szCs w:val="22"/>
          <w:lang w:val="sv-SE"/>
        </w:rPr>
        <w:t xml:space="preserve">minskad aptit, </w:t>
      </w:r>
      <w:r>
        <w:rPr>
          <w:color w:val="000000"/>
          <w:sz w:val="22"/>
          <w:szCs w:val="22"/>
          <w:lang w:val="sv-SE"/>
        </w:rPr>
        <w:t>mörk</w:t>
      </w:r>
      <w:r w:rsidRPr="000E7AE9">
        <w:rPr>
          <w:color w:val="000000"/>
          <w:sz w:val="22"/>
          <w:szCs w:val="22"/>
          <w:lang w:val="sv-SE"/>
        </w:rPr>
        <w:t xml:space="preserve"> urin, gulfärgning av hud eller ögon</w:t>
      </w:r>
      <w:r>
        <w:rPr>
          <w:color w:val="000000"/>
          <w:sz w:val="22"/>
          <w:szCs w:val="22"/>
          <w:lang w:val="sv-SE"/>
        </w:rPr>
        <w:t xml:space="preserve"> (tecken på leverproblem)</w:t>
      </w:r>
      <w:r w:rsidRPr="000E7AE9">
        <w:rPr>
          <w:color w:val="000000"/>
          <w:sz w:val="22"/>
          <w:szCs w:val="22"/>
          <w:lang w:val="sv-SE"/>
        </w:rPr>
        <w:t>.</w:t>
      </w:r>
    </w:p>
    <w:p w14:paraId="5E049539"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Hudutslag, rodnad</w:t>
      </w:r>
      <w:r>
        <w:rPr>
          <w:color w:val="000000"/>
          <w:sz w:val="22"/>
          <w:szCs w:val="22"/>
          <w:lang w:val="sv-SE"/>
        </w:rPr>
        <w:t xml:space="preserve"> med</w:t>
      </w:r>
      <w:r w:rsidRPr="000E7AE9">
        <w:rPr>
          <w:color w:val="000000"/>
          <w:sz w:val="22"/>
          <w:szCs w:val="22"/>
          <w:lang w:val="sv-SE"/>
        </w:rPr>
        <w:t xml:space="preserve"> blåsor på läppar, ögon, hud eller mun, flagning av huden, feber, upphöjda röda eller lila hudområden, klåda, brännande känsla</w:t>
      </w:r>
      <w:r>
        <w:rPr>
          <w:color w:val="000000"/>
          <w:sz w:val="22"/>
          <w:szCs w:val="22"/>
          <w:lang w:val="sv-SE"/>
        </w:rPr>
        <w:t>, utslag med små varfyllda blåsor (tecken på hudproblem)</w:t>
      </w:r>
      <w:r w:rsidRPr="000E7AE9">
        <w:rPr>
          <w:color w:val="000000"/>
          <w:sz w:val="22"/>
          <w:szCs w:val="22"/>
          <w:lang w:val="sv-SE"/>
        </w:rPr>
        <w:t>.</w:t>
      </w:r>
    </w:p>
    <w:p w14:paraId="70DDA2D7"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Svår buksmärta, blod i uppkastning, avföring eller urin, svartfärgad avföring</w:t>
      </w:r>
      <w:r>
        <w:rPr>
          <w:color w:val="000000"/>
          <w:sz w:val="22"/>
          <w:szCs w:val="22"/>
          <w:lang w:val="sv-SE"/>
        </w:rPr>
        <w:t xml:space="preserve"> (tecken på magtarmsjukdom)</w:t>
      </w:r>
      <w:r w:rsidRPr="000E7AE9">
        <w:rPr>
          <w:color w:val="000000"/>
          <w:sz w:val="22"/>
          <w:szCs w:val="22"/>
          <w:lang w:val="sv-SE"/>
        </w:rPr>
        <w:t>.</w:t>
      </w:r>
    </w:p>
    <w:p w14:paraId="01BD0AF8"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Kraftig urinminskning, törst</w:t>
      </w:r>
      <w:r>
        <w:rPr>
          <w:color w:val="000000"/>
          <w:sz w:val="22"/>
          <w:szCs w:val="22"/>
          <w:lang w:val="sv-SE"/>
        </w:rPr>
        <w:t xml:space="preserve"> (tecken på njurproblem)</w:t>
      </w:r>
      <w:r w:rsidRPr="000E7AE9">
        <w:rPr>
          <w:color w:val="000000"/>
          <w:sz w:val="22"/>
          <w:szCs w:val="22"/>
          <w:lang w:val="sv-SE"/>
        </w:rPr>
        <w:t>.</w:t>
      </w:r>
    </w:p>
    <w:p w14:paraId="4C5A7F1F"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Illamående,</w:t>
      </w:r>
      <w:r>
        <w:rPr>
          <w:color w:val="000000"/>
          <w:sz w:val="22"/>
          <w:szCs w:val="22"/>
          <w:lang w:val="sv-SE"/>
        </w:rPr>
        <w:t xml:space="preserve"> med</w:t>
      </w:r>
      <w:r w:rsidRPr="000E7AE9">
        <w:rPr>
          <w:color w:val="000000"/>
          <w:sz w:val="22"/>
          <w:szCs w:val="22"/>
          <w:lang w:val="sv-SE"/>
        </w:rPr>
        <w:t xml:space="preserve"> diarré</w:t>
      </w:r>
      <w:r>
        <w:rPr>
          <w:color w:val="000000"/>
          <w:sz w:val="22"/>
          <w:szCs w:val="22"/>
          <w:lang w:val="sv-SE"/>
        </w:rPr>
        <w:t xml:space="preserve"> och</w:t>
      </w:r>
      <w:r w:rsidRPr="000E7AE9">
        <w:rPr>
          <w:color w:val="000000"/>
          <w:sz w:val="22"/>
          <w:szCs w:val="22"/>
          <w:lang w:val="sv-SE"/>
        </w:rPr>
        <w:t xml:space="preserve"> kräkningar, buksmärta eller feber (tecken på </w:t>
      </w:r>
      <w:r>
        <w:rPr>
          <w:color w:val="000000"/>
          <w:sz w:val="22"/>
          <w:szCs w:val="22"/>
          <w:lang w:val="sv-SE"/>
        </w:rPr>
        <w:t>tarmproblem</w:t>
      </w:r>
      <w:r w:rsidRPr="000E7AE9">
        <w:rPr>
          <w:color w:val="000000"/>
          <w:sz w:val="22"/>
          <w:szCs w:val="22"/>
          <w:lang w:val="sv-SE"/>
        </w:rPr>
        <w:t>).</w:t>
      </w:r>
    </w:p>
    <w:p w14:paraId="46CB967D"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 xml:space="preserve">Svår huvudvärk, svaghet eller förlamning i ben eller ansikte, svårighet att prata, plötslig medvetslöshet (tecken på </w:t>
      </w:r>
      <w:r>
        <w:rPr>
          <w:color w:val="000000"/>
          <w:sz w:val="22"/>
          <w:szCs w:val="22"/>
          <w:lang w:val="sv-SE"/>
        </w:rPr>
        <w:t>problem i</w:t>
      </w:r>
      <w:r w:rsidRPr="000E7AE9">
        <w:rPr>
          <w:color w:val="000000"/>
          <w:sz w:val="22"/>
          <w:szCs w:val="22"/>
          <w:lang w:val="sv-SE"/>
        </w:rPr>
        <w:t xml:space="preserve"> nervsystemet</w:t>
      </w:r>
      <w:r>
        <w:rPr>
          <w:color w:val="000000"/>
          <w:sz w:val="22"/>
          <w:szCs w:val="22"/>
          <w:lang w:val="sv-SE"/>
        </w:rPr>
        <w:t xml:space="preserve"> så som blödning eller svullnad i skalle/hjärna</w:t>
      </w:r>
      <w:r w:rsidRPr="000E7AE9">
        <w:rPr>
          <w:color w:val="000000"/>
          <w:sz w:val="22"/>
          <w:szCs w:val="22"/>
          <w:lang w:val="sv-SE"/>
        </w:rPr>
        <w:t>).</w:t>
      </w:r>
    </w:p>
    <w:p w14:paraId="0B591C2B"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Blekhet, trötthet</w:t>
      </w:r>
      <w:r>
        <w:rPr>
          <w:color w:val="000000"/>
          <w:sz w:val="22"/>
          <w:szCs w:val="22"/>
          <w:lang w:val="sv-SE"/>
        </w:rPr>
        <w:t xml:space="preserve"> och</w:t>
      </w:r>
      <w:r w:rsidRPr="000E7AE9">
        <w:rPr>
          <w:color w:val="000000"/>
          <w:sz w:val="22"/>
          <w:szCs w:val="22"/>
          <w:lang w:val="sv-SE"/>
        </w:rPr>
        <w:t xml:space="preserve"> andfåddhet</w:t>
      </w:r>
      <w:r>
        <w:rPr>
          <w:color w:val="000000"/>
          <w:sz w:val="22"/>
          <w:szCs w:val="22"/>
          <w:lang w:val="sv-SE"/>
        </w:rPr>
        <w:t xml:space="preserve"> med</w:t>
      </w:r>
      <w:r w:rsidRPr="000E7AE9">
        <w:rPr>
          <w:color w:val="000000"/>
          <w:sz w:val="22"/>
          <w:szCs w:val="22"/>
          <w:lang w:val="sv-SE"/>
        </w:rPr>
        <w:t xml:space="preserve"> mörk urin (tecken på låg nivå av röda blodkroppar).</w:t>
      </w:r>
    </w:p>
    <w:p w14:paraId="749A6087"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Ögonsmärtor eller försämrad syn</w:t>
      </w:r>
      <w:r>
        <w:rPr>
          <w:color w:val="000000"/>
          <w:sz w:val="22"/>
          <w:szCs w:val="22"/>
          <w:lang w:val="sv-SE"/>
        </w:rPr>
        <w:t>, blödning i ögonen</w:t>
      </w:r>
      <w:r w:rsidRPr="000E7AE9">
        <w:rPr>
          <w:color w:val="000000"/>
          <w:sz w:val="22"/>
          <w:szCs w:val="22"/>
          <w:lang w:val="sv-SE"/>
        </w:rPr>
        <w:t>.</w:t>
      </w:r>
    </w:p>
    <w:p w14:paraId="6176231C"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Smärta i höfterna eller svårighet att gå.</w:t>
      </w:r>
    </w:p>
    <w:p w14:paraId="0C2DE3FC"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Domnade eller kalla tår och fingrar (tecken på Raynauds syndrom).</w:t>
      </w:r>
    </w:p>
    <w:p w14:paraId="578FE2DB"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 xml:space="preserve">Plötslig svullnad och rodnad i hud </w:t>
      </w:r>
      <w:r w:rsidRPr="000E7AE9">
        <w:rPr>
          <w:color w:val="000000"/>
          <w:sz w:val="22"/>
          <w:szCs w:val="22"/>
          <w:lang w:val="sv-SE"/>
        </w:rPr>
        <w:t>(tecken på</w:t>
      </w:r>
      <w:r>
        <w:rPr>
          <w:color w:val="000000"/>
          <w:sz w:val="22"/>
          <w:szCs w:val="22"/>
          <w:lang w:val="sv-SE"/>
        </w:rPr>
        <w:t xml:space="preserve"> en hudinfektion som kallas</w:t>
      </w:r>
      <w:r w:rsidRPr="000E7AE9">
        <w:rPr>
          <w:color w:val="000000"/>
          <w:sz w:val="22"/>
          <w:szCs w:val="22"/>
          <w:lang w:val="sv-SE"/>
        </w:rPr>
        <w:t xml:space="preserve"> cellulit).</w:t>
      </w:r>
    </w:p>
    <w:p w14:paraId="45FEE11F" w14:textId="77777777" w:rsidR="00547CA2" w:rsidRPr="000E7AE9" w:rsidRDefault="00A009DC"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Nedsatt hörsel</w:t>
      </w:r>
      <w:r w:rsidR="00547CA2" w:rsidRPr="000E7AE9">
        <w:rPr>
          <w:color w:val="000000"/>
          <w:sz w:val="22"/>
          <w:szCs w:val="22"/>
          <w:lang w:val="sv-SE"/>
        </w:rPr>
        <w:t>.</w:t>
      </w:r>
    </w:p>
    <w:p w14:paraId="5E0F3BE0"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Muskelsvaghet</w:t>
      </w:r>
      <w:r>
        <w:rPr>
          <w:color w:val="000000"/>
          <w:sz w:val="22"/>
          <w:szCs w:val="22"/>
          <w:lang w:val="sv-SE"/>
        </w:rPr>
        <w:t xml:space="preserve"> och</w:t>
      </w:r>
      <w:r w:rsidRPr="000E7AE9">
        <w:rPr>
          <w:color w:val="000000"/>
          <w:sz w:val="22"/>
          <w:szCs w:val="22"/>
          <w:lang w:val="sv-SE"/>
        </w:rPr>
        <w:t xml:space="preserve"> muskelkramper</w:t>
      </w:r>
      <w:r>
        <w:rPr>
          <w:color w:val="000000"/>
          <w:sz w:val="22"/>
          <w:szCs w:val="22"/>
          <w:lang w:val="sv-SE"/>
        </w:rPr>
        <w:t xml:space="preserve"> med</w:t>
      </w:r>
      <w:r w:rsidRPr="000E7AE9">
        <w:rPr>
          <w:color w:val="000000"/>
          <w:sz w:val="22"/>
          <w:szCs w:val="22"/>
          <w:lang w:val="sv-SE"/>
        </w:rPr>
        <w:t xml:space="preserve"> onormal hjärtrytm (tecken som tyder på förändringar i </w:t>
      </w:r>
      <w:r>
        <w:rPr>
          <w:color w:val="000000"/>
          <w:sz w:val="22"/>
          <w:szCs w:val="22"/>
          <w:lang w:val="sv-SE"/>
        </w:rPr>
        <w:t xml:space="preserve">mängden </w:t>
      </w:r>
      <w:r w:rsidRPr="000E7AE9">
        <w:rPr>
          <w:color w:val="000000"/>
          <w:sz w:val="22"/>
          <w:szCs w:val="22"/>
          <w:lang w:val="sv-SE"/>
        </w:rPr>
        <w:t xml:space="preserve">kalium i </w:t>
      </w:r>
      <w:r>
        <w:rPr>
          <w:color w:val="000000"/>
          <w:sz w:val="22"/>
          <w:szCs w:val="22"/>
          <w:lang w:val="sv-SE"/>
        </w:rPr>
        <w:t xml:space="preserve">ditt </w:t>
      </w:r>
      <w:r w:rsidRPr="000E7AE9">
        <w:rPr>
          <w:color w:val="000000"/>
          <w:sz w:val="22"/>
          <w:szCs w:val="22"/>
          <w:lang w:val="sv-SE"/>
        </w:rPr>
        <w:t>blod).</w:t>
      </w:r>
    </w:p>
    <w:p w14:paraId="0978E382" w14:textId="77777777" w:rsidR="00547CA2" w:rsidRPr="000E7AE9"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Tendens att få blåmärken.</w:t>
      </w:r>
    </w:p>
    <w:p w14:paraId="7DBCB19D"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E7AE9">
        <w:rPr>
          <w:color w:val="000000"/>
          <w:sz w:val="22"/>
          <w:szCs w:val="22"/>
          <w:lang w:val="sv-SE"/>
        </w:rPr>
        <w:t>Magsmärta</w:t>
      </w:r>
      <w:r>
        <w:rPr>
          <w:color w:val="000000"/>
          <w:sz w:val="22"/>
          <w:szCs w:val="22"/>
          <w:lang w:val="sv-SE"/>
        </w:rPr>
        <w:t>, med</w:t>
      </w:r>
      <w:r w:rsidRPr="000E7AE9">
        <w:rPr>
          <w:color w:val="000000"/>
          <w:sz w:val="22"/>
          <w:szCs w:val="22"/>
          <w:lang w:val="sv-SE"/>
        </w:rPr>
        <w:t xml:space="preserve"> illamående.</w:t>
      </w:r>
    </w:p>
    <w:p w14:paraId="4AF6C780"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Muskelkramper, med feber, röd-brun urin, smärta eller svaghet i dina muskler (tecken på muskelproblem).</w:t>
      </w:r>
    </w:p>
    <w:p w14:paraId="78504FE4"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Bäckensmärta ibland med illamående och kräkningar, med oväntad vaginalblödning, yrsel eller svimning på grund av lågt blodtryck (tecken på problem med äggstockar eller livmoder).</w:t>
      </w:r>
    </w:p>
    <w:p w14:paraId="3C15C83A"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Illamående, andfåddhet, oregelbundna hjärtslag, grumlig urin, trötthet och/eller led</w:t>
      </w:r>
      <w:r w:rsidRPr="0038538F">
        <w:rPr>
          <w:color w:val="000000"/>
          <w:sz w:val="22"/>
          <w:szCs w:val="22"/>
          <w:lang w:val="sv-SE"/>
        </w:rPr>
        <w:t>b</w:t>
      </w:r>
      <w:r>
        <w:rPr>
          <w:color w:val="000000"/>
          <w:sz w:val="22"/>
          <w:szCs w:val="22"/>
          <w:lang w:val="sv-SE"/>
        </w:rPr>
        <w:t xml:space="preserve">esvär associerat med onormala laboratorievärden (t.ex. höga kalium-, urinsyra- och </w:t>
      </w:r>
      <w:r w:rsidR="00197F00">
        <w:rPr>
          <w:color w:val="000000"/>
          <w:sz w:val="22"/>
          <w:szCs w:val="22"/>
          <w:lang w:val="sv-SE"/>
        </w:rPr>
        <w:t>kalcium</w:t>
      </w:r>
      <w:r>
        <w:rPr>
          <w:color w:val="000000"/>
          <w:sz w:val="22"/>
          <w:szCs w:val="22"/>
          <w:lang w:val="sv-SE"/>
        </w:rPr>
        <w:t xml:space="preserve">nivåer, samt låga </w:t>
      </w:r>
      <w:r w:rsidR="00197F00">
        <w:rPr>
          <w:color w:val="000000"/>
          <w:sz w:val="22"/>
          <w:szCs w:val="22"/>
          <w:lang w:val="sv-SE"/>
        </w:rPr>
        <w:t>fosfor</w:t>
      </w:r>
      <w:r>
        <w:rPr>
          <w:color w:val="000000"/>
          <w:sz w:val="22"/>
          <w:szCs w:val="22"/>
          <w:lang w:val="sv-SE"/>
        </w:rPr>
        <w:t>nivåer i blodet).</w:t>
      </w:r>
    </w:p>
    <w:p w14:paraId="2AAF3037" w14:textId="77777777" w:rsidR="00F72B98" w:rsidRPr="000E7AE9" w:rsidRDefault="00F72B98"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Blodproppar i små blodkärl (trombotisk mikroangiopati)</w:t>
      </w:r>
      <w:r w:rsidR="00687AEB">
        <w:rPr>
          <w:color w:val="000000"/>
          <w:sz w:val="22"/>
          <w:szCs w:val="22"/>
          <w:lang w:val="sv-SE"/>
        </w:rPr>
        <w:t>.</w:t>
      </w:r>
    </w:p>
    <w:p w14:paraId="1DD96AF9" w14:textId="77777777" w:rsidR="00D046C5" w:rsidRPr="004460CB" w:rsidRDefault="00D046C5" w:rsidP="00463647">
      <w:pPr>
        <w:pStyle w:val="TextChar"/>
        <w:widowControl w:val="0"/>
        <w:spacing w:before="0"/>
        <w:jc w:val="left"/>
        <w:rPr>
          <w:color w:val="000000"/>
          <w:sz w:val="22"/>
          <w:szCs w:val="22"/>
          <w:lang w:val="sv-SE"/>
        </w:rPr>
      </w:pPr>
    </w:p>
    <w:p w14:paraId="38E9A6C1" w14:textId="77777777" w:rsidR="00D046C5" w:rsidRPr="00E5348D" w:rsidRDefault="00C1062D" w:rsidP="009E09A2">
      <w:pPr>
        <w:pStyle w:val="TextChar"/>
        <w:keepNext/>
        <w:widowControl w:val="0"/>
        <w:spacing w:before="0"/>
        <w:jc w:val="left"/>
        <w:rPr>
          <w:color w:val="000000"/>
          <w:sz w:val="22"/>
          <w:szCs w:val="22"/>
          <w:lang w:val="sv-SE"/>
        </w:rPr>
      </w:pPr>
      <w:r>
        <w:rPr>
          <w:b/>
          <w:color w:val="000000"/>
          <w:sz w:val="22"/>
          <w:szCs w:val="22"/>
          <w:lang w:val="sv-SE"/>
        </w:rPr>
        <w:t xml:space="preserve">Har rapporterats </w:t>
      </w:r>
      <w:r w:rsidRPr="008504F2">
        <w:rPr>
          <w:color w:val="000000"/>
          <w:sz w:val="22"/>
          <w:szCs w:val="22"/>
          <w:lang w:val="sv-SE"/>
        </w:rPr>
        <w:t>(</w:t>
      </w:r>
      <w:r>
        <w:rPr>
          <w:color w:val="000000"/>
          <w:sz w:val="22"/>
          <w:szCs w:val="22"/>
          <w:lang w:val="sv-SE"/>
        </w:rPr>
        <w:t>förekommer hos okänt antal användare</w:t>
      </w:r>
      <w:r w:rsidR="002F0BD2">
        <w:rPr>
          <w:color w:val="000000"/>
          <w:sz w:val="22"/>
          <w:szCs w:val="22"/>
          <w:lang w:val="sv-SE"/>
        </w:rPr>
        <w:t>)</w:t>
      </w:r>
      <w:r w:rsidR="00197F00">
        <w:rPr>
          <w:color w:val="000000"/>
          <w:sz w:val="22"/>
          <w:szCs w:val="22"/>
          <w:lang w:val="sv-SE"/>
        </w:rPr>
        <w:t>:</w:t>
      </w:r>
    </w:p>
    <w:p w14:paraId="76AEFAD9" w14:textId="77777777" w:rsidR="00D046C5" w:rsidRDefault="00D046C5"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Kombination av svåra utbredda hudutslag, illamående, feber, höga nivåer av vissa vita blodkroppar eller gul hud eller ögon (tecken på gulsot) med andfåddhet, bröstsmärta/obehag, kraftigt minskad urinproduktion och känsla av törst etc. (tecken på behandlingsrelaterad allergisk reaktion).</w:t>
      </w:r>
    </w:p>
    <w:p w14:paraId="31DA54A3" w14:textId="77777777" w:rsidR="0009507F" w:rsidRDefault="0009507F"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Kronisk njursvikt</w:t>
      </w:r>
      <w:r w:rsidR="005F1948">
        <w:rPr>
          <w:color w:val="000000"/>
          <w:sz w:val="22"/>
          <w:szCs w:val="22"/>
          <w:lang w:val="sv-SE"/>
        </w:rPr>
        <w:t>.</w:t>
      </w:r>
    </w:p>
    <w:p w14:paraId="1FEDCA28" w14:textId="77777777" w:rsidR="00AE1541" w:rsidRPr="00D046C5" w:rsidRDefault="00AE1541"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Återkomst (reaktivering) av hepatit B-infektion när du tidigare haft hepatit B (en leverinfektion).</w:t>
      </w:r>
    </w:p>
    <w:p w14:paraId="00712B50" w14:textId="77777777" w:rsidR="00D046C5" w:rsidRPr="004460CB" w:rsidRDefault="00D046C5" w:rsidP="00463647">
      <w:pPr>
        <w:pStyle w:val="TextChar"/>
        <w:widowControl w:val="0"/>
        <w:spacing w:before="0"/>
        <w:jc w:val="left"/>
        <w:rPr>
          <w:color w:val="000000"/>
          <w:sz w:val="22"/>
          <w:szCs w:val="22"/>
          <w:lang w:val="sv-SE"/>
        </w:rPr>
      </w:pPr>
    </w:p>
    <w:p w14:paraId="10975A2E" w14:textId="77777777" w:rsidR="00547CA2" w:rsidRDefault="00547CA2" w:rsidP="00463647">
      <w:pPr>
        <w:pStyle w:val="TextChar"/>
        <w:widowControl w:val="0"/>
        <w:spacing w:before="0"/>
        <w:jc w:val="left"/>
        <w:rPr>
          <w:color w:val="000000"/>
          <w:sz w:val="22"/>
          <w:szCs w:val="22"/>
          <w:lang w:val="sv-SE"/>
        </w:rPr>
      </w:pPr>
      <w:r w:rsidRPr="006C7A3E">
        <w:rPr>
          <w:b/>
          <w:color w:val="000000"/>
          <w:sz w:val="22"/>
          <w:szCs w:val="22"/>
          <w:lang w:val="sv-SE"/>
        </w:rPr>
        <w:t xml:space="preserve">Meddela </w:t>
      </w:r>
      <w:r>
        <w:rPr>
          <w:b/>
          <w:color w:val="000000"/>
          <w:sz w:val="22"/>
          <w:szCs w:val="22"/>
          <w:lang w:val="sv-SE"/>
        </w:rPr>
        <w:t xml:space="preserve">omedelbart </w:t>
      </w:r>
      <w:r w:rsidRPr="006C7A3E">
        <w:rPr>
          <w:b/>
          <w:color w:val="000000"/>
          <w:sz w:val="22"/>
          <w:szCs w:val="22"/>
          <w:lang w:val="sv-SE"/>
        </w:rPr>
        <w:t>din läkare</w:t>
      </w:r>
      <w:r>
        <w:rPr>
          <w:color w:val="000000"/>
          <w:sz w:val="22"/>
          <w:szCs w:val="22"/>
          <w:lang w:val="sv-SE"/>
        </w:rPr>
        <w:t xml:space="preserve"> om du får något av ovanstående.</w:t>
      </w:r>
    </w:p>
    <w:p w14:paraId="196B6072" w14:textId="77777777" w:rsidR="00547CA2" w:rsidRDefault="00547CA2" w:rsidP="00463647">
      <w:pPr>
        <w:pStyle w:val="TextChar"/>
        <w:widowControl w:val="0"/>
        <w:spacing w:before="0"/>
        <w:jc w:val="left"/>
        <w:rPr>
          <w:color w:val="000000"/>
          <w:sz w:val="22"/>
          <w:szCs w:val="22"/>
          <w:lang w:val="sv-SE"/>
        </w:rPr>
      </w:pPr>
    </w:p>
    <w:p w14:paraId="475FAA33" w14:textId="77777777" w:rsidR="00547CA2" w:rsidRDefault="00547CA2" w:rsidP="009E09A2">
      <w:pPr>
        <w:pStyle w:val="TextChar"/>
        <w:keepNext/>
        <w:widowControl w:val="0"/>
        <w:spacing w:before="0"/>
        <w:jc w:val="left"/>
        <w:rPr>
          <w:b/>
          <w:color w:val="000000"/>
          <w:sz w:val="22"/>
          <w:szCs w:val="22"/>
          <w:lang w:val="sv-SE"/>
        </w:rPr>
      </w:pPr>
      <w:r w:rsidRPr="00F224AA">
        <w:rPr>
          <w:b/>
          <w:color w:val="000000"/>
          <w:sz w:val="22"/>
          <w:szCs w:val="22"/>
          <w:lang w:val="sv-SE"/>
        </w:rPr>
        <w:lastRenderedPageBreak/>
        <w:t>Andra biverkningar kan omfatta:</w:t>
      </w:r>
    </w:p>
    <w:p w14:paraId="3C11523D" w14:textId="77777777" w:rsidR="00547CA2" w:rsidRPr="00862A7C" w:rsidRDefault="00547CA2" w:rsidP="009E09A2">
      <w:pPr>
        <w:pStyle w:val="TextChar"/>
        <w:keepNext/>
        <w:widowControl w:val="0"/>
        <w:spacing w:before="0"/>
        <w:jc w:val="left"/>
        <w:rPr>
          <w:color w:val="000000"/>
          <w:sz w:val="22"/>
          <w:szCs w:val="22"/>
          <w:lang w:val="sv-SE"/>
        </w:rPr>
      </w:pPr>
    </w:p>
    <w:p w14:paraId="7F8CB8EF" w14:textId="77777777" w:rsidR="00547CA2" w:rsidRPr="008504F2" w:rsidRDefault="00547CA2" w:rsidP="009E09A2">
      <w:pPr>
        <w:pStyle w:val="TextChar"/>
        <w:keepNext/>
        <w:widowControl w:val="0"/>
        <w:spacing w:before="0"/>
        <w:jc w:val="left"/>
        <w:rPr>
          <w:color w:val="000000"/>
          <w:sz w:val="22"/>
          <w:szCs w:val="22"/>
          <w:lang w:val="sv-SE"/>
        </w:rPr>
      </w:pPr>
      <w:r>
        <w:rPr>
          <w:b/>
          <w:color w:val="000000"/>
          <w:sz w:val="22"/>
          <w:szCs w:val="22"/>
          <w:lang w:val="sv-SE"/>
        </w:rPr>
        <w:t xml:space="preserve">Mycket </w:t>
      </w:r>
      <w:r w:rsidRPr="004C1A96">
        <w:rPr>
          <w:b/>
          <w:color w:val="000000"/>
          <w:sz w:val="22"/>
          <w:szCs w:val="22"/>
          <w:lang w:val="sv-SE"/>
        </w:rPr>
        <w:t xml:space="preserve">vanliga </w:t>
      </w:r>
      <w:r w:rsidRPr="008504F2">
        <w:rPr>
          <w:color w:val="000000"/>
          <w:sz w:val="22"/>
          <w:szCs w:val="22"/>
          <w:lang w:val="sv-SE"/>
        </w:rPr>
        <w:t>(kan förekomma hos fler än 1 av 10 personer):</w:t>
      </w:r>
    </w:p>
    <w:p w14:paraId="549FB3AA"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Huvudvärk eller trötthet.</w:t>
      </w:r>
    </w:p>
    <w:p w14:paraId="0DBC70EE"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Illamående, kräkningar, diarré eller matsmältningsbesvär.</w:t>
      </w:r>
    </w:p>
    <w:p w14:paraId="11450AB8"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Hudutslag.</w:t>
      </w:r>
    </w:p>
    <w:p w14:paraId="20B8E76C" w14:textId="642B4979" w:rsidR="00547CA2" w:rsidRPr="0001442D"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sidRPr="0001442D">
        <w:rPr>
          <w:color w:val="000000"/>
          <w:sz w:val="22"/>
          <w:szCs w:val="22"/>
          <w:lang w:val="sv-SE"/>
        </w:rPr>
        <w:t>Muskelkramper eller</w:t>
      </w:r>
      <w:r>
        <w:rPr>
          <w:color w:val="000000"/>
          <w:sz w:val="22"/>
          <w:szCs w:val="22"/>
          <w:lang w:val="sv-SE"/>
        </w:rPr>
        <w:t xml:space="preserve"> smärta i leder</w:t>
      </w:r>
      <w:r w:rsidRPr="0001442D">
        <w:rPr>
          <w:color w:val="000000"/>
          <w:sz w:val="22"/>
          <w:szCs w:val="22"/>
          <w:lang w:val="sv-SE"/>
        </w:rPr>
        <w:t xml:space="preserve">, </w:t>
      </w:r>
      <w:r>
        <w:rPr>
          <w:color w:val="000000"/>
          <w:sz w:val="22"/>
          <w:szCs w:val="22"/>
          <w:lang w:val="sv-SE"/>
        </w:rPr>
        <w:t>muskler eller</w:t>
      </w:r>
      <w:r w:rsidRPr="0001442D">
        <w:rPr>
          <w:color w:val="000000"/>
          <w:sz w:val="22"/>
          <w:szCs w:val="22"/>
          <w:lang w:val="sv-SE"/>
        </w:rPr>
        <w:t xml:space="preserve"> skelett</w:t>
      </w:r>
      <w:r w:rsidR="00AD7816">
        <w:rPr>
          <w:color w:val="000000"/>
          <w:sz w:val="22"/>
          <w:szCs w:val="22"/>
          <w:lang w:val="sv-SE"/>
        </w:rPr>
        <w:t xml:space="preserve"> under behandling med Glivec eller efter du har slutat ta Glivec</w:t>
      </w:r>
      <w:r>
        <w:rPr>
          <w:color w:val="000000"/>
          <w:sz w:val="22"/>
          <w:szCs w:val="22"/>
          <w:lang w:val="sv-SE"/>
        </w:rPr>
        <w:t>.</w:t>
      </w:r>
    </w:p>
    <w:p w14:paraId="7092E503"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Svullnad runt leder eller uppsvullna ögon.</w:t>
      </w:r>
    </w:p>
    <w:p w14:paraId="4E688891" w14:textId="77777777" w:rsidR="00547CA2" w:rsidRPr="0001442D"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Viktuppgång.</w:t>
      </w:r>
    </w:p>
    <w:p w14:paraId="1B4C12D9" w14:textId="77777777" w:rsidR="00547CA2" w:rsidRDefault="00547CA2" w:rsidP="00463647">
      <w:pPr>
        <w:pStyle w:val="TextChar"/>
        <w:widowControl w:val="0"/>
        <w:spacing w:before="0"/>
        <w:jc w:val="left"/>
        <w:rPr>
          <w:color w:val="000000"/>
          <w:sz w:val="22"/>
          <w:szCs w:val="22"/>
          <w:lang w:val="sv-SE"/>
        </w:rPr>
      </w:pPr>
      <w:r w:rsidRPr="000E7AE9">
        <w:rPr>
          <w:b/>
          <w:color w:val="000000"/>
          <w:sz w:val="22"/>
          <w:szCs w:val="22"/>
          <w:lang w:val="sv-SE"/>
        </w:rPr>
        <w:t>Meddela din läkare</w:t>
      </w:r>
      <w:r w:rsidRPr="000E7AE9">
        <w:rPr>
          <w:color w:val="000000"/>
          <w:sz w:val="22"/>
          <w:szCs w:val="22"/>
          <w:lang w:val="sv-SE"/>
        </w:rPr>
        <w:t xml:space="preserve"> om något av detta påverkar dig allvarligt.</w:t>
      </w:r>
    </w:p>
    <w:p w14:paraId="507BBF16" w14:textId="77777777" w:rsidR="00547CA2" w:rsidRDefault="00547CA2" w:rsidP="00463647">
      <w:pPr>
        <w:pStyle w:val="TextChar"/>
        <w:widowControl w:val="0"/>
        <w:spacing w:before="0"/>
        <w:jc w:val="left"/>
        <w:rPr>
          <w:color w:val="000000"/>
          <w:sz w:val="22"/>
          <w:szCs w:val="22"/>
          <w:lang w:val="sv-SE"/>
        </w:rPr>
      </w:pPr>
    </w:p>
    <w:p w14:paraId="365E87EF" w14:textId="77777777" w:rsidR="00547CA2" w:rsidRPr="008504F2" w:rsidRDefault="00547CA2" w:rsidP="009E09A2">
      <w:pPr>
        <w:pStyle w:val="TextChar"/>
        <w:keepNext/>
        <w:widowControl w:val="0"/>
        <w:spacing w:before="0"/>
        <w:jc w:val="left"/>
        <w:rPr>
          <w:color w:val="000000"/>
          <w:sz w:val="22"/>
          <w:szCs w:val="22"/>
          <w:lang w:val="sv-SE"/>
        </w:rPr>
      </w:pPr>
      <w:r>
        <w:rPr>
          <w:b/>
          <w:color w:val="000000"/>
          <w:sz w:val="22"/>
          <w:szCs w:val="22"/>
          <w:lang w:val="sv-SE"/>
        </w:rPr>
        <w:t>Vanliga</w:t>
      </w:r>
      <w:r w:rsidRPr="004C1A96">
        <w:rPr>
          <w:b/>
          <w:color w:val="000000"/>
          <w:sz w:val="22"/>
          <w:szCs w:val="22"/>
          <w:lang w:val="sv-SE"/>
        </w:rPr>
        <w:t xml:space="preserve"> </w:t>
      </w:r>
      <w:r w:rsidRPr="008504F2">
        <w:rPr>
          <w:color w:val="000000"/>
          <w:sz w:val="22"/>
          <w:szCs w:val="22"/>
          <w:lang w:val="sv-SE"/>
        </w:rPr>
        <w:t>(kan förekomma hos upp till 1 av 10 personer):</w:t>
      </w:r>
    </w:p>
    <w:p w14:paraId="6391A69A"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Minskad aptit, viktnedgång eller smakstörningar.</w:t>
      </w:r>
    </w:p>
    <w:p w14:paraId="65B1466C"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Yrsel eller svaghet.</w:t>
      </w:r>
    </w:p>
    <w:p w14:paraId="5CE78D53"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Sömnproblem (insomnia).</w:t>
      </w:r>
    </w:p>
    <w:p w14:paraId="3A259F2A"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Rinnande ögon med klåda, rodnad och svullnad (bindhinneinflammation), vätskande ögon eller dimsyn.</w:t>
      </w:r>
    </w:p>
    <w:p w14:paraId="5057EB51"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Näsblödning.</w:t>
      </w:r>
    </w:p>
    <w:p w14:paraId="57EB7331"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Buksmärta eller utspänd buk, väderspänning, halsbränna, förstoppning.</w:t>
      </w:r>
    </w:p>
    <w:p w14:paraId="7EAF06CC"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Klåda.</w:t>
      </w:r>
    </w:p>
    <w:p w14:paraId="1BA4C4CF"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Oväntat kraftigt håravfall eller uttunning av håret.</w:t>
      </w:r>
    </w:p>
    <w:p w14:paraId="1B1F070D"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Domningar i händer och fötter.</w:t>
      </w:r>
    </w:p>
    <w:p w14:paraId="105E4D00"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Sår i munnen.</w:t>
      </w:r>
    </w:p>
    <w:p w14:paraId="0CBCB339"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Ledsmärta med svullnad.</w:t>
      </w:r>
    </w:p>
    <w:p w14:paraId="3E344A5A"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Muntorrhet, torr hud eller torra ögon.</w:t>
      </w:r>
    </w:p>
    <w:p w14:paraId="771544D2"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Minskad eller ökad känslighet i huden.</w:t>
      </w:r>
    </w:p>
    <w:p w14:paraId="05FE1C3C"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Heta blodvallningar, frossa eller nattsvettning.</w:t>
      </w:r>
    </w:p>
    <w:p w14:paraId="008DEBAA" w14:textId="77777777" w:rsidR="00547CA2" w:rsidRPr="000E7AE9" w:rsidRDefault="00547CA2" w:rsidP="00463647">
      <w:pPr>
        <w:pStyle w:val="TextChar"/>
        <w:widowControl w:val="0"/>
        <w:spacing w:before="0"/>
        <w:jc w:val="left"/>
        <w:rPr>
          <w:color w:val="000000"/>
          <w:sz w:val="22"/>
          <w:szCs w:val="22"/>
          <w:lang w:val="sv-SE"/>
        </w:rPr>
      </w:pPr>
      <w:r w:rsidRPr="000E7AE9">
        <w:rPr>
          <w:b/>
          <w:color w:val="000000"/>
          <w:sz w:val="22"/>
          <w:szCs w:val="22"/>
          <w:lang w:val="sv-SE"/>
        </w:rPr>
        <w:t xml:space="preserve">Meddela din läkare </w:t>
      </w:r>
      <w:r w:rsidRPr="000E7AE9">
        <w:rPr>
          <w:color w:val="000000"/>
          <w:sz w:val="22"/>
          <w:szCs w:val="22"/>
          <w:lang w:val="sv-SE"/>
        </w:rPr>
        <w:t>om något av detta påverkar dig allvarligt.</w:t>
      </w:r>
    </w:p>
    <w:p w14:paraId="5F967F45" w14:textId="77777777" w:rsidR="00547CA2" w:rsidRPr="000E7AE9" w:rsidRDefault="00547CA2" w:rsidP="00463647">
      <w:pPr>
        <w:pStyle w:val="TextChar"/>
        <w:widowControl w:val="0"/>
        <w:spacing w:before="0"/>
        <w:jc w:val="left"/>
        <w:rPr>
          <w:color w:val="000000"/>
          <w:sz w:val="22"/>
          <w:szCs w:val="22"/>
          <w:lang w:val="sv-SE"/>
        </w:rPr>
      </w:pPr>
    </w:p>
    <w:p w14:paraId="2B9D61D8" w14:textId="77777777" w:rsidR="00547CA2" w:rsidRPr="008504F2" w:rsidRDefault="008D36D7" w:rsidP="009E09A2">
      <w:pPr>
        <w:pStyle w:val="TextChar"/>
        <w:keepNext/>
        <w:widowControl w:val="0"/>
        <w:spacing w:before="0"/>
        <w:jc w:val="left"/>
        <w:rPr>
          <w:color w:val="000000"/>
          <w:sz w:val="22"/>
          <w:szCs w:val="22"/>
          <w:lang w:val="sv-SE"/>
        </w:rPr>
      </w:pPr>
      <w:r>
        <w:rPr>
          <w:b/>
          <w:color w:val="000000"/>
          <w:sz w:val="22"/>
          <w:szCs w:val="22"/>
          <w:lang w:val="sv-SE"/>
        </w:rPr>
        <w:t xml:space="preserve">Har rapporterats </w:t>
      </w:r>
      <w:r w:rsidRPr="008504F2">
        <w:rPr>
          <w:color w:val="000000"/>
          <w:sz w:val="22"/>
          <w:szCs w:val="22"/>
          <w:lang w:val="sv-SE"/>
        </w:rPr>
        <w:t>(</w:t>
      </w:r>
      <w:r>
        <w:rPr>
          <w:color w:val="000000"/>
          <w:sz w:val="22"/>
          <w:szCs w:val="22"/>
          <w:lang w:val="sv-SE"/>
        </w:rPr>
        <w:t>förekommer hos okänt antal användare)</w:t>
      </w:r>
      <w:r w:rsidR="00547CA2" w:rsidRPr="008504F2">
        <w:rPr>
          <w:color w:val="000000"/>
          <w:sz w:val="22"/>
          <w:szCs w:val="22"/>
          <w:lang w:val="sv-SE"/>
        </w:rPr>
        <w:t>:</w:t>
      </w:r>
    </w:p>
    <w:p w14:paraId="4FBF705D"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 xml:space="preserve">Rodnad och/eller svullnad i handflatorna och på fotsulorna som kan vara åtföljt av en </w:t>
      </w:r>
      <w:r w:rsidRPr="00C846F7">
        <w:rPr>
          <w:color w:val="000000"/>
          <w:sz w:val="22"/>
          <w:szCs w:val="22"/>
          <w:lang w:val="sv-SE"/>
        </w:rPr>
        <w:t>stickande känsla</w:t>
      </w:r>
      <w:r>
        <w:rPr>
          <w:color w:val="000000"/>
          <w:sz w:val="22"/>
          <w:szCs w:val="22"/>
          <w:lang w:val="sv-SE"/>
        </w:rPr>
        <w:t xml:space="preserve"> eller brännande smärta.</w:t>
      </w:r>
    </w:p>
    <w:p w14:paraId="7E4671E7" w14:textId="77777777" w:rsidR="00676CAE" w:rsidRDefault="00676CAE"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 xml:space="preserve">Smärtsamma </w:t>
      </w:r>
      <w:r w:rsidR="00E50AD8">
        <w:rPr>
          <w:color w:val="000000"/>
          <w:sz w:val="22"/>
          <w:szCs w:val="22"/>
          <w:lang w:val="sv-SE"/>
        </w:rPr>
        <w:t>förändringar i huden med eller utan blåsor</w:t>
      </w:r>
      <w:r>
        <w:rPr>
          <w:color w:val="000000"/>
          <w:sz w:val="22"/>
          <w:szCs w:val="22"/>
          <w:lang w:val="sv-SE"/>
        </w:rPr>
        <w:t>.</w:t>
      </w:r>
    </w:p>
    <w:p w14:paraId="6F8CAE1D" w14:textId="77777777" w:rsidR="00547CA2" w:rsidRDefault="00547CA2" w:rsidP="00463647">
      <w:pPr>
        <w:pStyle w:val="TextChar"/>
        <w:widowControl w:val="0"/>
        <w:numPr>
          <w:ilvl w:val="0"/>
          <w:numId w:val="7"/>
        </w:numPr>
        <w:tabs>
          <w:tab w:val="clear" w:pos="360"/>
        </w:tabs>
        <w:spacing w:before="0"/>
        <w:ind w:left="567" w:hanging="567"/>
        <w:jc w:val="left"/>
        <w:rPr>
          <w:color w:val="000000"/>
          <w:sz w:val="22"/>
          <w:szCs w:val="22"/>
          <w:lang w:val="sv-SE"/>
        </w:rPr>
      </w:pPr>
      <w:r>
        <w:rPr>
          <w:color w:val="000000"/>
          <w:sz w:val="22"/>
          <w:szCs w:val="22"/>
          <w:lang w:val="sv-SE"/>
        </w:rPr>
        <w:t>Långsam tillväxt hos barn och ungdomar.</w:t>
      </w:r>
    </w:p>
    <w:p w14:paraId="030090D7" w14:textId="77777777" w:rsidR="00547CA2" w:rsidRPr="00C846F7" w:rsidRDefault="00547CA2" w:rsidP="00463647">
      <w:pPr>
        <w:pStyle w:val="TextChar"/>
        <w:widowControl w:val="0"/>
        <w:spacing w:before="0"/>
        <w:jc w:val="left"/>
        <w:rPr>
          <w:color w:val="000000"/>
          <w:sz w:val="22"/>
          <w:szCs w:val="22"/>
          <w:lang w:val="sv-SE"/>
        </w:rPr>
      </w:pPr>
      <w:r>
        <w:rPr>
          <w:b/>
          <w:color w:val="000000"/>
          <w:sz w:val="22"/>
          <w:szCs w:val="22"/>
          <w:lang w:val="sv-SE"/>
        </w:rPr>
        <w:t xml:space="preserve">Meddela din läkare </w:t>
      </w:r>
      <w:r>
        <w:rPr>
          <w:color w:val="000000"/>
          <w:sz w:val="22"/>
          <w:szCs w:val="22"/>
          <w:lang w:val="sv-SE"/>
        </w:rPr>
        <w:t>om något av detta påverkar dig allvarligt.</w:t>
      </w:r>
    </w:p>
    <w:p w14:paraId="47C136C9" w14:textId="77777777" w:rsidR="00547CA2" w:rsidRPr="00547CA2" w:rsidRDefault="00547CA2" w:rsidP="00463647">
      <w:pPr>
        <w:widowControl w:val="0"/>
        <w:numPr>
          <w:ilvl w:val="12"/>
          <w:numId w:val="0"/>
        </w:numPr>
        <w:spacing w:line="240" w:lineRule="auto"/>
        <w:outlineLvl w:val="0"/>
        <w:rPr>
          <w:noProof/>
          <w:szCs w:val="22"/>
          <w:lang w:val="sv-SE"/>
        </w:rPr>
      </w:pPr>
    </w:p>
    <w:p w14:paraId="5A5F9D14" w14:textId="77777777" w:rsidR="00547CA2" w:rsidRPr="00547CA2" w:rsidRDefault="00547CA2" w:rsidP="009E09A2">
      <w:pPr>
        <w:keepNext/>
        <w:widowControl w:val="0"/>
        <w:numPr>
          <w:ilvl w:val="12"/>
          <w:numId w:val="0"/>
        </w:numPr>
        <w:spacing w:line="240" w:lineRule="auto"/>
        <w:outlineLvl w:val="0"/>
        <w:rPr>
          <w:b/>
          <w:noProof/>
          <w:szCs w:val="22"/>
          <w:lang w:val="sv-SE"/>
        </w:rPr>
      </w:pPr>
      <w:r w:rsidRPr="00547CA2">
        <w:rPr>
          <w:b/>
          <w:noProof/>
          <w:szCs w:val="22"/>
          <w:lang w:val="sv-SE"/>
        </w:rPr>
        <w:t>Rapportering av biverkningar</w:t>
      </w:r>
    </w:p>
    <w:p w14:paraId="2119F3DD" w14:textId="77777777" w:rsidR="00547CA2" w:rsidRPr="00547CA2" w:rsidRDefault="00547CA2" w:rsidP="00463647">
      <w:pPr>
        <w:pStyle w:val="TextChar"/>
        <w:widowControl w:val="0"/>
        <w:spacing w:before="0"/>
        <w:jc w:val="left"/>
        <w:rPr>
          <w:color w:val="000000"/>
          <w:sz w:val="22"/>
          <w:szCs w:val="22"/>
          <w:lang w:val="sv-SE"/>
        </w:rPr>
      </w:pPr>
      <w:r w:rsidRPr="00547CA2">
        <w:rPr>
          <w:noProof/>
          <w:sz w:val="22"/>
          <w:szCs w:val="22"/>
          <w:lang w:val="sv-SE"/>
        </w:rPr>
        <w:t>Om du får biverkningar, tala med läkare, apotekspersonal eller sjuksköterska.</w:t>
      </w:r>
      <w:r w:rsidRPr="00547CA2">
        <w:rPr>
          <w:color w:val="FF0000"/>
          <w:sz w:val="22"/>
          <w:szCs w:val="22"/>
          <w:lang w:val="sv-SE"/>
        </w:rPr>
        <w:t xml:space="preserve"> </w:t>
      </w:r>
      <w:r w:rsidRPr="00547CA2">
        <w:rPr>
          <w:noProof/>
          <w:sz w:val="22"/>
          <w:szCs w:val="22"/>
          <w:lang w:val="sv-SE"/>
        </w:rPr>
        <w:t>Detta gäller även</w:t>
      </w:r>
      <w:r w:rsidRPr="00547CA2">
        <w:rPr>
          <w:sz w:val="22"/>
          <w:szCs w:val="22"/>
          <w:lang w:val="sv-SE"/>
        </w:rPr>
        <w:t xml:space="preserve"> </w:t>
      </w:r>
      <w:r w:rsidR="0039431C">
        <w:rPr>
          <w:sz w:val="22"/>
          <w:szCs w:val="22"/>
          <w:lang w:val="sv-SE"/>
        </w:rPr>
        <w:t xml:space="preserve">eventuella </w:t>
      </w:r>
      <w:r w:rsidRPr="00547CA2">
        <w:rPr>
          <w:noProof/>
          <w:sz w:val="22"/>
          <w:szCs w:val="22"/>
          <w:lang w:val="sv-SE"/>
        </w:rPr>
        <w:t xml:space="preserve">biverkningar som inte nämns i denna information. Du kan också rapportera biverkningar direkt </w:t>
      </w:r>
      <w:r w:rsidRPr="00547CA2">
        <w:rPr>
          <w:noProof/>
          <w:sz w:val="22"/>
          <w:szCs w:val="22"/>
          <w:shd w:val="pct15" w:color="auto" w:fill="auto"/>
          <w:lang w:val="sv-SE"/>
        </w:rPr>
        <w:t xml:space="preserve">via det nationella rapporteringssystemet listat i </w:t>
      </w:r>
      <w:hyperlink r:id="rId18" w:history="1">
        <w:r w:rsidRPr="00547CA2">
          <w:rPr>
            <w:rStyle w:val="Hyperlink"/>
            <w:noProof/>
            <w:sz w:val="22"/>
            <w:szCs w:val="22"/>
            <w:shd w:val="pct15" w:color="auto" w:fill="auto"/>
            <w:lang w:val="sv-SE"/>
          </w:rPr>
          <w:t>bilaga V</w:t>
        </w:r>
      </w:hyperlink>
      <w:r w:rsidRPr="00547CA2">
        <w:rPr>
          <w:noProof/>
          <w:color w:val="92D050"/>
          <w:sz w:val="22"/>
          <w:szCs w:val="22"/>
          <w:lang w:val="sv-SE"/>
        </w:rPr>
        <w:t>.</w:t>
      </w:r>
      <w:r w:rsidRPr="00547CA2">
        <w:rPr>
          <w:noProof/>
          <w:sz w:val="22"/>
          <w:szCs w:val="22"/>
          <w:lang w:val="sv-SE"/>
        </w:rPr>
        <w:t xml:space="preserve"> Genom att rapportera biverkningar kan du bidra till att öka informationen om läkemedels säkerhet.</w:t>
      </w:r>
    </w:p>
    <w:p w14:paraId="7BAD38D4" w14:textId="77777777" w:rsidR="00547CA2" w:rsidRPr="00547CA2" w:rsidRDefault="00547CA2" w:rsidP="00463647">
      <w:pPr>
        <w:widowControl w:val="0"/>
        <w:numPr>
          <w:ilvl w:val="12"/>
          <w:numId w:val="0"/>
        </w:numPr>
        <w:tabs>
          <w:tab w:val="clear" w:pos="567"/>
        </w:tabs>
        <w:spacing w:line="240" w:lineRule="auto"/>
        <w:ind w:right="-2"/>
        <w:rPr>
          <w:color w:val="000000"/>
          <w:szCs w:val="22"/>
          <w:lang w:val="sv-SE"/>
        </w:rPr>
      </w:pPr>
    </w:p>
    <w:p w14:paraId="3F6A0B29" w14:textId="77777777" w:rsidR="00547CA2" w:rsidRPr="000E7AE9" w:rsidRDefault="00547CA2" w:rsidP="00463647">
      <w:pPr>
        <w:widowControl w:val="0"/>
        <w:numPr>
          <w:ilvl w:val="12"/>
          <w:numId w:val="0"/>
        </w:numPr>
        <w:tabs>
          <w:tab w:val="clear" w:pos="567"/>
        </w:tabs>
        <w:spacing w:line="240" w:lineRule="auto"/>
        <w:ind w:right="-2"/>
        <w:rPr>
          <w:color w:val="000000"/>
          <w:szCs w:val="22"/>
          <w:lang w:val="sv-SE"/>
        </w:rPr>
      </w:pPr>
    </w:p>
    <w:p w14:paraId="623AFE55" w14:textId="77777777" w:rsidR="00AB699C" w:rsidRPr="000E7AE9" w:rsidRDefault="00AB699C" w:rsidP="009E09A2">
      <w:pPr>
        <w:pStyle w:val="Heading4"/>
        <w:widowControl w:val="0"/>
        <w:spacing w:line="240" w:lineRule="auto"/>
        <w:rPr>
          <w:noProof w:val="0"/>
          <w:color w:val="000000"/>
          <w:szCs w:val="22"/>
          <w:lang w:val="sv-SE"/>
        </w:rPr>
      </w:pPr>
      <w:r w:rsidRPr="000E7AE9">
        <w:rPr>
          <w:noProof w:val="0"/>
          <w:color w:val="000000"/>
          <w:szCs w:val="22"/>
          <w:lang w:val="sv-SE"/>
        </w:rPr>
        <w:t>5.</w:t>
      </w:r>
      <w:r w:rsidRPr="000E7AE9">
        <w:rPr>
          <w:noProof w:val="0"/>
          <w:color w:val="000000"/>
          <w:szCs w:val="22"/>
          <w:lang w:val="sv-SE"/>
        </w:rPr>
        <w:tab/>
      </w:r>
      <w:r>
        <w:rPr>
          <w:noProof w:val="0"/>
          <w:color w:val="000000"/>
          <w:szCs w:val="22"/>
          <w:lang w:val="sv-SE"/>
        </w:rPr>
        <w:t>Hur Glivec ska förvaras</w:t>
      </w:r>
    </w:p>
    <w:p w14:paraId="0C3BE5F0" w14:textId="77777777" w:rsidR="00AB699C" w:rsidRPr="000E7AE9" w:rsidRDefault="00AB699C" w:rsidP="009E09A2">
      <w:pPr>
        <w:keepNext/>
        <w:widowControl w:val="0"/>
        <w:numPr>
          <w:ilvl w:val="12"/>
          <w:numId w:val="0"/>
        </w:numPr>
        <w:tabs>
          <w:tab w:val="clear" w:pos="567"/>
        </w:tabs>
        <w:spacing w:line="240" w:lineRule="auto"/>
        <w:ind w:right="-2"/>
        <w:rPr>
          <w:color w:val="000000"/>
          <w:szCs w:val="22"/>
          <w:lang w:val="sv-SE"/>
        </w:rPr>
      </w:pPr>
    </w:p>
    <w:p w14:paraId="70F0E09B" w14:textId="77777777" w:rsidR="00AB699C" w:rsidRPr="000E7AE9"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 xml:space="preserve">Förvara </w:t>
      </w:r>
      <w:r>
        <w:rPr>
          <w:color w:val="000000"/>
          <w:sz w:val="22"/>
          <w:szCs w:val="22"/>
          <w:lang w:val="sv-SE"/>
        </w:rPr>
        <w:t xml:space="preserve">detta läkemedel </w:t>
      </w:r>
      <w:r w:rsidRPr="000E7AE9">
        <w:rPr>
          <w:color w:val="000000"/>
          <w:sz w:val="22"/>
          <w:szCs w:val="22"/>
          <w:lang w:val="sv-SE"/>
        </w:rPr>
        <w:t>utom syn- och räckhåll för barn.</w:t>
      </w:r>
    </w:p>
    <w:p w14:paraId="63E591E4" w14:textId="77777777" w:rsidR="00AB699C" w:rsidRPr="000E7AE9"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Används före utgångsdatum som anges på kartongen</w:t>
      </w:r>
      <w:r w:rsidR="00676CAE">
        <w:rPr>
          <w:color w:val="000000"/>
          <w:sz w:val="22"/>
          <w:szCs w:val="22"/>
          <w:lang w:val="sv-SE"/>
        </w:rPr>
        <w:t xml:space="preserve"> efter EXP</w:t>
      </w:r>
      <w:r w:rsidRPr="000E7AE9">
        <w:rPr>
          <w:color w:val="000000"/>
          <w:sz w:val="22"/>
          <w:szCs w:val="22"/>
          <w:lang w:val="sv-SE"/>
        </w:rPr>
        <w:t>.</w:t>
      </w:r>
    </w:p>
    <w:p w14:paraId="791AD422" w14:textId="77777777" w:rsidR="00AB699C" w:rsidRPr="000E7AE9"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Förvaras vid högst 30 C.</w:t>
      </w:r>
    </w:p>
    <w:p w14:paraId="1549034E" w14:textId="77777777" w:rsidR="00AB699C" w:rsidRPr="000E7AE9"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Förvaras i originalförpackningen. Fuktkänsligt.</w:t>
      </w:r>
    </w:p>
    <w:p w14:paraId="2D1090FE" w14:textId="77777777" w:rsidR="00AB699C" w:rsidRDefault="00AB699C" w:rsidP="00463647">
      <w:pPr>
        <w:pStyle w:val="TextChar"/>
        <w:widowControl w:val="0"/>
        <w:numPr>
          <w:ilvl w:val="0"/>
          <w:numId w:val="11"/>
        </w:numPr>
        <w:spacing w:before="0"/>
        <w:jc w:val="left"/>
        <w:rPr>
          <w:color w:val="000000"/>
          <w:sz w:val="22"/>
          <w:szCs w:val="22"/>
          <w:lang w:val="sv-SE"/>
        </w:rPr>
      </w:pPr>
      <w:r w:rsidRPr="000E7AE9">
        <w:rPr>
          <w:color w:val="000000"/>
          <w:sz w:val="22"/>
          <w:szCs w:val="22"/>
          <w:lang w:val="sv-SE"/>
        </w:rPr>
        <w:t>Användes inte om någon förpackning är skadad eller visar tecken på att ha öppnats eller hanterats på annat otillbörligt sätt.</w:t>
      </w:r>
    </w:p>
    <w:p w14:paraId="6F9728F4" w14:textId="77777777" w:rsidR="00BF75F9" w:rsidRPr="00BF75F9" w:rsidRDefault="00BF75F9" w:rsidP="00463647">
      <w:pPr>
        <w:pStyle w:val="TextChar"/>
        <w:widowControl w:val="0"/>
        <w:numPr>
          <w:ilvl w:val="0"/>
          <w:numId w:val="11"/>
        </w:numPr>
        <w:spacing w:before="0"/>
        <w:jc w:val="left"/>
        <w:rPr>
          <w:color w:val="000000"/>
          <w:sz w:val="22"/>
          <w:szCs w:val="22"/>
          <w:lang w:val="sv-SE"/>
        </w:rPr>
      </w:pPr>
      <w:r>
        <w:rPr>
          <w:color w:val="000000"/>
          <w:sz w:val="22"/>
          <w:szCs w:val="22"/>
          <w:lang w:val="sv-SE"/>
        </w:rPr>
        <w:t xml:space="preserve">Läkemedel ska inte kastas i avloppet eller bland hushållsavfall. Fråga apotekspersonalen hur man kastar </w:t>
      </w:r>
      <w:r w:rsidR="00E27E52">
        <w:rPr>
          <w:color w:val="000000"/>
          <w:sz w:val="22"/>
          <w:szCs w:val="22"/>
          <w:lang w:val="sv-SE"/>
        </w:rPr>
        <w:t>läkemedel</w:t>
      </w:r>
      <w:r>
        <w:rPr>
          <w:color w:val="000000"/>
          <w:sz w:val="22"/>
          <w:szCs w:val="22"/>
          <w:lang w:val="sv-SE"/>
        </w:rPr>
        <w:t xml:space="preserve"> som inte längre används. Dessa åtgärder är till för att skydda miljön.</w:t>
      </w:r>
    </w:p>
    <w:p w14:paraId="150AF9D3" w14:textId="77777777" w:rsidR="00AB699C" w:rsidRPr="00C846F7" w:rsidRDefault="00AB699C" w:rsidP="00463647">
      <w:pPr>
        <w:pStyle w:val="TextChar"/>
        <w:widowControl w:val="0"/>
        <w:spacing w:before="0"/>
        <w:jc w:val="left"/>
        <w:rPr>
          <w:color w:val="000000"/>
          <w:sz w:val="22"/>
          <w:szCs w:val="22"/>
          <w:lang w:val="sv-SE"/>
        </w:rPr>
      </w:pPr>
    </w:p>
    <w:p w14:paraId="611EDDC1" w14:textId="77777777" w:rsidR="00AB699C" w:rsidRPr="000E7AE9" w:rsidRDefault="00AB699C" w:rsidP="00463647">
      <w:pPr>
        <w:widowControl w:val="0"/>
        <w:numPr>
          <w:ilvl w:val="12"/>
          <w:numId w:val="0"/>
        </w:numPr>
        <w:tabs>
          <w:tab w:val="clear" w:pos="567"/>
        </w:tabs>
        <w:spacing w:line="240" w:lineRule="auto"/>
        <w:ind w:right="-2"/>
        <w:rPr>
          <w:color w:val="000000"/>
          <w:szCs w:val="22"/>
          <w:lang w:val="sv-SE"/>
        </w:rPr>
      </w:pPr>
    </w:p>
    <w:p w14:paraId="782E279A" w14:textId="77777777" w:rsidR="00CE607D" w:rsidRPr="000E7AE9" w:rsidRDefault="00CE607D" w:rsidP="009E09A2">
      <w:pPr>
        <w:pStyle w:val="Heading4"/>
        <w:widowControl w:val="0"/>
        <w:spacing w:line="240" w:lineRule="auto"/>
        <w:rPr>
          <w:noProof w:val="0"/>
          <w:color w:val="000000"/>
          <w:szCs w:val="22"/>
          <w:lang w:val="sv-SE"/>
        </w:rPr>
      </w:pPr>
      <w:r w:rsidRPr="000E7AE9">
        <w:rPr>
          <w:noProof w:val="0"/>
          <w:color w:val="000000"/>
          <w:szCs w:val="22"/>
          <w:lang w:val="sv-SE"/>
        </w:rPr>
        <w:t>6.</w:t>
      </w:r>
      <w:r w:rsidRPr="000E7AE9">
        <w:rPr>
          <w:noProof w:val="0"/>
          <w:color w:val="000000"/>
          <w:szCs w:val="22"/>
          <w:lang w:val="sv-SE"/>
        </w:rPr>
        <w:tab/>
      </w:r>
      <w:r w:rsidR="00085502">
        <w:rPr>
          <w:noProof w:val="0"/>
          <w:color w:val="000000"/>
          <w:szCs w:val="22"/>
          <w:lang w:val="sv-SE"/>
        </w:rPr>
        <w:t>Förpackningens innehåll och övriga upplysningar</w:t>
      </w:r>
    </w:p>
    <w:p w14:paraId="1DB22DC4" w14:textId="77777777" w:rsidR="00CE607D" w:rsidRPr="000E7AE9" w:rsidRDefault="00CE607D" w:rsidP="009E09A2">
      <w:pPr>
        <w:keepNext/>
        <w:widowControl w:val="0"/>
        <w:numPr>
          <w:ilvl w:val="12"/>
          <w:numId w:val="0"/>
        </w:numPr>
        <w:spacing w:line="240" w:lineRule="auto"/>
        <w:ind w:right="-2"/>
        <w:rPr>
          <w:color w:val="000000"/>
          <w:szCs w:val="22"/>
          <w:lang w:val="sv-SE"/>
        </w:rPr>
      </w:pPr>
    </w:p>
    <w:p w14:paraId="5792848E" w14:textId="77777777" w:rsidR="00CE607D" w:rsidRPr="000E7AE9" w:rsidRDefault="00CE607D" w:rsidP="009E09A2">
      <w:pPr>
        <w:pStyle w:val="EndnoteText"/>
        <w:keepNext/>
        <w:widowControl w:val="0"/>
        <w:tabs>
          <w:tab w:val="clear" w:pos="567"/>
        </w:tabs>
        <w:outlineLvl w:val="0"/>
        <w:rPr>
          <w:color w:val="000000"/>
          <w:szCs w:val="22"/>
          <w:lang w:val="sv-SE"/>
        </w:rPr>
      </w:pPr>
      <w:r w:rsidRPr="000E7AE9">
        <w:rPr>
          <w:b/>
          <w:color w:val="000000"/>
          <w:szCs w:val="22"/>
          <w:lang w:val="sv-SE"/>
        </w:rPr>
        <w:t>Innehållsdeklaration</w:t>
      </w:r>
    </w:p>
    <w:p w14:paraId="3CC0FA0E" w14:textId="6BAE824B" w:rsidR="00B24495" w:rsidRDefault="00CE607D"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Den aktiva substansen är imatinibmesylat.</w:t>
      </w:r>
    </w:p>
    <w:p w14:paraId="2AF418F3" w14:textId="20C96132" w:rsidR="00CE607D" w:rsidRDefault="00CE607D" w:rsidP="00644A2E">
      <w:pPr>
        <w:widowControl w:val="0"/>
        <w:numPr>
          <w:ilvl w:val="0"/>
          <w:numId w:val="1"/>
        </w:numPr>
        <w:tabs>
          <w:tab w:val="clear" w:pos="567"/>
          <w:tab w:val="clear" w:pos="927"/>
        </w:tabs>
        <w:spacing w:line="240" w:lineRule="auto"/>
        <w:ind w:left="1134" w:hanging="567"/>
        <w:rPr>
          <w:color w:val="000000"/>
          <w:szCs w:val="22"/>
          <w:lang w:val="sv-SE"/>
        </w:rPr>
      </w:pPr>
      <w:r>
        <w:rPr>
          <w:color w:val="000000"/>
          <w:szCs w:val="22"/>
          <w:lang w:val="sv-SE"/>
        </w:rPr>
        <w:t>Varje Glivec</w:t>
      </w:r>
      <w:r w:rsidR="001177F3">
        <w:rPr>
          <w:color w:val="000000"/>
          <w:szCs w:val="22"/>
          <w:lang w:val="sv-SE"/>
        </w:rPr>
        <w:t>-</w:t>
      </w:r>
      <w:r>
        <w:rPr>
          <w:color w:val="000000"/>
          <w:szCs w:val="22"/>
          <w:lang w:val="sv-SE"/>
        </w:rPr>
        <w:t>tablett innehåller 100 mg imatinib</w:t>
      </w:r>
      <w:r w:rsidR="00085502">
        <w:rPr>
          <w:color w:val="000000"/>
          <w:szCs w:val="22"/>
          <w:lang w:val="sv-SE"/>
        </w:rPr>
        <w:t xml:space="preserve"> (som </w:t>
      </w:r>
      <w:r>
        <w:rPr>
          <w:color w:val="000000"/>
          <w:szCs w:val="22"/>
          <w:lang w:val="sv-SE"/>
        </w:rPr>
        <w:t>mesylat</w:t>
      </w:r>
      <w:r w:rsidR="00085502">
        <w:rPr>
          <w:color w:val="000000"/>
          <w:szCs w:val="22"/>
          <w:lang w:val="sv-SE"/>
        </w:rPr>
        <w:t>)</w:t>
      </w:r>
      <w:r>
        <w:rPr>
          <w:color w:val="000000"/>
          <w:szCs w:val="22"/>
          <w:lang w:val="sv-SE"/>
        </w:rPr>
        <w:t>.</w:t>
      </w:r>
    </w:p>
    <w:p w14:paraId="71A065A7" w14:textId="718B1871" w:rsidR="00B24495" w:rsidRPr="000E7AE9" w:rsidRDefault="00B24495" w:rsidP="00644A2E">
      <w:pPr>
        <w:widowControl w:val="0"/>
        <w:numPr>
          <w:ilvl w:val="0"/>
          <w:numId w:val="1"/>
        </w:numPr>
        <w:tabs>
          <w:tab w:val="clear" w:pos="567"/>
          <w:tab w:val="clear" w:pos="927"/>
        </w:tabs>
        <w:spacing w:line="240" w:lineRule="auto"/>
        <w:ind w:left="1134" w:hanging="567"/>
        <w:rPr>
          <w:color w:val="000000"/>
          <w:szCs w:val="22"/>
          <w:lang w:val="sv-SE"/>
        </w:rPr>
      </w:pPr>
      <w:r>
        <w:rPr>
          <w:color w:val="000000"/>
          <w:szCs w:val="22"/>
          <w:lang w:val="sv-SE"/>
        </w:rPr>
        <w:t>Varje Glivec</w:t>
      </w:r>
      <w:r w:rsidR="001177F3">
        <w:rPr>
          <w:color w:val="000000"/>
          <w:szCs w:val="22"/>
          <w:lang w:val="sv-SE"/>
        </w:rPr>
        <w:t>-</w:t>
      </w:r>
      <w:r>
        <w:rPr>
          <w:color w:val="000000"/>
          <w:szCs w:val="22"/>
          <w:lang w:val="sv-SE"/>
        </w:rPr>
        <w:t>tablett innehåller 400 mg imatinib (som mesylat)</w:t>
      </w:r>
    </w:p>
    <w:p w14:paraId="716DE230" w14:textId="77777777" w:rsidR="00CE607D" w:rsidRPr="000E7AE9" w:rsidRDefault="00CE607D" w:rsidP="00463647">
      <w:pPr>
        <w:widowControl w:val="0"/>
        <w:numPr>
          <w:ilvl w:val="0"/>
          <w:numId w:val="1"/>
        </w:numPr>
        <w:tabs>
          <w:tab w:val="clear" w:pos="567"/>
          <w:tab w:val="clear" w:pos="927"/>
        </w:tabs>
        <w:spacing w:line="240" w:lineRule="auto"/>
        <w:ind w:left="567" w:right="-2" w:hanging="567"/>
        <w:rPr>
          <w:color w:val="000000"/>
          <w:szCs w:val="22"/>
          <w:lang w:val="sv-SE"/>
        </w:rPr>
      </w:pPr>
      <w:r w:rsidRPr="000E7AE9">
        <w:rPr>
          <w:color w:val="000000"/>
          <w:szCs w:val="22"/>
          <w:lang w:val="sv-SE"/>
        </w:rPr>
        <w:t>Övriga innehållsämnen är mikrokristallin cellulosa, krospovidon, hypromellos, magnesiumstearat och vattenfri, kolloidal kiseldioxid.</w:t>
      </w:r>
    </w:p>
    <w:p w14:paraId="1F8B4952" w14:textId="77777777" w:rsidR="00CE607D" w:rsidRPr="000E7AE9" w:rsidRDefault="00CE607D" w:rsidP="00463647">
      <w:pPr>
        <w:widowControl w:val="0"/>
        <w:numPr>
          <w:ilvl w:val="0"/>
          <w:numId w:val="1"/>
        </w:numPr>
        <w:tabs>
          <w:tab w:val="clear" w:pos="567"/>
          <w:tab w:val="clear" w:pos="927"/>
        </w:tabs>
        <w:spacing w:line="240" w:lineRule="auto"/>
        <w:ind w:left="567" w:right="-2" w:hanging="567"/>
        <w:rPr>
          <w:color w:val="000000"/>
          <w:szCs w:val="22"/>
          <w:lang w:val="sv-SE"/>
        </w:rPr>
      </w:pPr>
      <w:r>
        <w:rPr>
          <w:color w:val="000000"/>
          <w:szCs w:val="22"/>
          <w:lang w:val="sv-SE"/>
        </w:rPr>
        <w:t>Tablettens h</w:t>
      </w:r>
      <w:r w:rsidRPr="000E7AE9">
        <w:rPr>
          <w:color w:val="000000"/>
          <w:szCs w:val="22"/>
          <w:lang w:val="sv-SE"/>
        </w:rPr>
        <w:t>ölje består av röd järnoxid (E172), gul järnoxid (E172), makrogol, talk och hypromellos.</w:t>
      </w:r>
    </w:p>
    <w:p w14:paraId="3D888842" w14:textId="77777777" w:rsidR="00CE607D" w:rsidRPr="000E7AE9" w:rsidRDefault="00CE607D" w:rsidP="00463647">
      <w:pPr>
        <w:widowControl w:val="0"/>
        <w:tabs>
          <w:tab w:val="clear" w:pos="567"/>
        </w:tabs>
        <w:spacing w:line="240" w:lineRule="auto"/>
        <w:ind w:right="-2"/>
        <w:rPr>
          <w:color w:val="000000"/>
          <w:szCs w:val="22"/>
          <w:lang w:val="sv-SE"/>
        </w:rPr>
      </w:pPr>
    </w:p>
    <w:p w14:paraId="39E03208" w14:textId="77777777" w:rsidR="00CE607D" w:rsidRPr="000E7AE9" w:rsidRDefault="00CE607D" w:rsidP="009E09A2">
      <w:pPr>
        <w:keepNext/>
        <w:widowControl w:val="0"/>
        <w:tabs>
          <w:tab w:val="clear" w:pos="567"/>
        </w:tabs>
        <w:spacing w:line="240" w:lineRule="auto"/>
        <w:ind w:right="-2"/>
        <w:rPr>
          <w:b/>
          <w:noProof/>
          <w:color w:val="000000"/>
          <w:szCs w:val="22"/>
          <w:lang w:val="sv-SE"/>
        </w:rPr>
      </w:pPr>
      <w:r w:rsidRPr="000E7AE9">
        <w:rPr>
          <w:b/>
          <w:noProof/>
          <w:color w:val="000000"/>
          <w:szCs w:val="22"/>
          <w:lang w:val="sv-SE"/>
        </w:rPr>
        <w:t>Läkemedlets utseende och förpackningsstorlekar</w:t>
      </w:r>
    </w:p>
    <w:p w14:paraId="68EC1F84" w14:textId="77777777" w:rsidR="00CE607D" w:rsidRPr="000E7AE9" w:rsidRDefault="00CE607D" w:rsidP="00463647">
      <w:pPr>
        <w:widowControl w:val="0"/>
        <w:tabs>
          <w:tab w:val="clear" w:pos="567"/>
        </w:tabs>
        <w:spacing w:line="240" w:lineRule="auto"/>
        <w:ind w:right="-2"/>
        <w:rPr>
          <w:color w:val="000000"/>
          <w:szCs w:val="22"/>
          <w:lang w:val="sv-SE"/>
        </w:rPr>
      </w:pPr>
      <w:r w:rsidRPr="000E7AE9">
        <w:rPr>
          <w:color w:val="000000"/>
          <w:szCs w:val="22"/>
          <w:lang w:val="sv-SE"/>
        </w:rPr>
        <w:t>Glivec 100 mg filmdragerade tabletter är mycket mörkt gula till brun-orange runda tabletter</w:t>
      </w:r>
      <w:r>
        <w:rPr>
          <w:color w:val="000000"/>
          <w:szCs w:val="22"/>
          <w:lang w:val="sv-SE"/>
        </w:rPr>
        <w:t>. De är</w:t>
      </w:r>
      <w:r w:rsidRPr="000E7AE9">
        <w:rPr>
          <w:color w:val="000000"/>
          <w:szCs w:val="22"/>
          <w:lang w:val="sv-SE"/>
        </w:rPr>
        <w:t xml:space="preserve"> märkta med ”NVR” på en sida och ”SA” och ett skårstreck på den andra sidan.</w:t>
      </w:r>
    </w:p>
    <w:p w14:paraId="030AAD52" w14:textId="2AFB6B3F" w:rsidR="00716578" w:rsidRPr="000E7AE9" w:rsidRDefault="00716578" w:rsidP="00716578">
      <w:pPr>
        <w:widowControl w:val="0"/>
        <w:tabs>
          <w:tab w:val="clear" w:pos="567"/>
        </w:tabs>
        <w:spacing w:line="240" w:lineRule="auto"/>
        <w:ind w:right="-2"/>
        <w:rPr>
          <w:color w:val="000000"/>
          <w:szCs w:val="22"/>
          <w:lang w:val="sv-SE"/>
        </w:rPr>
      </w:pPr>
      <w:r>
        <w:rPr>
          <w:color w:val="000000"/>
          <w:szCs w:val="22"/>
          <w:lang w:val="sv-SE"/>
        </w:rPr>
        <w:t>Glivec 4</w:t>
      </w:r>
      <w:r w:rsidRPr="000E7AE9">
        <w:rPr>
          <w:color w:val="000000"/>
          <w:szCs w:val="22"/>
          <w:lang w:val="sv-SE"/>
        </w:rPr>
        <w:t>00 mg filmdragerade tabletter är mycket mörkt gula till brun-orange runda tabletter</w:t>
      </w:r>
      <w:r>
        <w:rPr>
          <w:color w:val="000000"/>
          <w:szCs w:val="22"/>
          <w:lang w:val="sv-SE"/>
        </w:rPr>
        <w:t>. De är</w:t>
      </w:r>
      <w:r w:rsidRPr="000E7AE9">
        <w:rPr>
          <w:color w:val="000000"/>
          <w:szCs w:val="22"/>
          <w:lang w:val="sv-SE"/>
        </w:rPr>
        <w:t xml:space="preserve"> märkta med ”</w:t>
      </w:r>
      <w:r>
        <w:rPr>
          <w:color w:val="000000"/>
          <w:szCs w:val="22"/>
          <w:lang w:val="sv-SE"/>
        </w:rPr>
        <w:t>glivec</w:t>
      </w:r>
      <w:r w:rsidRPr="000E7AE9">
        <w:rPr>
          <w:color w:val="000000"/>
          <w:szCs w:val="22"/>
          <w:lang w:val="sv-SE"/>
        </w:rPr>
        <w:t>” på en sida</w:t>
      </w:r>
      <w:r>
        <w:rPr>
          <w:color w:val="000000"/>
          <w:szCs w:val="22"/>
          <w:lang w:val="sv-SE"/>
        </w:rPr>
        <w:t>.</w:t>
      </w:r>
    </w:p>
    <w:p w14:paraId="4581F726" w14:textId="77777777" w:rsidR="00CE607D" w:rsidRPr="000E7AE9" w:rsidRDefault="00CE607D" w:rsidP="00463647">
      <w:pPr>
        <w:widowControl w:val="0"/>
        <w:tabs>
          <w:tab w:val="clear" w:pos="567"/>
        </w:tabs>
        <w:spacing w:line="240" w:lineRule="auto"/>
        <w:ind w:right="-2"/>
        <w:rPr>
          <w:color w:val="000000"/>
          <w:szCs w:val="22"/>
          <w:lang w:val="sv-SE"/>
        </w:rPr>
      </w:pPr>
    </w:p>
    <w:p w14:paraId="0D96FE25" w14:textId="3F552362" w:rsidR="003A70B5" w:rsidRDefault="00716578" w:rsidP="00463647">
      <w:pPr>
        <w:widowControl w:val="0"/>
        <w:tabs>
          <w:tab w:val="clear" w:pos="567"/>
        </w:tabs>
        <w:spacing w:line="240" w:lineRule="auto"/>
        <w:ind w:right="-2"/>
        <w:rPr>
          <w:color w:val="000000"/>
          <w:szCs w:val="22"/>
          <w:lang w:val="sv-SE"/>
        </w:rPr>
      </w:pPr>
      <w:r>
        <w:rPr>
          <w:color w:val="000000"/>
          <w:szCs w:val="22"/>
          <w:lang w:val="sv-SE"/>
        </w:rPr>
        <w:t>Glivec 100 mg filmdragerade tabletter</w:t>
      </w:r>
      <w:r w:rsidR="00CE607D" w:rsidRPr="000E7AE9">
        <w:rPr>
          <w:color w:val="000000"/>
          <w:szCs w:val="22"/>
          <w:lang w:val="sv-SE"/>
        </w:rPr>
        <w:t xml:space="preserve"> tillhandahålls i förpackningsstorlekarna 20, 60, 120 eller 180 tabletter</w:t>
      </w:r>
      <w:r w:rsidR="003A70B5">
        <w:rPr>
          <w:color w:val="000000"/>
          <w:szCs w:val="22"/>
          <w:lang w:val="sv-SE"/>
        </w:rPr>
        <w:t>.</w:t>
      </w:r>
    </w:p>
    <w:p w14:paraId="4FEE2849" w14:textId="055BBCC4" w:rsidR="003A70B5" w:rsidRDefault="003A70B5" w:rsidP="00463647">
      <w:pPr>
        <w:widowControl w:val="0"/>
        <w:tabs>
          <w:tab w:val="clear" w:pos="567"/>
        </w:tabs>
        <w:spacing w:line="240" w:lineRule="auto"/>
        <w:ind w:right="-2"/>
        <w:rPr>
          <w:color w:val="000000"/>
          <w:szCs w:val="22"/>
          <w:lang w:val="sv-SE"/>
        </w:rPr>
      </w:pPr>
      <w:r>
        <w:rPr>
          <w:color w:val="000000"/>
          <w:szCs w:val="22"/>
          <w:lang w:val="sv-SE"/>
        </w:rPr>
        <w:t xml:space="preserve">Glivec 400 mg filmdragerade tabletter tillhandahålls i förpackningsstorlekarna </w:t>
      </w:r>
      <w:r w:rsidR="009A477A">
        <w:rPr>
          <w:color w:val="000000"/>
          <w:szCs w:val="22"/>
          <w:lang w:val="sv-SE"/>
        </w:rPr>
        <w:t>10, 30 eller 90 tabletter.</w:t>
      </w:r>
    </w:p>
    <w:p w14:paraId="25F351BC" w14:textId="403B3068" w:rsidR="00CE607D" w:rsidRPr="000E7AE9" w:rsidRDefault="003A70B5" w:rsidP="00463647">
      <w:pPr>
        <w:widowControl w:val="0"/>
        <w:tabs>
          <w:tab w:val="clear" w:pos="567"/>
        </w:tabs>
        <w:spacing w:line="240" w:lineRule="auto"/>
        <w:ind w:right="-2"/>
        <w:rPr>
          <w:color w:val="000000"/>
          <w:szCs w:val="22"/>
          <w:lang w:val="sv-SE"/>
        </w:rPr>
      </w:pPr>
      <w:r>
        <w:rPr>
          <w:color w:val="000000"/>
          <w:szCs w:val="22"/>
          <w:lang w:val="sv-SE"/>
        </w:rPr>
        <w:t>M</w:t>
      </w:r>
      <w:r w:rsidR="00CE607D" w:rsidRPr="000E7AE9">
        <w:rPr>
          <w:color w:val="000000"/>
          <w:szCs w:val="22"/>
          <w:lang w:val="sv-SE"/>
        </w:rPr>
        <w:t>en kanske inte alla dessa är tillgängliga i ditt land.</w:t>
      </w:r>
    </w:p>
    <w:p w14:paraId="0293667A" w14:textId="77777777" w:rsidR="00CE607D" w:rsidRPr="000E7AE9" w:rsidRDefault="00CE607D" w:rsidP="00463647">
      <w:pPr>
        <w:pStyle w:val="EndnoteText"/>
        <w:widowControl w:val="0"/>
        <w:numPr>
          <w:ilvl w:val="12"/>
          <w:numId w:val="0"/>
        </w:numPr>
        <w:tabs>
          <w:tab w:val="clear" w:pos="567"/>
        </w:tabs>
        <w:rPr>
          <w:color w:val="000000"/>
          <w:szCs w:val="22"/>
          <w:lang w:val="sv-SE"/>
        </w:rPr>
      </w:pPr>
    </w:p>
    <w:p w14:paraId="6BCF0D3E" w14:textId="77777777" w:rsidR="00CE607D" w:rsidRPr="000E7AE9" w:rsidRDefault="00CE607D" w:rsidP="009E09A2">
      <w:pPr>
        <w:pStyle w:val="Heading2"/>
        <w:widowControl w:val="0"/>
        <w:spacing w:before="0" w:after="0" w:line="240" w:lineRule="auto"/>
        <w:rPr>
          <w:rFonts w:ascii="Times New Roman" w:hAnsi="Times New Roman"/>
          <w:i w:val="0"/>
          <w:color w:val="000000"/>
          <w:sz w:val="22"/>
          <w:szCs w:val="22"/>
          <w:lang w:val="sv-SE"/>
        </w:rPr>
      </w:pPr>
      <w:r w:rsidRPr="000E7AE9">
        <w:rPr>
          <w:rFonts w:ascii="Times New Roman" w:hAnsi="Times New Roman"/>
          <w:i w:val="0"/>
          <w:color w:val="000000"/>
          <w:sz w:val="22"/>
          <w:szCs w:val="22"/>
          <w:lang w:val="sv-SE"/>
        </w:rPr>
        <w:t>Innehavare av godkännande för försäljning</w:t>
      </w:r>
    </w:p>
    <w:p w14:paraId="013BE2D7" w14:textId="77777777" w:rsidR="00CE607D" w:rsidRPr="000E7AE9" w:rsidRDefault="00CE607D" w:rsidP="009E09A2">
      <w:pPr>
        <w:pStyle w:val="EndnoteText"/>
        <w:keepNext/>
        <w:widowControl w:val="0"/>
        <w:tabs>
          <w:tab w:val="clear" w:pos="567"/>
        </w:tabs>
        <w:outlineLvl w:val="0"/>
        <w:rPr>
          <w:color w:val="000000"/>
          <w:szCs w:val="22"/>
          <w:lang w:val="sv-SE"/>
        </w:rPr>
      </w:pPr>
      <w:r w:rsidRPr="000E7AE9">
        <w:rPr>
          <w:color w:val="000000"/>
          <w:szCs w:val="22"/>
          <w:lang w:val="sv-SE"/>
        </w:rPr>
        <w:t>Novartis Europharm Limited</w:t>
      </w:r>
    </w:p>
    <w:p w14:paraId="7179F817" w14:textId="77777777" w:rsidR="00A57EF9" w:rsidRPr="00644A2E" w:rsidRDefault="00A57EF9" w:rsidP="009E09A2">
      <w:pPr>
        <w:keepNext/>
        <w:widowControl w:val="0"/>
        <w:spacing w:line="240" w:lineRule="auto"/>
        <w:rPr>
          <w:color w:val="000000"/>
          <w:lang w:val="sv-SE"/>
        </w:rPr>
      </w:pPr>
      <w:r w:rsidRPr="00644A2E">
        <w:rPr>
          <w:color w:val="000000"/>
          <w:lang w:val="sv-SE"/>
        </w:rPr>
        <w:t>Vista Building</w:t>
      </w:r>
    </w:p>
    <w:p w14:paraId="6F2F8E14" w14:textId="77777777" w:rsidR="00A57EF9" w:rsidRPr="00EB33FE" w:rsidRDefault="00A57EF9" w:rsidP="009E09A2">
      <w:pPr>
        <w:keepNext/>
        <w:widowControl w:val="0"/>
        <w:spacing w:line="240" w:lineRule="auto"/>
        <w:rPr>
          <w:color w:val="000000"/>
        </w:rPr>
      </w:pPr>
      <w:r w:rsidRPr="00EB33FE">
        <w:rPr>
          <w:color w:val="000000"/>
        </w:rPr>
        <w:t>Elm Park, Merrion Road</w:t>
      </w:r>
    </w:p>
    <w:p w14:paraId="0E6A8716" w14:textId="77777777" w:rsidR="00A57EF9" w:rsidRPr="00B10EAC" w:rsidRDefault="00A57EF9" w:rsidP="009E09A2">
      <w:pPr>
        <w:keepNext/>
        <w:widowControl w:val="0"/>
        <w:spacing w:line="240" w:lineRule="auto"/>
        <w:rPr>
          <w:color w:val="000000"/>
          <w:lang w:val="sv-SE"/>
        </w:rPr>
      </w:pPr>
      <w:r w:rsidRPr="00B10EAC">
        <w:rPr>
          <w:color w:val="000000"/>
          <w:lang w:val="sv-SE"/>
        </w:rPr>
        <w:t>Dublin 4</w:t>
      </w:r>
    </w:p>
    <w:p w14:paraId="27CD072C" w14:textId="77777777" w:rsidR="00A57EF9" w:rsidRPr="00B10EAC" w:rsidRDefault="00A57EF9" w:rsidP="00463647">
      <w:pPr>
        <w:widowControl w:val="0"/>
        <w:spacing w:line="240" w:lineRule="auto"/>
        <w:rPr>
          <w:color w:val="000000"/>
          <w:lang w:val="sv-SE"/>
        </w:rPr>
      </w:pPr>
      <w:r w:rsidRPr="00B10EAC">
        <w:rPr>
          <w:color w:val="000000"/>
          <w:lang w:val="sv-SE"/>
        </w:rPr>
        <w:t>Irland</w:t>
      </w:r>
    </w:p>
    <w:p w14:paraId="7F98F4F4" w14:textId="77777777" w:rsidR="00CE607D" w:rsidRPr="00A57EF9" w:rsidRDefault="00CE607D" w:rsidP="00463647">
      <w:pPr>
        <w:pStyle w:val="TextChar"/>
        <w:widowControl w:val="0"/>
        <w:spacing w:before="0"/>
        <w:jc w:val="left"/>
        <w:rPr>
          <w:color w:val="000000"/>
          <w:sz w:val="22"/>
          <w:szCs w:val="22"/>
          <w:lang w:val="sv-SE"/>
        </w:rPr>
      </w:pPr>
    </w:p>
    <w:p w14:paraId="29FA29E8" w14:textId="77777777" w:rsidR="00CE607D" w:rsidRPr="000E7AE9" w:rsidRDefault="00CE607D" w:rsidP="009E09A2">
      <w:pPr>
        <w:pStyle w:val="Heading2"/>
        <w:widowControl w:val="0"/>
        <w:spacing w:before="0" w:after="0" w:line="240" w:lineRule="auto"/>
        <w:rPr>
          <w:rFonts w:ascii="Times New Roman" w:hAnsi="Times New Roman"/>
          <w:i w:val="0"/>
          <w:color w:val="000000"/>
          <w:sz w:val="22"/>
          <w:szCs w:val="22"/>
          <w:lang w:val="sv-SE"/>
        </w:rPr>
      </w:pPr>
      <w:r w:rsidRPr="000E7AE9">
        <w:rPr>
          <w:rFonts w:ascii="Times New Roman" w:hAnsi="Times New Roman"/>
          <w:i w:val="0"/>
          <w:color w:val="000000"/>
          <w:sz w:val="22"/>
          <w:szCs w:val="22"/>
          <w:lang w:val="sv-SE"/>
        </w:rPr>
        <w:t>Tillverkare</w:t>
      </w:r>
    </w:p>
    <w:p w14:paraId="7D266718" w14:textId="77777777" w:rsidR="00590F02" w:rsidRPr="006861E6" w:rsidRDefault="00590F02" w:rsidP="009E09A2">
      <w:pPr>
        <w:keepNext/>
        <w:widowControl w:val="0"/>
        <w:tabs>
          <w:tab w:val="left" w:pos="7513"/>
        </w:tabs>
        <w:spacing w:line="240" w:lineRule="auto"/>
        <w:rPr>
          <w:szCs w:val="22"/>
          <w:lang w:val="sv-SE"/>
        </w:rPr>
      </w:pPr>
      <w:r w:rsidRPr="006861E6">
        <w:rPr>
          <w:szCs w:val="22"/>
          <w:lang w:val="sv-SE"/>
        </w:rPr>
        <w:t>Lek d.d, PE PROIZVODNJA LENDAVA</w:t>
      </w:r>
    </w:p>
    <w:p w14:paraId="454DFE4D" w14:textId="77777777" w:rsidR="00590F02" w:rsidRPr="003E3769" w:rsidRDefault="00590F02" w:rsidP="009E09A2">
      <w:pPr>
        <w:keepNext/>
        <w:widowControl w:val="0"/>
        <w:tabs>
          <w:tab w:val="left" w:pos="7513"/>
        </w:tabs>
        <w:spacing w:line="240" w:lineRule="auto"/>
        <w:rPr>
          <w:szCs w:val="22"/>
          <w:lang w:val="fr-CH"/>
        </w:rPr>
      </w:pPr>
      <w:r w:rsidRPr="003E3769">
        <w:rPr>
          <w:szCs w:val="22"/>
          <w:lang w:val="fr-CH"/>
        </w:rPr>
        <w:t>Trimlini 2D</w:t>
      </w:r>
    </w:p>
    <w:p w14:paraId="5C21B01B" w14:textId="77777777" w:rsidR="00590F02" w:rsidRPr="003E3769" w:rsidRDefault="00590F02" w:rsidP="009E09A2">
      <w:pPr>
        <w:keepNext/>
        <w:widowControl w:val="0"/>
        <w:tabs>
          <w:tab w:val="left" w:pos="7513"/>
        </w:tabs>
        <w:spacing w:line="240" w:lineRule="auto"/>
        <w:rPr>
          <w:szCs w:val="22"/>
          <w:lang w:val="fr-CH"/>
        </w:rPr>
      </w:pPr>
      <w:r w:rsidRPr="003E3769">
        <w:rPr>
          <w:szCs w:val="22"/>
          <w:lang w:val="fr-CH"/>
        </w:rPr>
        <w:t>Lendava, 9220</w:t>
      </w:r>
    </w:p>
    <w:p w14:paraId="136DD760" w14:textId="77777777" w:rsidR="00590F02" w:rsidRDefault="00590F02" w:rsidP="00463647">
      <w:pPr>
        <w:widowControl w:val="0"/>
        <w:tabs>
          <w:tab w:val="left" w:pos="7513"/>
        </w:tabs>
        <w:spacing w:line="240" w:lineRule="auto"/>
        <w:rPr>
          <w:szCs w:val="22"/>
          <w:lang w:val="fr-CH"/>
        </w:rPr>
      </w:pPr>
      <w:r w:rsidRPr="001968F8">
        <w:rPr>
          <w:szCs w:val="22"/>
          <w:lang w:val="fr-CH"/>
        </w:rPr>
        <w:t>Slovenien</w:t>
      </w:r>
    </w:p>
    <w:p w14:paraId="77EC3000" w14:textId="77777777" w:rsidR="00590F02" w:rsidRDefault="00590F02" w:rsidP="00463647">
      <w:pPr>
        <w:widowControl w:val="0"/>
        <w:tabs>
          <w:tab w:val="left" w:pos="7513"/>
        </w:tabs>
        <w:spacing w:line="240" w:lineRule="auto"/>
        <w:rPr>
          <w:szCs w:val="22"/>
          <w:lang w:val="fr-CH"/>
        </w:rPr>
      </w:pPr>
    </w:p>
    <w:p w14:paraId="3AFA5DB2" w14:textId="77777777" w:rsidR="00CE607D" w:rsidRPr="00087A41" w:rsidRDefault="00CE607D" w:rsidP="00463647">
      <w:pPr>
        <w:pStyle w:val="TextChar"/>
        <w:keepNext/>
        <w:widowControl w:val="0"/>
        <w:spacing w:before="0"/>
        <w:jc w:val="left"/>
        <w:outlineLvl w:val="0"/>
        <w:rPr>
          <w:color w:val="000000"/>
          <w:sz w:val="22"/>
          <w:szCs w:val="22"/>
          <w:shd w:val="pct15" w:color="auto" w:fill="auto"/>
          <w:lang w:val="sv-SE"/>
        </w:rPr>
      </w:pPr>
      <w:r w:rsidRPr="00087A41">
        <w:rPr>
          <w:color w:val="000000"/>
          <w:sz w:val="22"/>
          <w:szCs w:val="22"/>
          <w:shd w:val="pct15" w:color="auto" w:fill="auto"/>
          <w:lang w:val="sv-SE"/>
        </w:rPr>
        <w:t>Novartis Pharma GmbH</w:t>
      </w:r>
    </w:p>
    <w:p w14:paraId="31E94C82" w14:textId="77777777" w:rsidR="00CE607D" w:rsidRPr="00087A41" w:rsidRDefault="00CE607D" w:rsidP="00463647">
      <w:pPr>
        <w:pStyle w:val="TextChar"/>
        <w:keepNext/>
        <w:widowControl w:val="0"/>
        <w:spacing w:before="0"/>
        <w:jc w:val="left"/>
        <w:rPr>
          <w:color w:val="000000"/>
          <w:sz w:val="22"/>
          <w:szCs w:val="22"/>
          <w:shd w:val="pct15" w:color="auto" w:fill="auto"/>
          <w:lang w:val="sv-SE"/>
        </w:rPr>
      </w:pPr>
      <w:r w:rsidRPr="00087A41">
        <w:rPr>
          <w:color w:val="000000"/>
          <w:sz w:val="22"/>
          <w:szCs w:val="22"/>
          <w:shd w:val="pct15" w:color="auto" w:fill="auto"/>
          <w:lang w:val="sv-SE"/>
        </w:rPr>
        <w:t>Roonstrasse 25</w:t>
      </w:r>
    </w:p>
    <w:p w14:paraId="5E28DEB5" w14:textId="77777777" w:rsidR="00CE607D" w:rsidRPr="00087A41" w:rsidRDefault="00CE607D" w:rsidP="00463647">
      <w:pPr>
        <w:pStyle w:val="TextChar"/>
        <w:keepNext/>
        <w:widowControl w:val="0"/>
        <w:spacing w:before="0"/>
        <w:jc w:val="left"/>
        <w:rPr>
          <w:color w:val="000000"/>
          <w:sz w:val="22"/>
          <w:szCs w:val="22"/>
          <w:shd w:val="pct15" w:color="auto" w:fill="auto"/>
          <w:lang w:val="sv-SE"/>
        </w:rPr>
      </w:pPr>
      <w:r w:rsidRPr="00087A41">
        <w:rPr>
          <w:color w:val="000000"/>
          <w:sz w:val="22"/>
          <w:szCs w:val="22"/>
          <w:shd w:val="pct15" w:color="auto" w:fill="auto"/>
          <w:lang w:val="sv-SE"/>
        </w:rPr>
        <w:t>D-90429 Nürnberg</w:t>
      </w:r>
    </w:p>
    <w:p w14:paraId="60F4AA88" w14:textId="77777777" w:rsidR="00CE607D" w:rsidRPr="000E7AE9" w:rsidRDefault="00CE607D" w:rsidP="00463647">
      <w:pPr>
        <w:pStyle w:val="TextChar"/>
        <w:widowControl w:val="0"/>
        <w:spacing w:before="0"/>
        <w:jc w:val="left"/>
        <w:rPr>
          <w:color w:val="000000"/>
          <w:sz w:val="22"/>
          <w:szCs w:val="22"/>
          <w:lang w:val="sv-SE"/>
        </w:rPr>
      </w:pPr>
      <w:r w:rsidRPr="00087A41">
        <w:rPr>
          <w:color w:val="000000"/>
          <w:sz w:val="22"/>
          <w:szCs w:val="22"/>
          <w:shd w:val="pct15" w:color="auto" w:fill="auto"/>
          <w:lang w:val="sv-SE"/>
        </w:rPr>
        <w:t>Tyskland</w:t>
      </w:r>
    </w:p>
    <w:p w14:paraId="253F0903" w14:textId="77777777" w:rsidR="00CE607D" w:rsidRPr="000E7AE9" w:rsidRDefault="00CE607D" w:rsidP="00463647">
      <w:pPr>
        <w:widowControl w:val="0"/>
        <w:suppressAutoHyphens/>
        <w:spacing w:line="240" w:lineRule="auto"/>
        <w:ind w:left="1" w:hanging="1"/>
        <w:rPr>
          <w:color w:val="000000"/>
          <w:szCs w:val="22"/>
          <w:lang w:val="sv-SE"/>
        </w:rPr>
      </w:pPr>
    </w:p>
    <w:p w14:paraId="7E497740" w14:textId="77777777" w:rsidR="00CE607D" w:rsidRPr="000E7AE9" w:rsidRDefault="00085502" w:rsidP="009E09A2">
      <w:pPr>
        <w:keepNext/>
        <w:widowControl w:val="0"/>
        <w:suppressAutoHyphens/>
        <w:spacing w:line="240" w:lineRule="auto"/>
        <w:ind w:left="1" w:hanging="1"/>
        <w:rPr>
          <w:color w:val="000000"/>
          <w:szCs w:val="22"/>
          <w:lang w:val="sv-SE"/>
        </w:rPr>
      </w:pPr>
      <w:r>
        <w:rPr>
          <w:color w:val="000000"/>
          <w:szCs w:val="22"/>
          <w:lang w:val="sv-SE"/>
        </w:rPr>
        <w:t>Kontakta ombudet för innehavaren av godkännandet för försäljning om du vill veta mer om detta läkemedel</w:t>
      </w:r>
      <w:r w:rsidR="008D6F86">
        <w:rPr>
          <w:color w:val="000000"/>
          <w:szCs w:val="22"/>
          <w:lang w:val="sv-SE"/>
        </w:rPr>
        <w:t>:</w:t>
      </w:r>
    </w:p>
    <w:p w14:paraId="6370D72C" w14:textId="77777777" w:rsidR="004E5FBC" w:rsidRPr="007C7ADA" w:rsidRDefault="004E5FBC" w:rsidP="009E09A2">
      <w:pPr>
        <w:keepNext/>
        <w:widowControl w:val="0"/>
        <w:tabs>
          <w:tab w:val="clear" w:pos="567"/>
        </w:tabs>
        <w:spacing w:line="240" w:lineRule="auto"/>
        <w:ind w:right="-449"/>
        <w:rPr>
          <w:color w:val="000000"/>
          <w:szCs w:val="22"/>
          <w:lang w:val="sv-SE"/>
        </w:rPr>
      </w:pPr>
    </w:p>
    <w:tbl>
      <w:tblPr>
        <w:tblW w:w="9300" w:type="dxa"/>
        <w:tblLayout w:type="fixed"/>
        <w:tblLook w:val="0000" w:firstRow="0" w:lastRow="0" w:firstColumn="0" w:lastColumn="0" w:noHBand="0" w:noVBand="0"/>
      </w:tblPr>
      <w:tblGrid>
        <w:gridCol w:w="4650"/>
        <w:gridCol w:w="4650"/>
      </w:tblGrid>
      <w:tr w:rsidR="004E5FBC" w:rsidRPr="007C7ADA" w14:paraId="781B8018" w14:textId="77777777" w:rsidTr="009B46DC">
        <w:trPr>
          <w:cantSplit/>
        </w:trPr>
        <w:tc>
          <w:tcPr>
            <w:tcW w:w="4650" w:type="dxa"/>
          </w:tcPr>
          <w:p w14:paraId="7AFB95D0" w14:textId="77777777" w:rsidR="004E5FBC" w:rsidRPr="0087411B" w:rsidRDefault="004E5FBC" w:rsidP="00463647">
            <w:pPr>
              <w:widowControl w:val="0"/>
              <w:spacing w:line="240" w:lineRule="auto"/>
              <w:rPr>
                <w:b/>
                <w:color w:val="000000"/>
                <w:szCs w:val="22"/>
                <w:lang w:val="fr-FR"/>
              </w:rPr>
            </w:pPr>
            <w:r w:rsidRPr="0087411B">
              <w:rPr>
                <w:b/>
                <w:color w:val="000000"/>
                <w:szCs w:val="22"/>
                <w:lang w:val="fr-FR"/>
              </w:rPr>
              <w:t>België/Belgique/Belgien</w:t>
            </w:r>
          </w:p>
          <w:p w14:paraId="20AF3CCF"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Novartis Pharma N.V.</w:t>
            </w:r>
          </w:p>
          <w:p w14:paraId="7DBC8891" w14:textId="77777777" w:rsidR="004E5FBC" w:rsidRPr="0087411B" w:rsidRDefault="004E5FBC" w:rsidP="00463647">
            <w:pPr>
              <w:widowControl w:val="0"/>
              <w:spacing w:line="240" w:lineRule="auto"/>
              <w:rPr>
                <w:color w:val="000000"/>
                <w:szCs w:val="22"/>
              </w:rPr>
            </w:pPr>
            <w:r w:rsidRPr="0087411B">
              <w:rPr>
                <w:color w:val="000000"/>
                <w:szCs w:val="22"/>
              </w:rPr>
              <w:t>Tél/Tel: +32 2 246 16 11</w:t>
            </w:r>
          </w:p>
          <w:p w14:paraId="44D02BCB" w14:textId="77777777" w:rsidR="004E5FBC" w:rsidRPr="0087411B" w:rsidRDefault="004E5FBC" w:rsidP="00463647">
            <w:pPr>
              <w:widowControl w:val="0"/>
              <w:spacing w:line="240" w:lineRule="auto"/>
              <w:rPr>
                <w:b/>
                <w:color w:val="000000"/>
                <w:szCs w:val="22"/>
              </w:rPr>
            </w:pPr>
          </w:p>
        </w:tc>
        <w:tc>
          <w:tcPr>
            <w:tcW w:w="4650" w:type="dxa"/>
          </w:tcPr>
          <w:p w14:paraId="012CF42D" w14:textId="77777777" w:rsidR="004E5FBC" w:rsidRPr="006861E6" w:rsidRDefault="004E5FBC" w:rsidP="00463647">
            <w:pPr>
              <w:widowControl w:val="0"/>
              <w:spacing w:line="240" w:lineRule="auto"/>
              <w:rPr>
                <w:b/>
                <w:color w:val="000000"/>
                <w:szCs w:val="22"/>
                <w:lang w:val="es-ES"/>
              </w:rPr>
            </w:pPr>
            <w:r w:rsidRPr="006861E6">
              <w:rPr>
                <w:b/>
                <w:color w:val="000000"/>
                <w:szCs w:val="22"/>
                <w:lang w:val="es-ES"/>
              </w:rPr>
              <w:t>Lietuva</w:t>
            </w:r>
          </w:p>
          <w:p w14:paraId="34A00544" w14:textId="1D600DFF" w:rsidR="004E5FBC" w:rsidRPr="006861E6" w:rsidRDefault="00965E7B" w:rsidP="00463647">
            <w:pPr>
              <w:widowControl w:val="0"/>
              <w:spacing w:line="240" w:lineRule="auto"/>
              <w:rPr>
                <w:color w:val="000000"/>
                <w:szCs w:val="22"/>
                <w:lang w:val="es-ES"/>
              </w:rPr>
            </w:pPr>
            <w:r w:rsidRPr="00965E7B">
              <w:rPr>
                <w:color w:val="000000"/>
                <w:szCs w:val="22"/>
                <w:lang w:val="es-ES"/>
              </w:rPr>
              <w:t>SIA Novartis Baltics Lietuvos filialas</w:t>
            </w:r>
          </w:p>
          <w:p w14:paraId="79F6CDE7" w14:textId="77777777" w:rsidR="004E5FBC" w:rsidRPr="007C7ADA" w:rsidRDefault="004E5FBC" w:rsidP="00463647">
            <w:pPr>
              <w:widowControl w:val="0"/>
              <w:spacing w:line="240" w:lineRule="auto"/>
              <w:rPr>
                <w:color w:val="000000"/>
                <w:szCs w:val="22"/>
                <w:lang w:val="fr-FR"/>
              </w:rPr>
            </w:pPr>
            <w:r w:rsidRPr="007C7ADA">
              <w:rPr>
                <w:color w:val="000000"/>
                <w:szCs w:val="22"/>
                <w:lang w:val="fr-FR"/>
              </w:rPr>
              <w:t>Tel: +370 5 269 16 50</w:t>
            </w:r>
          </w:p>
          <w:p w14:paraId="0C461836" w14:textId="77777777" w:rsidR="004E5FBC" w:rsidRPr="007C7ADA" w:rsidRDefault="004E5FBC" w:rsidP="00463647">
            <w:pPr>
              <w:widowControl w:val="0"/>
              <w:spacing w:line="240" w:lineRule="auto"/>
              <w:rPr>
                <w:color w:val="000000"/>
                <w:szCs w:val="22"/>
                <w:lang w:val="fr-FR"/>
              </w:rPr>
            </w:pPr>
          </w:p>
        </w:tc>
      </w:tr>
      <w:tr w:rsidR="004E5FBC" w:rsidRPr="0087411B" w14:paraId="01FF841E" w14:textId="77777777" w:rsidTr="009B46DC">
        <w:trPr>
          <w:cantSplit/>
        </w:trPr>
        <w:tc>
          <w:tcPr>
            <w:tcW w:w="4650" w:type="dxa"/>
          </w:tcPr>
          <w:p w14:paraId="520E0690" w14:textId="77777777" w:rsidR="004E5FBC" w:rsidRPr="006861E6" w:rsidRDefault="004E5FBC" w:rsidP="00463647">
            <w:pPr>
              <w:widowControl w:val="0"/>
              <w:spacing w:line="240" w:lineRule="auto"/>
              <w:rPr>
                <w:b/>
                <w:noProof/>
                <w:color w:val="000000"/>
                <w:szCs w:val="22"/>
                <w:lang w:val="es-ES"/>
              </w:rPr>
            </w:pPr>
            <w:r w:rsidRPr="0087411B">
              <w:rPr>
                <w:b/>
                <w:noProof/>
                <w:color w:val="000000"/>
                <w:szCs w:val="22"/>
              </w:rPr>
              <w:t>България</w:t>
            </w:r>
          </w:p>
          <w:p w14:paraId="7F1EA73D" w14:textId="77777777" w:rsidR="004E5FBC" w:rsidRPr="006861E6" w:rsidRDefault="00676CAE" w:rsidP="00463647">
            <w:pPr>
              <w:widowControl w:val="0"/>
              <w:spacing w:line="240" w:lineRule="auto"/>
              <w:rPr>
                <w:noProof/>
                <w:color w:val="000000"/>
                <w:szCs w:val="22"/>
                <w:lang w:val="es-ES"/>
              </w:rPr>
            </w:pPr>
            <w:r w:rsidRPr="006861E6">
              <w:rPr>
                <w:noProof/>
                <w:color w:val="000000"/>
                <w:szCs w:val="22"/>
                <w:lang w:val="es-ES"/>
              </w:rPr>
              <w:t>Novartis Bulgaria EOOD</w:t>
            </w:r>
          </w:p>
          <w:p w14:paraId="5602C2B3" w14:textId="77777777" w:rsidR="004E5FBC" w:rsidRPr="006861E6" w:rsidRDefault="004E5FBC" w:rsidP="00463647">
            <w:pPr>
              <w:widowControl w:val="0"/>
              <w:spacing w:line="240" w:lineRule="auto"/>
              <w:rPr>
                <w:noProof/>
                <w:color w:val="000000"/>
                <w:szCs w:val="22"/>
                <w:lang w:val="es-ES"/>
              </w:rPr>
            </w:pPr>
            <w:r w:rsidRPr="0087411B">
              <w:rPr>
                <w:noProof/>
                <w:color w:val="000000"/>
                <w:szCs w:val="22"/>
              </w:rPr>
              <w:t>Тел</w:t>
            </w:r>
            <w:r w:rsidRPr="006861E6">
              <w:rPr>
                <w:noProof/>
                <w:color w:val="000000"/>
                <w:szCs w:val="22"/>
                <w:lang w:val="es-ES"/>
              </w:rPr>
              <w:t>.: +359 2 489 98 28</w:t>
            </w:r>
          </w:p>
          <w:p w14:paraId="42F42A77" w14:textId="77777777" w:rsidR="004E5FBC" w:rsidRPr="0087411B" w:rsidRDefault="004E5FBC" w:rsidP="00463647">
            <w:pPr>
              <w:widowControl w:val="0"/>
              <w:spacing w:line="240" w:lineRule="auto"/>
              <w:rPr>
                <w:b/>
                <w:color w:val="000000"/>
                <w:szCs w:val="22"/>
                <w:lang w:val="pt-BR"/>
              </w:rPr>
            </w:pPr>
          </w:p>
        </w:tc>
        <w:tc>
          <w:tcPr>
            <w:tcW w:w="4650" w:type="dxa"/>
          </w:tcPr>
          <w:p w14:paraId="2C0DDE1D" w14:textId="77777777" w:rsidR="004E5FBC" w:rsidRPr="0087411B" w:rsidRDefault="004E5FBC" w:rsidP="00463647">
            <w:pPr>
              <w:widowControl w:val="0"/>
              <w:spacing w:line="240" w:lineRule="auto"/>
              <w:rPr>
                <w:b/>
                <w:color w:val="000000"/>
                <w:szCs w:val="22"/>
                <w:lang w:val="de-CH"/>
              </w:rPr>
            </w:pPr>
            <w:r w:rsidRPr="0087411B">
              <w:rPr>
                <w:b/>
                <w:color w:val="000000"/>
                <w:szCs w:val="22"/>
                <w:lang w:val="de-CH"/>
              </w:rPr>
              <w:t>Luxembourg/Luxemburg</w:t>
            </w:r>
          </w:p>
          <w:p w14:paraId="2B0ED1EF"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Novartis Pharma N.V.</w:t>
            </w:r>
          </w:p>
          <w:p w14:paraId="729877AB"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Tél/Tel: +32 2 246 16 11</w:t>
            </w:r>
          </w:p>
          <w:p w14:paraId="5E33BDA6" w14:textId="77777777" w:rsidR="004E5FBC" w:rsidRPr="0087411B" w:rsidRDefault="004E5FBC" w:rsidP="00463647">
            <w:pPr>
              <w:widowControl w:val="0"/>
              <w:spacing w:line="240" w:lineRule="auto"/>
              <w:rPr>
                <w:color w:val="000000"/>
                <w:szCs w:val="22"/>
                <w:lang w:val="de-CH"/>
              </w:rPr>
            </w:pPr>
          </w:p>
        </w:tc>
      </w:tr>
      <w:tr w:rsidR="004E5FBC" w:rsidRPr="0087411B" w14:paraId="50798A04" w14:textId="77777777" w:rsidTr="009B46DC">
        <w:trPr>
          <w:cantSplit/>
        </w:trPr>
        <w:tc>
          <w:tcPr>
            <w:tcW w:w="4650" w:type="dxa"/>
          </w:tcPr>
          <w:p w14:paraId="427C1B36"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Česká republika</w:t>
            </w:r>
          </w:p>
          <w:p w14:paraId="2E2CB5D2"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s.r.o.</w:t>
            </w:r>
          </w:p>
          <w:p w14:paraId="0448038C" w14:textId="77777777" w:rsidR="004E5FBC" w:rsidRPr="0087411B" w:rsidRDefault="004E5FBC" w:rsidP="00463647">
            <w:pPr>
              <w:widowControl w:val="0"/>
              <w:spacing w:line="240" w:lineRule="auto"/>
              <w:rPr>
                <w:color w:val="000000"/>
                <w:szCs w:val="22"/>
              </w:rPr>
            </w:pPr>
            <w:r w:rsidRPr="0087411B">
              <w:rPr>
                <w:color w:val="000000"/>
                <w:szCs w:val="22"/>
              </w:rPr>
              <w:t>Tel: +420 225 775 111</w:t>
            </w:r>
          </w:p>
          <w:p w14:paraId="59BCC58F" w14:textId="77777777" w:rsidR="004E5FBC" w:rsidRPr="0087411B" w:rsidRDefault="004E5FBC" w:rsidP="00463647">
            <w:pPr>
              <w:widowControl w:val="0"/>
              <w:spacing w:line="240" w:lineRule="auto"/>
              <w:rPr>
                <w:b/>
                <w:color w:val="000000"/>
                <w:szCs w:val="22"/>
              </w:rPr>
            </w:pPr>
          </w:p>
        </w:tc>
        <w:tc>
          <w:tcPr>
            <w:tcW w:w="4650" w:type="dxa"/>
          </w:tcPr>
          <w:p w14:paraId="39F3E587"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Magyarország</w:t>
            </w:r>
          </w:p>
          <w:p w14:paraId="5CB93911"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Hungária Kft.</w:t>
            </w:r>
          </w:p>
          <w:p w14:paraId="48CF36E3"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Tel.: +36 1 457 65 00</w:t>
            </w:r>
          </w:p>
        </w:tc>
      </w:tr>
      <w:tr w:rsidR="004E5FBC" w:rsidRPr="0087411B" w14:paraId="0D207060" w14:textId="77777777" w:rsidTr="009B46DC">
        <w:trPr>
          <w:cantSplit/>
        </w:trPr>
        <w:tc>
          <w:tcPr>
            <w:tcW w:w="4650" w:type="dxa"/>
          </w:tcPr>
          <w:p w14:paraId="61B09657" w14:textId="77777777" w:rsidR="004E5FBC" w:rsidRPr="0087411B" w:rsidRDefault="004E5FBC" w:rsidP="00463647">
            <w:pPr>
              <w:widowControl w:val="0"/>
              <w:spacing w:line="240" w:lineRule="auto"/>
              <w:rPr>
                <w:b/>
                <w:color w:val="000000"/>
                <w:szCs w:val="22"/>
                <w:lang w:val="en-US"/>
              </w:rPr>
            </w:pPr>
            <w:r w:rsidRPr="0087411B">
              <w:rPr>
                <w:b/>
                <w:color w:val="000000"/>
                <w:szCs w:val="22"/>
                <w:lang w:val="en-US"/>
              </w:rPr>
              <w:lastRenderedPageBreak/>
              <w:t>Danmark</w:t>
            </w:r>
          </w:p>
          <w:p w14:paraId="4E846E1B"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Novartis Healthcare A/S</w:t>
            </w:r>
          </w:p>
          <w:p w14:paraId="4980EE3B"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Tlf: +45 39 16 84 00</w:t>
            </w:r>
          </w:p>
          <w:p w14:paraId="724020E7" w14:textId="77777777" w:rsidR="004E5FBC" w:rsidRPr="0087411B" w:rsidRDefault="004E5FBC" w:rsidP="00463647">
            <w:pPr>
              <w:widowControl w:val="0"/>
              <w:spacing w:line="240" w:lineRule="auto"/>
              <w:rPr>
                <w:b/>
                <w:color w:val="000000"/>
                <w:szCs w:val="22"/>
                <w:lang w:val="en-US"/>
              </w:rPr>
            </w:pPr>
          </w:p>
        </w:tc>
        <w:tc>
          <w:tcPr>
            <w:tcW w:w="4650" w:type="dxa"/>
          </w:tcPr>
          <w:p w14:paraId="213B2519"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Malta</w:t>
            </w:r>
          </w:p>
          <w:p w14:paraId="750AE833"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Pharma Services Inc.</w:t>
            </w:r>
          </w:p>
          <w:p w14:paraId="3E7AEE9A" w14:textId="77777777" w:rsidR="004E5FBC" w:rsidRPr="0087411B" w:rsidRDefault="004E5FBC" w:rsidP="00463647">
            <w:pPr>
              <w:widowControl w:val="0"/>
              <w:spacing w:line="240" w:lineRule="auto"/>
              <w:rPr>
                <w:color w:val="000000"/>
                <w:szCs w:val="22"/>
              </w:rPr>
            </w:pPr>
            <w:r w:rsidRPr="0087411B">
              <w:rPr>
                <w:color w:val="000000"/>
                <w:szCs w:val="22"/>
              </w:rPr>
              <w:t>Tel: +356 2122 2872</w:t>
            </w:r>
          </w:p>
        </w:tc>
      </w:tr>
      <w:tr w:rsidR="004E5FBC" w:rsidRPr="0087411B" w14:paraId="64FFBFA6" w14:textId="77777777" w:rsidTr="009B46DC">
        <w:trPr>
          <w:cantSplit/>
        </w:trPr>
        <w:tc>
          <w:tcPr>
            <w:tcW w:w="4650" w:type="dxa"/>
          </w:tcPr>
          <w:p w14:paraId="3083D1F7" w14:textId="77777777" w:rsidR="004E5FBC" w:rsidRPr="0087411B" w:rsidRDefault="004E5FBC" w:rsidP="00463647">
            <w:pPr>
              <w:widowControl w:val="0"/>
              <w:spacing w:line="240" w:lineRule="auto"/>
              <w:rPr>
                <w:b/>
                <w:color w:val="000000"/>
                <w:szCs w:val="22"/>
                <w:lang w:val="de-CH"/>
              </w:rPr>
            </w:pPr>
            <w:r w:rsidRPr="0087411B">
              <w:rPr>
                <w:b/>
                <w:color w:val="000000"/>
                <w:szCs w:val="22"/>
                <w:lang w:val="de-CH"/>
              </w:rPr>
              <w:t>Deutschland</w:t>
            </w:r>
          </w:p>
          <w:p w14:paraId="4C1AC852"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Novartis Pharma GmbH</w:t>
            </w:r>
          </w:p>
          <w:p w14:paraId="3A83D897"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Tel: +49 911 273 0</w:t>
            </w:r>
          </w:p>
          <w:p w14:paraId="6F18FAC9" w14:textId="77777777" w:rsidR="004E5FBC" w:rsidRPr="0087411B" w:rsidRDefault="004E5FBC" w:rsidP="00463647">
            <w:pPr>
              <w:widowControl w:val="0"/>
              <w:spacing w:line="240" w:lineRule="auto"/>
              <w:rPr>
                <w:b/>
                <w:color w:val="000000"/>
                <w:szCs w:val="22"/>
                <w:lang w:val="de-CH"/>
              </w:rPr>
            </w:pPr>
          </w:p>
        </w:tc>
        <w:tc>
          <w:tcPr>
            <w:tcW w:w="4650" w:type="dxa"/>
          </w:tcPr>
          <w:p w14:paraId="2C59DA5F" w14:textId="77777777" w:rsidR="004E5FBC" w:rsidRPr="007C7ADA" w:rsidRDefault="004E5FBC" w:rsidP="00463647">
            <w:pPr>
              <w:widowControl w:val="0"/>
              <w:spacing w:line="240" w:lineRule="auto"/>
              <w:rPr>
                <w:b/>
                <w:color w:val="000000"/>
                <w:szCs w:val="22"/>
                <w:lang w:val="sv-SE"/>
              </w:rPr>
            </w:pPr>
            <w:r w:rsidRPr="007C7ADA">
              <w:rPr>
                <w:b/>
                <w:color w:val="000000"/>
                <w:szCs w:val="22"/>
                <w:lang w:val="sv-SE"/>
              </w:rPr>
              <w:t>Nederland</w:t>
            </w:r>
          </w:p>
          <w:p w14:paraId="0E1B30FA"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Novartis Pharma B.V.</w:t>
            </w:r>
          </w:p>
          <w:p w14:paraId="44329EB8" w14:textId="3BCD58FD" w:rsidR="004E5FBC" w:rsidRPr="0087411B" w:rsidRDefault="004E5FBC" w:rsidP="009A477A">
            <w:pPr>
              <w:widowControl w:val="0"/>
              <w:spacing w:line="240" w:lineRule="auto"/>
              <w:rPr>
                <w:color w:val="000000"/>
                <w:szCs w:val="22"/>
              </w:rPr>
            </w:pPr>
            <w:r w:rsidRPr="0087411B">
              <w:rPr>
                <w:color w:val="000000"/>
                <w:szCs w:val="22"/>
              </w:rPr>
              <w:t xml:space="preserve">Tel: +31 </w:t>
            </w:r>
            <w:r w:rsidR="009A477A">
              <w:rPr>
                <w:color w:val="000000"/>
                <w:szCs w:val="22"/>
              </w:rPr>
              <w:t>88 04 52</w:t>
            </w:r>
            <w:r w:rsidRPr="0087411B">
              <w:rPr>
                <w:color w:val="000000"/>
                <w:szCs w:val="22"/>
              </w:rPr>
              <w:t xml:space="preserve"> </w:t>
            </w:r>
            <w:r w:rsidR="00E27E52">
              <w:rPr>
                <w:color w:val="000000"/>
                <w:szCs w:val="22"/>
              </w:rPr>
              <w:t>555</w:t>
            </w:r>
          </w:p>
        </w:tc>
      </w:tr>
      <w:tr w:rsidR="004E5FBC" w:rsidRPr="00F60A89" w14:paraId="105CEBD6" w14:textId="77777777" w:rsidTr="009B46DC">
        <w:trPr>
          <w:cantSplit/>
        </w:trPr>
        <w:tc>
          <w:tcPr>
            <w:tcW w:w="4650" w:type="dxa"/>
          </w:tcPr>
          <w:p w14:paraId="42683618" w14:textId="77777777" w:rsidR="004E5FBC" w:rsidRPr="005B7932" w:rsidRDefault="004E5FBC" w:rsidP="00463647">
            <w:pPr>
              <w:widowControl w:val="0"/>
              <w:spacing w:line="240" w:lineRule="auto"/>
              <w:rPr>
                <w:b/>
                <w:color w:val="000000"/>
                <w:szCs w:val="22"/>
                <w:lang w:val="fr-FR"/>
              </w:rPr>
            </w:pPr>
            <w:r w:rsidRPr="005B7932">
              <w:rPr>
                <w:b/>
                <w:color w:val="000000"/>
                <w:szCs w:val="22"/>
                <w:lang w:val="fr-FR"/>
              </w:rPr>
              <w:t>Eesti</w:t>
            </w:r>
          </w:p>
          <w:p w14:paraId="32F01B0D" w14:textId="77777777" w:rsidR="004E5FBC" w:rsidRPr="005B7932" w:rsidRDefault="00965E7B" w:rsidP="00463647">
            <w:pPr>
              <w:widowControl w:val="0"/>
              <w:spacing w:line="240" w:lineRule="auto"/>
              <w:rPr>
                <w:color w:val="000000"/>
                <w:szCs w:val="22"/>
                <w:lang w:val="fr-FR"/>
              </w:rPr>
            </w:pPr>
            <w:r w:rsidRPr="00965E7B">
              <w:rPr>
                <w:color w:val="000000"/>
                <w:szCs w:val="22"/>
                <w:lang w:val="it-IT"/>
              </w:rPr>
              <w:t>SIA Novartis Baltics Eesti filiaal</w:t>
            </w:r>
          </w:p>
          <w:p w14:paraId="404A7D84" w14:textId="77777777" w:rsidR="004E5FBC" w:rsidRPr="005B7932" w:rsidRDefault="004E5FBC" w:rsidP="00463647">
            <w:pPr>
              <w:widowControl w:val="0"/>
              <w:spacing w:line="240" w:lineRule="auto"/>
              <w:rPr>
                <w:color w:val="000000"/>
                <w:szCs w:val="22"/>
                <w:lang w:val="fr-FR"/>
              </w:rPr>
            </w:pPr>
            <w:r w:rsidRPr="005B7932">
              <w:rPr>
                <w:color w:val="000000"/>
                <w:szCs w:val="22"/>
                <w:lang w:val="fr-FR"/>
              </w:rPr>
              <w:t>Tel: +372 66 30 810</w:t>
            </w:r>
          </w:p>
          <w:p w14:paraId="04BE08D9" w14:textId="77777777" w:rsidR="004E5FBC" w:rsidRPr="005B7932" w:rsidRDefault="004E5FBC" w:rsidP="00463647">
            <w:pPr>
              <w:widowControl w:val="0"/>
              <w:spacing w:line="240" w:lineRule="auto"/>
              <w:rPr>
                <w:b/>
                <w:color w:val="000000"/>
                <w:szCs w:val="22"/>
                <w:lang w:val="fr-FR"/>
              </w:rPr>
            </w:pPr>
          </w:p>
        </w:tc>
        <w:tc>
          <w:tcPr>
            <w:tcW w:w="4650" w:type="dxa"/>
          </w:tcPr>
          <w:p w14:paraId="096622C9"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Norge</w:t>
            </w:r>
          </w:p>
          <w:p w14:paraId="2E51241B"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Norge AS</w:t>
            </w:r>
          </w:p>
          <w:p w14:paraId="79E2E44A"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Tlf: +47 23 05 20 00</w:t>
            </w:r>
          </w:p>
        </w:tc>
      </w:tr>
      <w:tr w:rsidR="004E5FBC" w:rsidRPr="00644A2E" w14:paraId="422BD429" w14:textId="77777777" w:rsidTr="009B46DC">
        <w:trPr>
          <w:cantSplit/>
        </w:trPr>
        <w:tc>
          <w:tcPr>
            <w:tcW w:w="4650" w:type="dxa"/>
          </w:tcPr>
          <w:p w14:paraId="57D03B72" w14:textId="77777777" w:rsidR="004E5FBC" w:rsidRPr="0087411B" w:rsidRDefault="004E5FBC" w:rsidP="00463647">
            <w:pPr>
              <w:widowControl w:val="0"/>
              <w:spacing w:line="240" w:lineRule="auto"/>
              <w:rPr>
                <w:b/>
                <w:color w:val="000000"/>
                <w:szCs w:val="22"/>
                <w:lang w:val="pt-BR"/>
              </w:rPr>
            </w:pPr>
            <w:r w:rsidRPr="0087411B">
              <w:rPr>
                <w:b/>
                <w:color w:val="000000"/>
                <w:szCs w:val="22"/>
              </w:rPr>
              <w:t>Ελλάδα</w:t>
            </w:r>
          </w:p>
          <w:p w14:paraId="6A8561EC"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(Hellas) A.E.B.E.</w:t>
            </w:r>
          </w:p>
          <w:p w14:paraId="1A0A8EF3" w14:textId="77777777" w:rsidR="004E5FBC" w:rsidRPr="0087411B" w:rsidRDefault="004E5FBC" w:rsidP="00463647">
            <w:pPr>
              <w:widowControl w:val="0"/>
              <w:spacing w:line="240" w:lineRule="auto"/>
              <w:rPr>
                <w:color w:val="000000"/>
                <w:szCs w:val="22"/>
                <w:lang w:val="pt-BR"/>
              </w:rPr>
            </w:pPr>
            <w:r w:rsidRPr="0087411B">
              <w:rPr>
                <w:color w:val="000000"/>
                <w:szCs w:val="22"/>
              </w:rPr>
              <w:t>Τηλ</w:t>
            </w:r>
            <w:r w:rsidRPr="0087411B">
              <w:rPr>
                <w:color w:val="000000"/>
                <w:szCs w:val="22"/>
                <w:lang w:val="pt-BR"/>
              </w:rPr>
              <w:t>: +30 210 281 17 12</w:t>
            </w:r>
          </w:p>
          <w:p w14:paraId="221ACF8E" w14:textId="77777777" w:rsidR="004E5FBC" w:rsidRPr="0087411B" w:rsidRDefault="004E5FBC" w:rsidP="00463647">
            <w:pPr>
              <w:widowControl w:val="0"/>
              <w:spacing w:line="240" w:lineRule="auto"/>
              <w:rPr>
                <w:b/>
                <w:color w:val="000000"/>
                <w:szCs w:val="22"/>
                <w:lang w:val="pt-BR"/>
              </w:rPr>
            </w:pPr>
          </w:p>
        </w:tc>
        <w:tc>
          <w:tcPr>
            <w:tcW w:w="4650" w:type="dxa"/>
          </w:tcPr>
          <w:p w14:paraId="799934CD" w14:textId="77777777" w:rsidR="004E5FBC" w:rsidRPr="0087411B" w:rsidRDefault="004E5FBC" w:rsidP="00463647">
            <w:pPr>
              <w:widowControl w:val="0"/>
              <w:spacing w:line="240" w:lineRule="auto"/>
              <w:rPr>
                <w:b/>
                <w:color w:val="000000"/>
                <w:szCs w:val="22"/>
                <w:lang w:val="de-CH"/>
              </w:rPr>
            </w:pPr>
            <w:r w:rsidRPr="0087411B">
              <w:rPr>
                <w:b/>
                <w:color w:val="000000"/>
                <w:szCs w:val="22"/>
                <w:lang w:val="de-CH"/>
              </w:rPr>
              <w:t>Österreich</w:t>
            </w:r>
          </w:p>
          <w:p w14:paraId="058BA1D9"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Novartis Pharma GmbH</w:t>
            </w:r>
          </w:p>
          <w:p w14:paraId="58CCC198" w14:textId="77777777" w:rsidR="004E5FBC" w:rsidRPr="0087411B" w:rsidRDefault="004E5FBC" w:rsidP="00463647">
            <w:pPr>
              <w:widowControl w:val="0"/>
              <w:spacing w:line="240" w:lineRule="auto"/>
              <w:rPr>
                <w:color w:val="000000"/>
                <w:szCs w:val="22"/>
                <w:lang w:val="de-CH"/>
              </w:rPr>
            </w:pPr>
            <w:r w:rsidRPr="0087411B">
              <w:rPr>
                <w:color w:val="000000"/>
                <w:szCs w:val="22"/>
                <w:lang w:val="de-CH"/>
              </w:rPr>
              <w:t>Tel: +43 1 86 6570</w:t>
            </w:r>
          </w:p>
        </w:tc>
      </w:tr>
      <w:tr w:rsidR="004E5FBC" w:rsidRPr="00A21ED4" w14:paraId="71C6629F" w14:textId="77777777" w:rsidTr="009B46DC">
        <w:trPr>
          <w:cantSplit/>
        </w:trPr>
        <w:tc>
          <w:tcPr>
            <w:tcW w:w="4650" w:type="dxa"/>
          </w:tcPr>
          <w:p w14:paraId="267710F9"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España</w:t>
            </w:r>
          </w:p>
          <w:p w14:paraId="40D2DF66"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Farmacéutica, S.A.</w:t>
            </w:r>
          </w:p>
          <w:p w14:paraId="74D115B5" w14:textId="77777777" w:rsidR="004E5FBC" w:rsidRPr="0087411B" w:rsidRDefault="004E5FBC" w:rsidP="00463647">
            <w:pPr>
              <w:widowControl w:val="0"/>
              <w:spacing w:line="240" w:lineRule="auto"/>
              <w:rPr>
                <w:color w:val="000000"/>
                <w:szCs w:val="22"/>
              </w:rPr>
            </w:pPr>
            <w:r w:rsidRPr="0087411B">
              <w:rPr>
                <w:color w:val="000000"/>
                <w:szCs w:val="22"/>
              </w:rPr>
              <w:t>Tel: +34 93 306 42 00</w:t>
            </w:r>
          </w:p>
          <w:p w14:paraId="143AAFCD" w14:textId="77777777" w:rsidR="004E5FBC" w:rsidRPr="0087411B" w:rsidRDefault="004E5FBC" w:rsidP="00463647">
            <w:pPr>
              <w:widowControl w:val="0"/>
              <w:spacing w:line="240" w:lineRule="auto"/>
              <w:rPr>
                <w:b/>
                <w:color w:val="000000"/>
                <w:szCs w:val="22"/>
              </w:rPr>
            </w:pPr>
          </w:p>
        </w:tc>
        <w:tc>
          <w:tcPr>
            <w:tcW w:w="4650" w:type="dxa"/>
          </w:tcPr>
          <w:p w14:paraId="2A770671"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Polska</w:t>
            </w:r>
          </w:p>
          <w:p w14:paraId="333EF505"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Poland Sp. z o.o.</w:t>
            </w:r>
          </w:p>
          <w:p w14:paraId="114A7DBC"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 xml:space="preserve">Tel.: +48 22 </w:t>
            </w:r>
            <w:r w:rsidRPr="006861E6">
              <w:rPr>
                <w:szCs w:val="22"/>
                <w:lang w:val="fr-CH"/>
              </w:rPr>
              <w:t>375 4888</w:t>
            </w:r>
          </w:p>
        </w:tc>
      </w:tr>
      <w:tr w:rsidR="004E5FBC" w:rsidRPr="0087411B" w14:paraId="6042095A" w14:textId="77777777" w:rsidTr="009B46DC">
        <w:trPr>
          <w:cantSplit/>
        </w:trPr>
        <w:tc>
          <w:tcPr>
            <w:tcW w:w="4650" w:type="dxa"/>
          </w:tcPr>
          <w:p w14:paraId="62C258FB" w14:textId="77777777" w:rsidR="004E5FBC" w:rsidRPr="0087411B" w:rsidRDefault="004E5FBC" w:rsidP="00463647">
            <w:pPr>
              <w:widowControl w:val="0"/>
              <w:spacing w:line="240" w:lineRule="auto"/>
              <w:rPr>
                <w:b/>
                <w:color w:val="000000"/>
                <w:szCs w:val="22"/>
                <w:lang w:val="fr-FR"/>
              </w:rPr>
            </w:pPr>
            <w:r w:rsidRPr="0087411B">
              <w:rPr>
                <w:b/>
                <w:color w:val="000000"/>
                <w:szCs w:val="22"/>
                <w:lang w:val="fr-FR"/>
              </w:rPr>
              <w:t>France</w:t>
            </w:r>
          </w:p>
          <w:p w14:paraId="54DC92B0"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Novartis Pharma S.A.S.</w:t>
            </w:r>
          </w:p>
          <w:p w14:paraId="2CF44D4B"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Tél: +33 1 55 47 66 00</w:t>
            </w:r>
          </w:p>
          <w:p w14:paraId="33460A8B" w14:textId="77777777" w:rsidR="004E5FBC" w:rsidRPr="0087411B" w:rsidRDefault="004E5FBC" w:rsidP="00463647">
            <w:pPr>
              <w:widowControl w:val="0"/>
              <w:spacing w:line="240" w:lineRule="auto"/>
              <w:rPr>
                <w:b/>
                <w:color w:val="000000"/>
                <w:szCs w:val="22"/>
                <w:lang w:val="fr-FR"/>
              </w:rPr>
            </w:pPr>
          </w:p>
        </w:tc>
        <w:tc>
          <w:tcPr>
            <w:tcW w:w="4650" w:type="dxa"/>
          </w:tcPr>
          <w:p w14:paraId="210F373D"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Portugal</w:t>
            </w:r>
          </w:p>
          <w:p w14:paraId="5FC6D03D"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Farma - Produtos Farmacêuticos, S.A.</w:t>
            </w:r>
          </w:p>
          <w:p w14:paraId="692F8D06" w14:textId="77777777" w:rsidR="004E5FBC" w:rsidRPr="0087411B" w:rsidRDefault="004E5FBC" w:rsidP="00463647">
            <w:pPr>
              <w:widowControl w:val="0"/>
              <w:spacing w:line="240" w:lineRule="auto"/>
              <w:rPr>
                <w:color w:val="000000"/>
                <w:szCs w:val="22"/>
              </w:rPr>
            </w:pPr>
            <w:r w:rsidRPr="0087411B">
              <w:rPr>
                <w:color w:val="000000"/>
                <w:szCs w:val="22"/>
              </w:rPr>
              <w:t>Tel: +351 21 000 8600</w:t>
            </w:r>
          </w:p>
        </w:tc>
      </w:tr>
      <w:tr w:rsidR="004E5FBC" w:rsidRPr="0087411B" w14:paraId="1036849C" w14:textId="77777777" w:rsidTr="009B46DC">
        <w:trPr>
          <w:cantSplit/>
        </w:trPr>
        <w:tc>
          <w:tcPr>
            <w:tcW w:w="4650" w:type="dxa"/>
          </w:tcPr>
          <w:p w14:paraId="606DAA4B" w14:textId="77777777" w:rsidR="004E5FBC" w:rsidRPr="007C7ADA" w:rsidRDefault="004E5FBC" w:rsidP="00463647">
            <w:pPr>
              <w:widowControl w:val="0"/>
              <w:spacing w:line="240" w:lineRule="auto"/>
              <w:rPr>
                <w:rFonts w:eastAsia="PMingLiU"/>
                <w:b/>
                <w:szCs w:val="22"/>
                <w:lang w:val="sv-SE"/>
              </w:rPr>
            </w:pPr>
            <w:r w:rsidRPr="007C7ADA">
              <w:rPr>
                <w:rFonts w:eastAsia="PMingLiU"/>
                <w:b/>
                <w:szCs w:val="22"/>
                <w:lang w:val="sv-SE"/>
              </w:rPr>
              <w:t>Hrvatska</w:t>
            </w:r>
          </w:p>
          <w:p w14:paraId="6A2AEEF6" w14:textId="77777777" w:rsidR="004E5FBC" w:rsidRPr="007C7ADA" w:rsidRDefault="004E5FBC" w:rsidP="00463647">
            <w:pPr>
              <w:widowControl w:val="0"/>
              <w:spacing w:line="240" w:lineRule="auto"/>
              <w:rPr>
                <w:szCs w:val="22"/>
                <w:lang w:val="sv-SE"/>
              </w:rPr>
            </w:pPr>
            <w:r w:rsidRPr="007C7ADA">
              <w:rPr>
                <w:szCs w:val="22"/>
                <w:lang w:val="sv-SE"/>
              </w:rPr>
              <w:t>Novartis Hrvatska d.o.o.</w:t>
            </w:r>
          </w:p>
          <w:p w14:paraId="0C1E4CE8" w14:textId="77777777" w:rsidR="004E5FBC" w:rsidRPr="0087411B" w:rsidRDefault="004E5FBC" w:rsidP="00463647">
            <w:pPr>
              <w:widowControl w:val="0"/>
              <w:spacing w:line="240" w:lineRule="auto"/>
              <w:rPr>
                <w:szCs w:val="22"/>
              </w:rPr>
            </w:pPr>
            <w:r w:rsidRPr="0087411B">
              <w:rPr>
                <w:szCs w:val="22"/>
              </w:rPr>
              <w:t>Tel. +385 1 6274 220</w:t>
            </w:r>
          </w:p>
          <w:p w14:paraId="0179053A" w14:textId="77777777" w:rsidR="004E5FBC" w:rsidRPr="0087411B" w:rsidRDefault="004E5FBC" w:rsidP="00463647">
            <w:pPr>
              <w:widowControl w:val="0"/>
              <w:spacing w:line="240" w:lineRule="auto"/>
              <w:rPr>
                <w:b/>
                <w:color w:val="000000"/>
                <w:szCs w:val="22"/>
                <w:lang w:val="fr-FR"/>
              </w:rPr>
            </w:pPr>
          </w:p>
        </w:tc>
        <w:tc>
          <w:tcPr>
            <w:tcW w:w="4650" w:type="dxa"/>
          </w:tcPr>
          <w:p w14:paraId="1ACA243D" w14:textId="77777777" w:rsidR="004E5FBC" w:rsidRPr="0087411B" w:rsidRDefault="004E5FBC" w:rsidP="00463647">
            <w:pPr>
              <w:widowControl w:val="0"/>
              <w:spacing w:line="240" w:lineRule="auto"/>
              <w:rPr>
                <w:b/>
                <w:noProof/>
                <w:color w:val="000000"/>
                <w:szCs w:val="22"/>
                <w:lang w:val="it-IT"/>
              </w:rPr>
            </w:pPr>
            <w:r w:rsidRPr="0087411B">
              <w:rPr>
                <w:b/>
                <w:noProof/>
                <w:color w:val="000000"/>
                <w:szCs w:val="22"/>
                <w:lang w:val="it-IT"/>
              </w:rPr>
              <w:t>România</w:t>
            </w:r>
          </w:p>
          <w:p w14:paraId="57DD0B68" w14:textId="77777777" w:rsidR="004E5FBC" w:rsidRPr="0087411B" w:rsidRDefault="004E5FBC" w:rsidP="00463647">
            <w:pPr>
              <w:widowControl w:val="0"/>
              <w:spacing w:line="240" w:lineRule="auto"/>
              <w:rPr>
                <w:noProof/>
                <w:color w:val="000000"/>
                <w:szCs w:val="22"/>
                <w:lang w:val="it-IT"/>
              </w:rPr>
            </w:pPr>
            <w:r w:rsidRPr="0087411B">
              <w:rPr>
                <w:noProof/>
                <w:color w:val="000000"/>
                <w:szCs w:val="22"/>
                <w:lang w:val="it-IT"/>
              </w:rPr>
              <w:t xml:space="preserve">Novartis Pharma Services </w:t>
            </w:r>
            <w:r w:rsidRPr="0087411B">
              <w:rPr>
                <w:color w:val="2F2F2F"/>
                <w:szCs w:val="22"/>
              </w:rPr>
              <w:t>Romania SRL</w:t>
            </w:r>
          </w:p>
          <w:p w14:paraId="560B728E" w14:textId="77777777" w:rsidR="004E5FBC" w:rsidRPr="0087411B" w:rsidRDefault="004E5FBC" w:rsidP="00463647">
            <w:pPr>
              <w:widowControl w:val="0"/>
              <w:spacing w:line="240" w:lineRule="auto"/>
              <w:rPr>
                <w:color w:val="000000"/>
                <w:szCs w:val="22"/>
              </w:rPr>
            </w:pPr>
            <w:r w:rsidRPr="0087411B">
              <w:rPr>
                <w:noProof/>
                <w:color w:val="000000"/>
                <w:szCs w:val="22"/>
                <w:lang w:val="it-IT"/>
              </w:rPr>
              <w:t>Tel: +40 21 31299 01</w:t>
            </w:r>
          </w:p>
        </w:tc>
      </w:tr>
      <w:tr w:rsidR="004E5FBC" w:rsidRPr="0087411B" w14:paraId="28DBBC60" w14:textId="77777777" w:rsidTr="009B46DC">
        <w:trPr>
          <w:cantSplit/>
        </w:trPr>
        <w:tc>
          <w:tcPr>
            <w:tcW w:w="4650" w:type="dxa"/>
          </w:tcPr>
          <w:p w14:paraId="168A120A" w14:textId="77777777" w:rsidR="004E5FBC" w:rsidRPr="0087411B" w:rsidRDefault="004E5FBC" w:rsidP="00463647">
            <w:pPr>
              <w:widowControl w:val="0"/>
              <w:spacing w:line="240" w:lineRule="auto"/>
              <w:rPr>
                <w:b/>
                <w:color w:val="000000"/>
                <w:szCs w:val="22"/>
                <w:lang w:val="en-US"/>
              </w:rPr>
            </w:pPr>
            <w:r w:rsidRPr="0087411B">
              <w:rPr>
                <w:b/>
                <w:color w:val="000000"/>
                <w:szCs w:val="22"/>
                <w:lang w:val="en-US"/>
              </w:rPr>
              <w:t>Ireland</w:t>
            </w:r>
          </w:p>
          <w:p w14:paraId="49E2DA68"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Novartis Ireland Limited</w:t>
            </w:r>
          </w:p>
          <w:p w14:paraId="1EE19A48"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Tel: +353 1 260 12 55</w:t>
            </w:r>
          </w:p>
          <w:p w14:paraId="4FE86F1B" w14:textId="77777777" w:rsidR="004E5FBC" w:rsidRPr="0087411B" w:rsidRDefault="004E5FBC" w:rsidP="00463647">
            <w:pPr>
              <w:widowControl w:val="0"/>
              <w:spacing w:line="240" w:lineRule="auto"/>
              <w:rPr>
                <w:b/>
                <w:color w:val="000000"/>
                <w:szCs w:val="22"/>
                <w:lang w:val="en-US"/>
              </w:rPr>
            </w:pPr>
          </w:p>
        </w:tc>
        <w:tc>
          <w:tcPr>
            <w:tcW w:w="4650" w:type="dxa"/>
          </w:tcPr>
          <w:p w14:paraId="22FB4C6E" w14:textId="77777777" w:rsidR="004E5FBC" w:rsidRPr="0087411B" w:rsidRDefault="004E5FBC" w:rsidP="00463647">
            <w:pPr>
              <w:widowControl w:val="0"/>
              <w:spacing w:line="240" w:lineRule="auto"/>
              <w:rPr>
                <w:b/>
                <w:color w:val="000000"/>
                <w:szCs w:val="22"/>
                <w:lang w:val="fr-FR"/>
              </w:rPr>
            </w:pPr>
            <w:r w:rsidRPr="0087411B">
              <w:rPr>
                <w:b/>
                <w:color w:val="000000"/>
                <w:szCs w:val="22"/>
                <w:lang w:val="fr-FR"/>
              </w:rPr>
              <w:t>Slovenija</w:t>
            </w:r>
          </w:p>
          <w:p w14:paraId="1DAFE7D6"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Novartis Pharma Services Inc.</w:t>
            </w:r>
          </w:p>
          <w:p w14:paraId="005DC859" w14:textId="77777777" w:rsidR="004E5FBC" w:rsidRPr="0087411B" w:rsidRDefault="004E5FBC" w:rsidP="00463647">
            <w:pPr>
              <w:widowControl w:val="0"/>
              <w:spacing w:line="240" w:lineRule="auto"/>
              <w:rPr>
                <w:color w:val="000000"/>
                <w:szCs w:val="22"/>
                <w:lang w:val="fr-FR"/>
              </w:rPr>
            </w:pPr>
            <w:r w:rsidRPr="0087411B">
              <w:rPr>
                <w:color w:val="000000"/>
                <w:szCs w:val="22"/>
                <w:lang w:val="fr-FR"/>
              </w:rPr>
              <w:t>Tel: +386 1 300 75 50</w:t>
            </w:r>
          </w:p>
        </w:tc>
      </w:tr>
      <w:tr w:rsidR="004E5FBC" w:rsidRPr="0087411B" w14:paraId="34ED5F05" w14:textId="77777777" w:rsidTr="009B46DC">
        <w:trPr>
          <w:cantSplit/>
        </w:trPr>
        <w:tc>
          <w:tcPr>
            <w:tcW w:w="4650" w:type="dxa"/>
          </w:tcPr>
          <w:p w14:paraId="10D671A4" w14:textId="77777777" w:rsidR="004E5FBC" w:rsidRPr="0087411B" w:rsidRDefault="004E5FBC" w:rsidP="00463647">
            <w:pPr>
              <w:widowControl w:val="0"/>
              <w:spacing w:line="240" w:lineRule="auto"/>
              <w:rPr>
                <w:b/>
                <w:color w:val="000000"/>
                <w:szCs w:val="22"/>
              </w:rPr>
            </w:pPr>
            <w:r w:rsidRPr="0087411B">
              <w:rPr>
                <w:b/>
                <w:color w:val="000000"/>
                <w:szCs w:val="22"/>
              </w:rPr>
              <w:t>Ísland</w:t>
            </w:r>
          </w:p>
          <w:p w14:paraId="0DD25C60" w14:textId="77777777" w:rsidR="004E5FBC" w:rsidRPr="0087411B" w:rsidRDefault="004E5FBC" w:rsidP="00463647">
            <w:pPr>
              <w:widowControl w:val="0"/>
              <w:spacing w:line="240" w:lineRule="auto"/>
              <w:rPr>
                <w:color w:val="000000"/>
                <w:szCs w:val="22"/>
              </w:rPr>
            </w:pPr>
            <w:r w:rsidRPr="0087411B">
              <w:rPr>
                <w:color w:val="000000"/>
                <w:szCs w:val="22"/>
              </w:rPr>
              <w:t>Vistor hf.</w:t>
            </w:r>
          </w:p>
          <w:p w14:paraId="5A2E8067" w14:textId="77777777" w:rsidR="004E5FBC" w:rsidRPr="0087411B" w:rsidRDefault="004E5FBC" w:rsidP="00463647">
            <w:pPr>
              <w:widowControl w:val="0"/>
              <w:spacing w:line="240" w:lineRule="auto"/>
              <w:rPr>
                <w:color w:val="000000"/>
                <w:szCs w:val="22"/>
              </w:rPr>
            </w:pPr>
            <w:r w:rsidRPr="0087411B">
              <w:rPr>
                <w:noProof/>
                <w:color w:val="000000"/>
                <w:szCs w:val="22"/>
                <w:lang w:val="it-IT"/>
              </w:rPr>
              <w:t>S</w:t>
            </w:r>
            <w:r w:rsidRPr="0087411B">
              <w:rPr>
                <w:noProof/>
                <w:color w:val="000000"/>
                <w:szCs w:val="22"/>
                <w:lang w:val="cs-CZ"/>
              </w:rPr>
              <w:t>í</w:t>
            </w:r>
            <w:r w:rsidRPr="0087411B">
              <w:rPr>
                <w:noProof/>
                <w:color w:val="000000"/>
                <w:szCs w:val="22"/>
                <w:lang w:val="it-IT"/>
              </w:rPr>
              <w:t>mi</w:t>
            </w:r>
            <w:r w:rsidRPr="0087411B">
              <w:rPr>
                <w:color w:val="000000"/>
                <w:szCs w:val="22"/>
              </w:rPr>
              <w:t>: +354 535 7000</w:t>
            </w:r>
          </w:p>
          <w:p w14:paraId="4500CBBB" w14:textId="77777777" w:rsidR="004E5FBC" w:rsidRPr="0087411B" w:rsidRDefault="004E5FBC" w:rsidP="00463647">
            <w:pPr>
              <w:widowControl w:val="0"/>
              <w:spacing w:line="240" w:lineRule="auto"/>
              <w:rPr>
                <w:b/>
                <w:color w:val="000000"/>
                <w:szCs w:val="22"/>
              </w:rPr>
            </w:pPr>
          </w:p>
        </w:tc>
        <w:tc>
          <w:tcPr>
            <w:tcW w:w="4650" w:type="dxa"/>
          </w:tcPr>
          <w:p w14:paraId="4A949661"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Slovenská republika</w:t>
            </w:r>
          </w:p>
          <w:p w14:paraId="4159F216"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Slovakia s.r.o.</w:t>
            </w:r>
          </w:p>
          <w:p w14:paraId="32A91095" w14:textId="77777777" w:rsidR="004E5FBC" w:rsidRPr="0087411B" w:rsidRDefault="004E5FBC" w:rsidP="00463647">
            <w:pPr>
              <w:widowControl w:val="0"/>
              <w:spacing w:line="240" w:lineRule="auto"/>
              <w:rPr>
                <w:color w:val="000000"/>
                <w:szCs w:val="22"/>
              </w:rPr>
            </w:pPr>
            <w:r w:rsidRPr="0087411B">
              <w:rPr>
                <w:color w:val="000000"/>
                <w:szCs w:val="22"/>
              </w:rPr>
              <w:t>Tel: +421 2 5542 5439</w:t>
            </w:r>
          </w:p>
          <w:p w14:paraId="1AEDEEC3" w14:textId="77777777" w:rsidR="004E5FBC" w:rsidRPr="0087411B" w:rsidRDefault="004E5FBC" w:rsidP="00463647">
            <w:pPr>
              <w:widowControl w:val="0"/>
              <w:spacing w:line="240" w:lineRule="auto"/>
              <w:rPr>
                <w:color w:val="000000"/>
                <w:szCs w:val="22"/>
              </w:rPr>
            </w:pPr>
          </w:p>
        </w:tc>
      </w:tr>
      <w:tr w:rsidR="004E5FBC" w:rsidRPr="00644A2E" w14:paraId="4F7B7243" w14:textId="77777777" w:rsidTr="009B46DC">
        <w:trPr>
          <w:cantSplit/>
        </w:trPr>
        <w:tc>
          <w:tcPr>
            <w:tcW w:w="4650" w:type="dxa"/>
          </w:tcPr>
          <w:p w14:paraId="116314CB" w14:textId="77777777" w:rsidR="004E5FBC" w:rsidRPr="0087411B" w:rsidRDefault="004E5FBC" w:rsidP="00463647">
            <w:pPr>
              <w:widowControl w:val="0"/>
              <w:spacing w:line="240" w:lineRule="auto"/>
              <w:rPr>
                <w:b/>
                <w:color w:val="000000"/>
                <w:szCs w:val="22"/>
                <w:lang w:val="pt-BR"/>
              </w:rPr>
            </w:pPr>
            <w:r w:rsidRPr="0087411B">
              <w:rPr>
                <w:b/>
                <w:color w:val="000000"/>
                <w:szCs w:val="22"/>
                <w:lang w:val="pt-BR"/>
              </w:rPr>
              <w:t>Italia</w:t>
            </w:r>
          </w:p>
          <w:p w14:paraId="21215849" w14:textId="77777777" w:rsidR="004E5FBC" w:rsidRPr="0087411B" w:rsidRDefault="004E5FBC" w:rsidP="00463647">
            <w:pPr>
              <w:widowControl w:val="0"/>
              <w:spacing w:line="240" w:lineRule="auto"/>
              <w:rPr>
                <w:color w:val="000000"/>
                <w:szCs w:val="22"/>
                <w:lang w:val="pt-BR"/>
              </w:rPr>
            </w:pPr>
            <w:r w:rsidRPr="0087411B">
              <w:rPr>
                <w:color w:val="000000"/>
                <w:szCs w:val="22"/>
                <w:lang w:val="pt-BR"/>
              </w:rPr>
              <w:t>Novartis Farma S.p.A.</w:t>
            </w:r>
          </w:p>
          <w:p w14:paraId="1744A643" w14:textId="77777777" w:rsidR="004E5FBC" w:rsidRPr="0087411B" w:rsidRDefault="004E5FBC" w:rsidP="00463647">
            <w:pPr>
              <w:widowControl w:val="0"/>
              <w:spacing w:line="240" w:lineRule="auto"/>
              <w:rPr>
                <w:b/>
                <w:color w:val="000000"/>
                <w:szCs w:val="22"/>
              </w:rPr>
            </w:pPr>
            <w:r w:rsidRPr="0087411B">
              <w:rPr>
                <w:color w:val="000000"/>
                <w:szCs w:val="22"/>
              </w:rPr>
              <w:t>Tel: +39 02 96 54 1</w:t>
            </w:r>
          </w:p>
        </w:tc>
        <w:tc>
          <w:tcPr>
            <w:tcW w:w="4650" w:type="dxa"/>
          </w:tcPr>
          <w:p w14:paraId="3FAB2597" w14:textId="77777777" w:rsidR="004E5FBC" w:rsidRPr="007C7ADA" w:rsidRDefault="004E5FBC" w:rsidP="00463647">
            <w:pPr>
              <w:widowControl w:val="0"/>
              <w:spacing w:line="240" w:lineRule="auto"/>
              <w:rPr>
                <w:b/>
                <w:color w:val="000000"/>
                <w:szCs w:val="22"/>
                <w:lang w:val="sv-SE"/>
              </w:rPr>
            </w:pPr>
            <w:r w:rsidRPr="007C7ADA">
              <w:rPr>
                <w:b/>
                <w:color w:val="000000"/>
                <w:szCs w:val="22"/>
                <w:lang w:val="sv-SE"/>
              </w:rPr>
              <w:t>Suomi/Finland</w:t>
            </w:r>
          </w:p>
          <w:p w14:paraId="23CDF61D"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Novartis Finland Oy</w:t>
            </w:r>
          </w:p>
          <w:p w14:paraId="2F676B5C"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 xml:space="preserve">Puh/Tel: </w:t>
            </w:r>
            <w:r w:rsidRPr="007C7ADA">
              <w:rPr>
                <w:color w:val="000000"/>
                <w:szCs w:val="22"/>
                <w:lang w:val="sv-SE" w:bidi="he-IL"/>
              </w:rPr>
              <w:t>+358 (0)10 6133 200</w:t>
            </w:r>
          </w:p>
          <w:p w14:paraId="2D8E846F" w14:textId="77777777" w:rsidR="004E5FBC" w:rsidRPr="007C7ADA" w:rsidRDefault="004E5FBC" w:rsidP="00463647">
            <w:pPr>
              <w:widowControl w:val="0"/>
              <w:spacing w:line="240" w:lineRule="auto"/>
              <w:rPr>
                <w:color w:val="000000"/>
                <w:szCs w:val="22"/>
                <w:lang w:val="sv-SE"/>
              </w:rPr>
            </w:pPr>
          </w:p>
        </w:tc>
      </w:tr>
      <w:tr w:rsidR="004E5FBC" w:rsidRPr="00644A2E" w14:paraId="05F3C6B9" w14:textId="77777777" w:rsidTr="009B46DC">
        <w:trPr>
          <w:cantSplit/>
        </w:trPr>
        <w:tc>
          <w:tcPr>
            <w:tcW w:w="4650" w:type="dxa"/>
          </w:tcPr>
          <w:p w14:paraId="4DDB494F" w14:textId="77777777" w:rsidR="004E5FBC" w:rsidRPr="0087411B" w:rsidRDefault="004E5FBC" w:rsidP="00463647">
            <w:pPr>
              <w:widowControl w:val="0"/>
              <w:spacing w:line="240" w:lineRule="auto"/>
              <w:rPr>
                <w:b/>
                <w:color w:val="000000"/>
                <w:szCs w:val="22"/>
                <w:lang w:val="fr-FR"/>
              </w:rPr>
            </w:pPr>
            <w:r w:rsidRPr="0087411B">
              <w:rPr>
                <w:b/>
                <w:color w:val="000000"/>
                <w:szCs w:val="22"/>
              </w:rPr>
              <w:t>Κύπρος</w:t>
            </w:r>
          </w:p>
          <w:p w14:paraId="709834C9" w14:textId="77777777" w:rsidR="004E5FBC" w:rsidRPr="0087411B" w:rsidRDefault="004E5FBC" w:rsidP="00463647">
            <w:pPr>
              <w:widowControl w:val="0"/>
              <w:spacing w:line="240" w:lineRule="auto"/>
              <w:rPr>
                <w:color w:val="000000"/>
                <w:szCs w:val="22"/>
                <w:lang w:val="fr-FR"/>
              </w:rPr>
            </w:pPr>
            <w:r w:rsidRPr="0087411B">
              <w:rPr>
                <w:color w:val="000000"/>
                <w:szCs w:val="22"/>
                <w:lang w:val="fr-FR" w:bidi="he-IL"/>
              </w:rPr>
              <w:t>Novartis Pharma Services Inc.</w:t>
            </w:r>
          </w:p>
          <w:p w14:paraId="1A2E021A" w14:textId="77777777" w:rsidR="004E5FBC" w:rsidRPr="0087411B" w:rsidRDefault="004E5FBC" w:rsidP="00463647">
            <w:pPr>
              <w:widowControl w:val="0"/>
              <w:spacing w:line="240" w:lineRule="auto"/>
              <w:rPr>
                <w:color w:val="000000"/>
                <w:szCs w:val="22"/>
                <w:lang w:val="fr-FR"/>
              </w:rPr>
            </w:pPr>
            <w:r w:rsidRPr="0087411B">
              <w:rPr>
                <w:color w:val="000000"/>
                <w:szCs w:val="22"/>
              </w:rPr>
              <w:t>Τηλ</w:t>
            </w:r>
            <w:r w:rsidRPr="0087411B">
              <w:rPr>
                <w:color w:val="000000"/>
                <w:szCs w:val="22"/>
                <w:lang w:val="fr-FR"/>
              </w:rPr>
              <w:t>: +357 22 690 690</w:t>
            </w:r>
          </w:p>
          <w:p w14:paraId="72135551" w14:textId="77777777" w:rsidR="004E5FBC" w:rsidRPr="0087411B" w:rsidRDefault="004E5FBC" w:rsidP="00463647">
            <w:pPr>
              <w:widowControl w:val="0"/>
              <w:spacing w:line="240" w:lineRule="auto"/>
              <w:rPr>
                <w:b/>
                <w:color w:val="000000"/>
                <w:szCs w:val="22"/>
                <w:lang w:val="fr-FR"/>
              </w:rPr>
            </w:pPr>
          </w:p>
        </w:tc>
        <w:tc>
          <w:tcPr>
            <w:tcW w:w="4650" w:type="dxa"/>
          </w:tcPr>
          <w:p w14:paraId="6ABCF544" w14:textId="77777777" w:rsidR="004E5FBC" w:rsidRPr="007C7ADA" w:rsidRDefault="004E5FBC" w:rsidP="00463647">
            <w:pPr>
              <w:widowControl w:val="0"/>
              <w:spacing w:line="240" w:lineRule="auto"/>
              <w:rPr>
                <w:b/>
                <w:color w:val="000000"/>
                <w:szCs w:val="22"/>
                <w:lang w:val="sv-SE"/>
              </w:rPr>
            </w:pPr>
            <w:r w:rsidRPr="007C7ADA">
              <w:rPr>
                <w:b/>
                <w:color w:val="000000"/>
                <w:szCs w:val="22"/>
                <w:lang w:val="sv-SE"/>
              </w:rPr>
              <w:t>Sverige</w:t>
            </w:r>
          </w:p>
          <w:p w14:paraId="6E1A20D2"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Novartis Sverige AB</w:t>
            </w:r>
          </w:p>
          <w:p w14:paraId="7B6A0070" w14:textId="77777777" w:rsidR="004E5FBC" w:rsidRPr="007C7ADA" w:rsidRDefault="004E5FBC" w:rsidP="00463647">
            <w:pPr>
              <w:widowControl w:val="0"/>
              <w:spacing w:line="240" w:lineRule="auto"/>
              <w:rPr>
                <w:color w:val="000000"/>
                <w:szCs w:val="22"/>
                <w:lang w:val="sv-SE"/>
              </w:rPr>
            </w:pPr>
            <w:r w:rsidRPr="007C7ADA">
              <w:rPr>
                <w:color w:val="000000"/>
                <w:szCs w:val="22"/>
                <w:lang w:val="sv-SE"/>
              </w:rPr>
              <w:t>Tel: +46 8 732 32 00</w:t>
            </w:r>
          </w:p>
          <w:p w14:paraId="2C9FB51C" w14:textId="77777777" w:rsidR="004E5FBC" w:rsidRPr="007C7ADA" w:rsidRDefault="004E5FBC" w:rsidP="00463647">
            <w:pPr>
              <w:widowControl w:val="0"/>
              <w:spacing w:line="240" w:lineRule="auto"/>
              <w:rPr>
                <w:color w:val="000000"/>
                <w:szCs w:val="22"/>
                <w:lang w:val="sv-SE"/>
              </w:rPr>
            </w:pPr>
          </w:p>
        </w:tc>
      </w:tr>
      <w:tr w:rsidR="004E5FBC" w:rsidRPr="0087411B" w14:paraId="4B39DF5C" w14:textId="77777777" w:rsidTr="009B46DC">
        <w:trPr>
          <w:cantSplit/>
        </w:trPr>
        <w:tc>
          <w:tcPr>
            <w:tcW w:w="4650" w:type="dxa"/>
          </w:tcPr>
          <w:p w14:paraId="741B489F" w14:textId="77777777" w:rsidR="004E5FBC" w:rsidRPr="006861E6" w:rsidRDefault="004E5FBC" w:rsidP="00463647">
            <w:pPr>
              <w:widowControl w:val="0"/>
              <w:spacing w:line="240" w:lineRule="auto"/>
              <w:rPr>
                <w:b/>
                <w:color w:val="000000"/>
                <w:szCs w:val="22"/>
                <w:lang w:val="es-ES"/>
              </w:rPr>
            </w:pPr>
            <w:r w:rsidRPr="006861E6">
              <w:rPr>
                <w:b/>
                <w:color w:val="000000"/>
                <w:szCs w:val="22"/>
                <w:lang w:val="es-ES"/>
              </w:rPr>
              <w:t>Latvija</w:t>
            </w:r>
          </w:p>
          <w:p w14:paraId="55BDFC6A" w14:textId="3954823A" w:rsidR="004E5FBC" w:rsidRPr="006861E6" w:rsidRDefault="00676CAE" w:rsidP="00463647">
            <w:pPr>
              <w:widowControl w:val="0"/>
              <w:spacing w:line="240" w:lineRule="auto"/>
              <w:rPr>
                <w:color w:val="000000"/>
                <w:szCs w:val="22"/>
                <w:lang w:val="es-ES"/>
              </w:rPr>
            </w:pPr>
            <w:r w:rsidRPr="006861E6">
              <w:rPr>
                <w:color w:val="000000"/>
                <w:szCs w:val="22"/>
                <w:lang w:val="es-ES"/>
              </w:rPr>
              <w:t>SIA Novartis Baltics</w:t>
            </w:r>
          </w:p>
          <w:p w14:paraId="748943B3" w14:textId="77777777" w:rsidR="004E5FBC" w:rsidRPr="006861E6" w:rsidRDefault="004E5FBC" w:rsidP="00463647">
            <w:pPr>
              <w:widowControl w:val="0"/>
              <w:spacing w:line="240" w:lineRule="auto"/>
              <w:rPr>
                <w:color w:val="000000"/>
                <w:szCs w:val="22"/>
                <w:lang w:val="es-ES"/>
              </w:rPr>
            </w:pPr>
            <w:r w:rsidRPr="006861E6">
              <w:rPr>
                <w:color w:val="000000"/>
                <w:szCs w:val="22"/>
                <w:lang w:val="es-ES"/>
              </w:rPr>
              <w:t>Tel: +371 67 887 070</w:t>
            </w:r>
          </w:p>
          <w:p w14:paraId="50F71805" w14:textId="77777777" w:rsidR="004E5FBC" w:rsidRPr="006861E6" w:rsidRDefault="004E5FBC" w:rsidP="00463647">
            <w:pPr>
              <w:widowControl w:val="0"/>
              <w:spacing w:line="240" w:lineRule="auto"/>
              <w:rPr>
                <w:b/>
                <w:color w:val="000000"/>
                <w:szCs w:val="22"/>
                <w:lang w:val="es-ES"/>
              </w:rPr>
            </w:pPr>
          </w:p>
        </w:tc>
        <w:tc>
          <w:tcPr>
            <w:tcW w:w="4650" w:type="dxa"/>
          </w:tcPr>
          <w:p w14:paraId="32616A88" w14:textId="77777777" w:rsidR="004E5FBC" w:rsidRPr="0087411B" w:rsidRDefault="004E5FBC" w:rsidP="00463647">
            <w:pPr>
              <w:widowControl w:val="0"/>
              <w:spacing w:line="240" w:lineRule="auto"/>
              <w:rPr>
                <w:b/>
                <w:color w:val="000000"/>
                <w:szCs w:val="22"/>
                <w:lang w:val="en-US"/>
              </w:rPr>
            </w:pPr>
            <w:r w:rsidRPr="0087411B">
              <w:rPr>
                <w:b/>
                <w:color w:val="000000"/>
                <w:szCs w:val="22"/>
                <w:lang w:val="en-US"/>
              </w:rPr>
              <w:t>United Kingdom</w:t>
            </w:r>
          </w:p>
          <w:p w14:paraId="5E40C0C4" w14:textId="77777777" w:rsidR="004E5FBC" w:rsidRPr="0087411B" w:rsidRDefault="004E5FBC" w:rsidP="00463647">
            <w:pPr>
              <w:widowControl w:val="0"/>
              <w:spacing w:line="240" w:lineRule="auto"/>
              <w:rPr>
                <w:color w:val="000000"/>
                <w:szCs w:val="22"/>
                <w:lang w:val="en-US"/>
              </w:rPr>
            </w:pPr>
            <w:r w:rsidRPr="0087411B">
              <w:rPr>
                <w:color w:val="000000"/>
                <w:szCs w:val="22"/>
                <w:lang w:val="en-US"/>
              </w:rPr>
              <w:t>Novartis Pharmaceuticals UK Ltd.</w:t>
            </w:r>
          </w:p>
          <w:p w14:paraId="7530057A" w14:textId="77777777" w:rsidR="004E5FBC" w:rsidRPr="0087411B" w:rsidRDefault="004E5FBC" w:rsidP="00463647">
            <w:pPr>
              <w:widowControl w:val="0"/>
              <w:spacing w:line="240" w:lineRule="auto"/>
              <w:rPr>
                <w:color w:val="000000"/>
                <w:szCs w:val="22"/>
              </w:rPr>
            </w:pPr>
            <w:r w:rsidRPr="0087411B">
              <w:rPr>
                <w:color w:val="000000"/>
                <w:szCs w:val="22"/>
              </w:rPr>
              <w:t>Tel: +44 1276 698370</w:t>
            </w:r>
          </w:p>
          <w:p w14:paraId="4E4F1733" w14:textId="77777777" w:rsidR="004E5FBC" w:rsidRPr="0087411B" w:rsidRDefault="004E5FBC" w:rsidP="00463647">
            <w:pPr>
              <w:widowControl w:val="0"/>
              <w:spacing w:line="240" w:lineRule="auto"/>
              <w:rPr>
                <w:color w:val="000000"/>
                <w:szCs w:val="22"/>
              </w:rPr>
            </w:pPr>
          </w:p>
        </w:tc>
      </w:tr>
    </w:tbl>
    <w:p w14:paraId="063AB27A" w14:textId="77777777" w:rsidR="004E5FBC" w:rsidRPr="0087411B" w:rsidRDefault="004E5FBC" w:rsidP="00463647">
      <w:pPr>
        <w:widowControl w:val="0"/>
        <w:tabs>
          <w:tab w:val="clear" w:pos="567"/>
        </w:tabs>
        <w:spacing w:line="240" w:lineRule="auto"/>
        <w:ind w:right="-449"/>
        <w:rPr>
          <w:color w:val="000000"/>
          <w:szCs w:val="22"/>
        </w:rPr>
      </w:pPr>
    </w:p>
    <w:p w14:paraId="14DDB4EF" w14:textId="77777777" w:rsidR="00CE607D" w:rsidRDefault="00CE607D" w:rsidP="00463647">
      <w:pPr>
        <w:widowControl w:val="0"/>
        <w:numPr>
          <w:ilvl w:val="12"/>
          <w:numId w:val="0"/>
        </w:numPr>
        <w:spacing w:line="240" w:lineRule="auto"/>
        <w:ind w:right="-2"/>
        <w:outlineLvl w:val="0"/>
        <w:rPr>
          <w:b/>
          <w:color w:val="000000"/>
          <w:szCs w:val="22"/>
          <w:lang w:val="sv-SE"/>
        </w:rPr>
      </w:pPr>
      <w:r w:rsidRPr="000E7AE9">
        <w:rPr>
          <w:b/>
          <w:color w:val="000000"/>
          <w:szCs w:val="22"/>
          <w:lang w:val="sv-SE"/>
        </w:rPr>
        <w:t xml:space="preserve">Denna bipacksedel </w:t>
      </w:r>
      <w:r w:rsidR="00085502">
        <w:rPr>
          <w:b/>
          <w:color w:val="000000"/>
          <w:szCs w:val="22"/>
          <w:lang w:val="sv-SE"/>
        </w:rPr>
        <w:t xml:space="preserve">ändrades </w:t>
      </w:r>
      <w:r w:rsidRPr="000E7AE9">
        <w:rPr>
          <w:b/>
          <w:color w:val="000000"/>
          <w:szCs w:val="22"/>
          <w:lang w:val="sv-SE"/>
        </w:rPr>
        <w:t>senast</w:t>
      </w:r>
    </w:p>
    <w:p w14:paraId="1872FAA9" w14:textId="77777777" w:rsidR="00CE607D" w:rsidRPr="00AB480A" w:rsidRDefault="00CE607D" w:rsidP="00463647">
      <w:pPr>
        <w:widowControl w:val="0"/>
        <w:numPr>
          <w:ilvl w:val="12"/>
          <w:numId w:val="0"/>
        </w:numPr>
        <w:spacing w:line="240" w:lineRule="auto"/>
        <w:ind w:right="-2"/>
        <w:outlineLvl w:val="0"/>
        <w:rPr>
          <w:bCs/>
          <w:color w:val="000000"/>
          <w:szCs w:val="22"/>
          <w:lang w:val="sv-SE"/>
        </w:rPr>
      </w:pPr>
    </w:p>
    <w:p w14:paraId="0E06E3F7" w14:textId="77777777" w:rsidR="003B13FC" w:rsidRDefault="003B13FC" w:rsidP="009E09A2">
      <w:pPr>
        <w:keepNext/>
        <w:widowControl w:val="0"/>
        <w:tabs>
          <w:tab w:val="clear" w:pos="567"/>
        </w:tabs>
        <w:spacing w:line="240" w:lineRule="auto"/>
        <w:ind w:right="-448"/>
        <w:rPr>
          <w:b/>
          <w:color w:val="000000"/>
          <w:szCs w:val="22"/>
          <w:lang w:val="sv-SE"/>
        </w:rPr>
      </w:pPr>
      <w:r>
        <w:rPr>
          <w:b/>
          <w:color w:val="000000"/>
          <w:szCs w:val="22"/>
          <w:lang w:val="sv-SE"/>
        </w:rPr>
        <w:t>Övriga informationskällor</w:t>
      </w:r>
    </w:p>
    <w:p w14:paraId="3964218B" w14:textId="77777777" w:rsidR="00CE607D" w:rsidRDefault="00E27E52" w:rsidP="00463647">
      <w:pPr>
        <w:widowControl w:val="0"/>
        <w:tabs>
          <w:tab w:val="clear" w:pos="567"/>
        </w:tabs>
        <w:spacing w:line="240" w:lineRule="auto"/>
        <w:ind w:right="-449"/>
        <w:rPr>
          <w:color w:val="000000"/>
          <w:szCs w:val="22"/>
          <w:lang w:val="sv-SE"/>
        </w:rPr>
      </w:pPr>
      <w:r>
        <w:rPr>
          <w:color w:val="000000"/>
          <w:szCs w:val="22"/>
          <w:lang w:val="sv-SE"/>
        </w:rPr>
        <w:t>Ytterligare i</w:t>
      </w:r>
      <w:r w:rsidR="00CE607D">
        <w:rPr>
          <w:color w:val="000000"/>
          <w:szCs w:val="22"/>
          <w:lang w:val="sv-SE"/>
        </w:rPr>
        <w:t xml:space="preserve">nformation om detta läkemedel finns på Europeiska läkemedelsmyndighetens </w:t>
      </w:r>
      <w:r w:rsidR="00085502">
        <w:rPr>
          <w:color w:val="000000"/>
          <w:szCs w:val="22"/>
          <w:lang w:val="sv-SE"/>
        </w:rPr>
        <w:t>webbplats</w:t>
      </w:r>
      <w:r w:rsidR="00CE607D">
        <w:rPr>
          <w:color w:val="000000"/>
          <w:szCs w:val="22"/>
          <w:lang w:val="sv-SE"/>
        </w:rPr>
        <w:t xml:space="preserve">: </w:t>
      </w:r>
      <w:hyperlink r:id="rId19" w:history="1">
        <w:r w:rsidR="005B7932" w:rsidRPr="00EE16D4">
          <w:rPr>
            <w:rStyle w:val="Hyperlink"/>
            <w:szCs w:val="22"/>
            <w:lang w:val="sv-SE"/>
          </w:rPr>
          <w:t>http://www.ema.europa.eu</w:t>
        </w:r>
      </w:hyperlink>
    </w:p>
    <w:p w14:paraId="5167AEC8" w14:textId="77777777" w:rsidR="005B7932" w:rsidRPr="000E7AE9" w:rsidRDefault="005B7932" w:rsidP="00463647">
      <w:pPr>
        <w:widowControl w:val="0"/>
        <w:tabs>
          <w:tab w:val="clear" w:pos="567"/>
        </w:tabs>
        <w:spacing w:line="240" w:lineRule="auto"/>
        <w:ind w:right="-449"/>
        <w:rPr>
          <w:color w:val="000000"/>
          <w:szCs w:val="22"/>
          <w:lang w:val="sv-SE"/>
        </w:rPr>
      </w:pPr>
    </w:p>
    <w:p w14:paraId="573E35AF" w14:textId="2C0AFF6F" w:rsidR="00274174" w:rsidRPr="00650F12" w:rsidRDefault="00274174" w:rsidP="00644A2E">
      <w:pPr>
        <w:widowControl w:val="0"/>
        <w:spacing w:line="240" w:lineRule="auto"/>
        <w:outlineLvl w:val="0"/>
        <w:rPr>
          <w:color w:val="000000"/>
          <w:szCs w:val="22"/>
          <w:lang w:val="sv-SE"/>
        </w:rPr>
      </w:pPr>
    </w:p>
    <w:sectPr w:rsidR="00274174" w:rsidRPr="00650F12" w:rsidSect="000B149A">
      <w:headerReference w:type="even" r:id="rId20"/>
      <w:headerReference w:type="default" r:id="rId21"/>
      <w:footerReference w:type="even" r:id="rId22"/>
      <w:footerReference w:type="default" r:id="rId23"/>
      <w:headerReference w:type="first" r:id="rId24"/>
      <w:footerReference w:type="first" r:id="rId25"/>
      <w:endnotePr>
        <w:numFmt w:val="decimal"/>
      </w:endnotePr>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D2CE8" w14:textId="77777777" w:rsidR="003E7632" w:rsidRDefault="003E7632">
      <w:r>
        <w:separator/>
      </w:r>
    </w:p>
  </w:endnote>
  <w:endnote w:type="continuationSeparator" w:id="0">
    <w:p w14:paraId="01224D01" w14:textId="77777777" w:rsidR="003E7632" w:rsidRDefault="003E7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78ADD" w14:textId="77777777" w:rsidR="003E7632" w:rsidRDefault="003E7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92200" w14:textId="24C40D94" w:rsidR="003E7632" w:rsidRPr="00A94552" w:rsidRDefault="003E7632">
    <w:pPr>
      <w:pStyle w:val="Footer"/>
      <w:tabs>
        <w:tab w:val="clear" w:pos="8930"/>
        <w:tab w:val="right" w:pos="8931"/>
      </w:tabs>
      <w:ind w:right="96"/>
      <w:jc w:val="center"/>
      <w:rPr>
        <w:rFonts w:ascii="Arial" w:hAnsi="Arial" w:cs="Arial"/>
      </w:rPr>
    </w:pPr>
    <w:r w:rsidRPr="00A94552">
      <w:rPr>
        <w:rFonts w:ascii="Arial" w:hAnsi="Arial" w:cs="Arial"/>
      </w:rPr>
      <w:fldChar w:fldCharType="begin"/>
    </w:r>
    <w:r w:rsidRPr="00A94552">
      <w:rPr>
        <w:rFonts w:ascii="Arial" w:hAnsi="Arial" w:cs="Arial"/>
      </w:rPr>
      <w:instrText xml:space="preserve"> EQ </w:instrText>
    </w:r>
    <w:r w:rsidRPr="00A94552">
      <w:rPr>
        <w:rFonts w:ascii="Arial" w:hAnsi="Arial" w:cs="Arial"/>
      </w:rPr>
      <w:fldChar w:fldCharType="end"/>
    </w:r>
    <w:r w:rsidRPr="00A94552">
      <w:rPr>
        <w:rStyle w:val="PageNumber"/>
        <w:rFonts w:ascii="Arial" w:hAnsi="Arial" w:cs="Arial"/>
      </w:rPr>
      <w:fldChar w:fldCharType="begin"/>
    </w:r>
    <w:r w:rsidRPr="00A94552">
      <w:rPr>
        <w:rStyle w:val="PageNumber"/>
        <w:rFonts w:ascii="Arial" w:hAnsi="Arial" w:cs="Arial"/>
      </w:rPr>
      <w:instrText xml:space="preserve">PAGE  </w:instrText>
    </w:r>
    <w:r w:rsidRPr="00A94552">
      <w:rPr>
        <w:rStyle w:val="PageNumber"/>
        <w:rFonts w:ascii="Arial" w:hAnsi="Arial" w:cs="Arial"/>
      </w:rPr>
      <w:fldChar w:fldCharType="separate"/>
    </w:r>
    <w:r w:rsidR="005630FF">
      <w:rPr>
        <w:rStyle w:val="PageNumber"/>
        <w:rFonts w:ascii="Arial" w:hAnsi="Arial" w:cs="Arial"/>
        <w:noProof/>
      </w:rPr>
      <w:t>98</w:t>
    </w:r>
    <w:r w:rsidRPr="00A94552">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17C1" w14:textId="77777777" w:rsidR="003E7632" w:rsidRDefault="003E7632" w:rsidP="003270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534AA" w14:textId="77777777" w:rsidR="003E7632" w:rsidRPr="000B149A" w:rsidRDefault="003E7632" w:rsidP="000B1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7D8C6" w14:textId="77777777" w:rsidR="003E7632" w:rsidRDefault="003E7632">
      <w:r>
        <w:separator/>
      </w:r>
    </w:p>
  </w:footnote>
  <w:footnote w:type="continuationSeparator" w:id="0">
    <w:p w14:paraId="46710621" w14:textId="77777777" w:rsidR="003E7632" w:rsidRDefault="003E7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3D383" w14:textId="77777777" w:rsidR="003E7632" w:rsidRDefault="003E7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B1CD3" w14:textId="77777777" w:rsidR="003E7632" w:rsidRDefault="003E76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1FEBD" w14:textId="77777777" w:rsidR="003E7632" w:rsidRDefault="003E7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4.4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F3904"/>
    <w:multiLevelType w:val="hybridMultilevel"/>
    <w:tmpl w:val="3008EACA"/>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EF617A"/>
    <w:multiLevelType w:val="hybridMultilevel"/>
    <w:tmpl w:val="94EA8028"/>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277AF3"/>
    <w:multiLevelType w:val="multilevel"/>
    <w:tmpl w:val="DA9AF0F2"/>
    <w:lvl w:ilvl="0">
      <w:start w:val="1"/>
      <w:numFmt w:val="upperLetter"/>
      <w:lvlText w:val="%1."/>
      <w:lvlJc w:val="left"/>
      <w:pPr>
        <w:tabs>
          <w:tab w:val="num" w:pos="1494"/>
        </w:tabs>
        <w:ind w:left="1494" w:hanging="360"/>
      </w:pPr>
      <w:rPr>
        <w:rFonts w:hint="default"/>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293919"/>
    <w:multiLevelType w:val="hybridMultilevel"/>
    <w:tmpl w:val="78FAAD3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074D3F91"/>
    <w:multiLevelType w:val="hybridMultilevel"/>
    <w:tmpl w:val="DE3E9DEE"/>
    <w:lvl w:ilvl="0" w:tplc="1816508C">
      <w:start w:val="1"/>
      <w:numFmt w:val="bullet"/>
      <w:lvlText w:val=""/>
      <w:lvlJc w:val="left"/>
      <w:pPr>
        <w:tabs>
          <w:tab w:val="num" w:pos="927"/>
        </w:tabs>
        <w:ind w:left="927" w:hanging="360"/>
      </w:pPr>
      <w:rPr>
        <w:rFonts w:ascii="Symbol" w:hAnsi="Symbol" w:hint="default"/>
        <w:b w:val="0"/>
        <w:i w:val="0"/>
        <w:color w:val="000000"/>
        <w:sz w:val="22"/>
        <w:szCs w:val="22"/>
      </w:rPr>
    </w:lvl>
    <w:lvl w:ilvl="1" w:tplc="04090003" w:tentative="1">
      <w:start w:val="1"/>
      <w:numFmt w:val="bullet"/>
      <w:lvlText w:val="o"/>
      <w:lvlJc w:val="left"/>
      <w:pPr>
        <w:tabs>
          <w:tab w:val="num" w:pos="207"/>
        </w:tabs>
        <w:ind w:left="207" w:hanging="360"/>
      </w:pPr>
      <w:rPr>
        <w:rFonts w:ascii="Courier New" w:hAnsi="Courier New" w:cs="Courier New" w:hint="default"/>
      </w:rPr>
    </w:lvl>
    <w:lvl w:ilvl="2" w:tplc="04090005" w:tentative="1">
      <w:start w:val="1"/>
      <w:numFmt w:val="bullet"/>
      <w:lvlText w:val=""/>
      <w:lvlJc w:val="left"/>
      <w:pPr>
        <w:tabs>
          <w:tab w:val="num" w:pos="927"/>
        </w:tabs>
        <w:ind w:left="927" w:hanging="360"/>
      </w:pPr>
      <w:rPr>
        <w:rFonts w:ascii="Wingdings" w:hAnsi="Wingdings" w:hint="default"/>
      </w:rPr>
    </w:lvl>
    <w:lvl w:ilvl="3" w:tplc="04090001" w:tentative="1">
      <w:start w:val="1"/>
      <w:numFmt w:val="bullet"/>
      <w:lvlText w:val=""/>
      <w:lvlJc w:val="left"/>
      <w:pPr>
        <w:tabs>
          <w:tab w:val="num" w:pos="1647"/>
        </w:tabs>
        <w:ind w:left="1647" w:hanging="360"/>
      </w:pPr>
      <w:rPr>
        <w:rFonts w:ascii="Symbol" w:hAnsi="Symbol" w:hint="default"/>
      </w:rPr>
    </w:lvl>
    <w:lvl w:ilvl="4" w:tplc="04090003" w:tentative="1">
      <w:start w:val="1"/>
      <w:numFmt w:val="bullet"/>
      <w:lvlText w:val="o"/>
      <w:lvlJc w:val="left"/>
      <w:pPr>
        <w:tabs>
          <w:tab w:val="num" w:pos="2367"/>
        </w:tabs>
        <w:ind w:left="2367" w:hanging="360"/>
      </w:pPr>
      <w:rPr>
        <w:rFonts w:ascii="Courier New" w:hAnsi="Courier New" w:cs="Courier New" w:hint="default"/>
      </w:rPr>
    </w:lvl>
    <w:lvl w:ilvl="5" w:tplc="04090005" w:tentative="1">
      <w:start w:val="1"/>
      <w:numFmt w:val="bullet"/>
      <w:lvlText w:val=""/>
      <w:lvlJc w:val="left"/>
      <w:pPr>
        <w:tabs>
          <w:tab w:val="num" w:pos="3087"/>
        </w:tabs>
        <w:ind w:left="3087" w:hanging="360"/>
      </w:pPr>
      <w:rPr>
        <w:rFonts w:ascii="Wingdings" w:hAnsi="Wingdings" w:hint="default"/>
      </w:rPr>
    </w:lvl>
    <w:lvl w:ilvl="6" w:tplc="04090001" w:tentative="1">
      <w:start w:val="1"/>
      <w:numFmt w:val="bullet"/>
      <w:lvlText w:val=""/>
      <w:lvlJc w:val="left"/>
      <w:pPr>
        <w:tabs>
          <w:tab w:val="num" w:pos="3807"/>
        </w:tabs>
        <w:ind w:left="3807" w:hanging="360"/>
      </w:pPr>
      <w:rPr>
        <w:rFonts w:ascii="Symbol" w:hAnsi="Symbol" w:hint="default"/>
      </w:rPr>
    </w:lvl>
    <w:lvl w:ilvl="7" w:tplc="04090003" w:tentative="1">
      <w:start w:val="1"/>
      <w:numFmt w:val="bullet"/>
      <w:lvlText w:val="o"/>
      <w:lvlJc w:val="left"/>
      <w:pPr>
        <w:tabs>
          <w:tab w:val="num" w:pos="4527"/>
        </w:tabs>
        <w:ind w:left="4527" w:hanging="360"/>
      </w:pPr>
      <w:rPr>
        <w:rFonts w:ascii="Courier New" w:hAnsi="Courier New" w:cs="Courier New" w:hint="default"/>
      </w:rPr>
    </w:lvl>
    <w:lvl w:ilvl="8" w:tplc="04090005" w:tentative="1">
      <w:start w:val="1"/>
      <w:numFmt w:val="bullet"/>
      <w:lvlText w:val=""/>
      <w:lvlJc w:val="left"/>
      <w:pPr>
        <w:tabs>
          <w:tab w:val="num" w:pos="5247"/>
        </w:tabs>
        <w:ind w:left="5247" w:hanging="360"/>
      </w:pPr>
      <w:rPr>
        <w:rFonts w:ascii="Wingdings" w:hAnsi="Wingdings" w:hint="default"/>
      </w:rPr>
    </w:lvl>
  </w:abstractNum>
  <w:abstractNum w:abstractNumId="6" w15:restartNumberingAfterBreak="1">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ED7A8C"/>
    <w:multiLevelType w:val="singleLevel"/>
    <w:tmpl w:val="D242D7CA"/>
    <w:lvl w:ilvl="0">
      <w:start w:val="1"/>
      <w:numFmt w:val="decimal"/>
      <w:lvlText w:val="%1."/>
      <w:lvlJc w:val="left"/>
      <w:pPr>
        <w:tabs>
          <w:tab w:val="num" w:pos="567"/>
        </w:tabs>
        <w:ind w:left="567" w:hanging="567"/>
      </w:pPr>
      <w:rPr>
        <w:rFonts w:hint="default"/>
      </w:rPr>
    </w:lvl>
  </w:abstractNum>
  <w:abstractNum w:abstractNumId="8" w15:restartNumberingAfterBreak="0">
    <w:nsid w:val="0CFE1163"/>
    <w:multiLevelType w:val="hybridMultilevel"/>
    <w:tmpl w:val="6D0CE0F8"/>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5F102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2582D"/>
    <w:multiLevelType w:val="hybridMultilevel"/>
    <w:tmpl w:val="389291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92F65BD"/>
    <w:multiLevelType w:val="hybridMultilevel"/>
    <w:tmpl w:val="C6A2DF6C"/>
    <w:lvl w:ilvl="0" w:tplc="B20C19A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5460B7"/>
    <w:multiLevelType w:val="hybridMultilevel"/>
    <w:tmpl w:val="2076B40A"/>
    <w:lvl w:ilvl="0" w:tplc="E3608AC0">
      <w:start w:val="2"/>
      <w:numFmt w:val="bullet"/>
      <w:lvlText w:val="-"/>
      <w:lvlJc w:val="left"/>
      <w:pPr>
        <w:tabs>
          <w:tab w:val="num" w:pos="630"/>
        </w:tabs>
        <w:ind w:left="630" w:hanging="570"/>
      </w:pPr>
      <w:rPr>
        <w:rFonts w:hint="default"/>
        <w:b w:val="0"/>
        <w:i w:val="0"/>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13" w15:restartNumberingAfterBreak="0">
    <w:nsid w:val="1B6B12A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6E3DF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4462128"/>
    <w:multiLevelType w:val="hybridMultilevel"/>
    <w:tmpl w:val="F3D02E24"/>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A8411F9"/>
    <w:multiLevelType w:val="hybridMultilevel"/>
    <w:tmpl w:val="6D0CE0F8"/>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866D10"/>
    <w:multiLevelType w:val="hybridMultilevel"/>
    <w:tmpl w:val="7556FDC0"/>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AA693D"/>
    <w:multiLevelType w:val="hybridMultilevel"/>
    <w:tmpl w:val="0ED0B390"/>
    <w:lvl w:ilvl="0" w:tplc="1816508C">
      <w:start w:val="1"/>
      <w:numFmt w:val="bullet"/>
      <w:lvlText w:val=""/>
      <w:lvlJc w:val="left"/>
      <w:pPr>
        <w:tabs>
          <w:tab w:val="num" w:pos="927"/>
        </w:tabs>
        <w:ind w:left="927" w:hanging="360"/>
      </w:pPr>
      <w:rPr>
        <w:rFonts w:ascii="Symbol" w:hAnsi="Symbol" w:hint="default"/>
        <w:b w:val="0"/>
        <w:i w:val="0"/>
        <w:color w:val="000000"/>
        <w:sz w:val="22"/>
        <w:szCs w:val="22"/>
      </w:rPr>
    </w:lvl>
    <w:lvl w:ilvl="1" w:tplc="04090003" w:tentative="1">
      <w:start w:val="1"/>
      <w:numFmt w:val="bullet"/>
      <w:lvlText w:val="o"/>
      <w:lvlJc w:val="left"/>
      <w:pPr>
        <w:tabs>
          <w:tab w:val="num" w:pos="207"/>
        </w:tabs>
        <w:ind w:left="207" w:hanging="360"/>
      </w:pPr>
      <w:rPr>
        <w:rFonts w:ascii="Courier New" w:hAnsi="Courier New" w:cs="Courier New" w:hint="default"/>
      </w:rPr>
    </w:lvl>
    <w:lvl w:ilvl="2" w:tplc="04090005" w:tentative="1">
      <w:start w:val="1"/>
      <w:numFmt w:val="bullet"/>
      <w:lvlText w:val=""/>
      <w:lvlJc w:val="left"/>
      <w:pPr>
        <w:tabs>
          <w:tab w:val="num" w:pos="927"/>
        </w:tabs>
        <w:ind w:left="927" w:hanging="360"/>
      </w:pPr>
      <w:rPr>
        <w:rFonts w:ascii="Wingdings" w:hAnsi="Wingdings" w:hint="default"/>
      </w:rPr>
    </w:lvl>
    <w:lvl w:ilvl="3" w:tplc="04090001" w:tentative="1">
      <w:start w:val="1"/>
      <w:numFmt w:val="bullet"/>
      <w:lvlText w:val=""/>
      <w:lvlJc w:val="left"/>
      <w:pPr>
        <w:tabs>
          <w:tab w:val="num" w:pos="1647"/>
        </w:tabs>
        <w:ind w:left="1647" w:hanging="360"/>
      </w:pPr>
      <w:rPr>
        <w:rFonts w:ascii="Symbol" w:hAnsi="Symbol" w:hint="default"/>
      </w:rPr>
    </w:lvl>
    <w:lvl w:ilvl="4" w:tplc="04090003" w:tentative="1">
      <w:start w:val="1"/>
      <w:numFmt w:val="bullet"/>
      <w:lvlText w:val="o"/>
      <w:lvlJc w:val="left"/>
      <w:pPr>
        <w:tabs>
          <w:tab w:val="num" w:pos="2367"/>
        </w:tabs>
        <w:ind w:left="2367" w:hanging="360"/>
      </w:pPr>
      <w:rPr>
        <w:rFonts w:ascii="Courier New" w:hAnsi="Courier New" w:cs="Courier New" w:hint="default"/>
      </w:rPr>
    </w:lvl>
    <w:lvl w:ilvl="5" w:tplc="04090005" w:tentative="1">
      <w:start w:val="1"/>
      <w:numFmt w:val="bullet"/>
      <w:lvlText w:val=""/>
      <w:lvlJc w:val="left"/>
      <w:pPr>
        <w:tabs>
          <w:tab w:val="num" w:pos="3087"/>
        </w:tabs>
        <w:ind w:left="3087" w:hanging="360"/>
      </w:pPr>
      <w:rPr>
        <w:rFonts w:ascii="Wingdings" w:hAnsi="Wingdings" w:hint="default"/>
      </w:rPr>
    </w:lvl>
    <w:lvl w:ilvl="6" w:tplc="04090001" w:tentative="1">
      <w:start w:val="1"/>
      <w:numFmt w:val="bullet"/>
      <w:lvlText w:val=""/>
      <w:lvlJc w:val="left"/>
      <w:pPr>
        <w:tabs>
          <w:tab w:val="num" w:pos="3807"/>
        </w:tabs>
        <w:ind w:left="3807" w:hanging="360"/>
      </w:pPr>
      <w:rPr>
        <w:rFonts w:ascii="Symbol" w:hAnsi="Symbol" w:hint="default"/>
      </w:rPr>
    </w:lvl>
    <w:lvl w:ilvl="7" w:tplc="04090003" w:tentative="1">
      <w:start w:val="1"/>
      <w:numFmt w:val="bullet"/>
      <w:lvlText w:val="o"/>
      <w:lvlJc w:val="left"/>
      <w:pPr>
        <w:tabs>
          <w:tab w:val="num" w:pos="4527"/>
        </w:tabs>
        <w:ind w:left="4527" w:hanging="360"/>
      </w:pPr>
      <w:rPr>
        <w:rFonts w:ascii="Courier New" w:hAnsi="Courier New" w:cs="Courier New" w:hint="default"/>
      </w:rPr>
    </w:lvl>
    <w:lvl w:ilvl="8" w:tplc="04090005" w:tentative="1">
      <w:start w:val="1"/>
      <w:numFmt w:val="bullet"/>
      <w:lvlText w:val=""/>
      <w:lvlJc w:val="left"/>
      <w:pPr>
        <w:tabs>
          <w:tab w:val="num" w:pos="5247"/>
        </w:tabs>
        <w:ind w:left="5247" w:hanging="360"/>
      </w:pPr>
      <w:rPr>
        <w:rFonts w:ascii="Wingdings" w:hAnsi="Wingdings" w:hint="default"/>
      </w:rPr>
    </w:lvl>
  </w:abstractNum>
  <w:abstractNum w:abstractNumId="19" w15:restartNumberingAfterBreak="0">
    <w:nsid w:val="454536F9"/>
    <w:multiLevelType w:val="singleLevel"/>
    <w:tmpl w:val="D242D7CA"/>
    <w:lvl w:ilvl="0">
      <w:start w:val="1"/>
      <w:numFmt w:val="decimal"/>
      <w:lvlText w:val="%1."/>
      <w:lvlJc w:val="left"/>
      <w:pPr>
        <w:tabs>
          <w:tab w:val="num" w:pos="567"/>
        </w:tabs>
        <w:ind w:left="567" w:hanging="567"/>
      </w:pPr>
      <w:rPr>
        <w:rFonts w:hint="default"/>
      </w:rPr>
    </w:lvl>
  </w:abstractNum>
  <w:abstractNum w:abstractNumId="20" w15:restartNumberingAfterBreak="0">
    <w:nsid w:val="50407C81"/>
    <w:multiLevelType w:val="hybridMultilevel"/>
    <w:tmpl w:val="5B74DA5E"/>
    <w:lvl w:ilvl="0" w:tplc="E3608AC0">
      <w:start w:val="2"/>
      <w:numFmt w:val="bullet"/>
      <w:lvlText w:val="-"/>
      <w:lvlJc w:val="left"/>
      <w:pPr>
        <w:tabs>
          <w:tab w:val="num" w:pos="1137"/>
        </w:tabs>
        <w:ind w:left="1137" w:hanging="570"/>
      </w:pPr>
      <w:rPr>
        <w:rFonts w:hint="default"/>
        <w:b w:val="0"/>
        <w:i w:val="0"/>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21" w15:restartNumberingAfterBreak="0">
    <w:nsid w:val="57535925"/>
    <w:multiLevelType w:val="hybridMultilevel"/>
    <w:tmpl w:val="7556FDC0"/>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8B52D6"/>
    <w:multiLevelType w:val="hybridMultilevel"/>
    <w:tmpl w:val="3008EACA"/>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814B42"/>
    <w:multiLevelType w:val="hybridMultilevel"/>
    <w:tmpl w:val="F3D02E24"/>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527195"/>
    <w:multiLevelType w:val="hybridMultilevel"/>
    <w:tmpl w:val="4716A6FA"/>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5D3E30"/>
    <w:multiLevelType w:val="hybridMultilevel"/>
    <w:tmpl w:val="94EA8028"/>
    <w:lvl w:ilvl="0" w:tplc="D242D7CA">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B9E2D5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2"/>
        <w:numFmt w:val="bullet"/>
        <w:lvlText w:val="-"/>
        <w:lvlJc w:val="left"/>
        <w:pPr>
          <w:tabs>
            <w:tab w:val="num" w:pos="927"/>
          </w:tabs>
          <w:ind w:left="927" w:hanging="360"/>
        </w:pPr>
        <w:rPr>
          <w:rFonts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9"/>
  </w:num>
  <w:num w:numId="4">
    <w:abstractNumId w:val="14"/>
  </w:num>
  <w:num w:numId="5">
    <w:abstractNumId w:val="9"/>
  </w:num>
  <w:num w:numId="6">
    <w:abstractNumId w:val="27"/>
  </w:num>
  <w:num w:numId="7">
    <w:abstractNumId w:val="13"/>
  </w:num>
  <w:num w:numId="8">
    <w:abstractNumId w:val="0"/>
    <w:lvlOverride w:ilvl="0">
      <w:lvl w:ilvl="0">
        <w:start w:val="2"/>
        <w:numFmt w:val="bullet"/>
        <w:lvlText w:val="-"/>
        <w:lvlJc w:val="left"/>
        <w:pPr>
          <w:tabs>
            <w:tab w:val="num" w:pos="927"/>
          </w:tabs>
          <w:ind w:left="927" w:hanging="360"/>
        </w:pPr>
        <w:rPr>
          <w:rFonts w:hint="default"/>
        </w:rPr>
      </w:lvl>
    </w:lvlOverride>
  </w:num>
  <w:num w:numId="9">
    <w:abstractNumId w:val="3"/>
  </w:num>
  <w:num w:numId="10">
    <w:abstractNumId w:val="25"/>
  </w:num>
  <w:num w:numId="11">
    <w:abstractNumId w:val="11"/>
  </w:num>
  <w:num w:numId="12">
    <w:abstractNumId w:val="0"/>
    <w:lvlOverride w:ilvl="0">
      <w:lvl w:ilvl="0">
        <w:start w:val="1"/>
        <w:numFmt w:val="bullet"/>
        <w:lvlText w:val="-"/>
        <w:legacy w:legacy="1" w:legacySpace="0" w:legacyIndent="360"/>
        <w:lvlJc w:val="left"/>
        <w:pPr>
          <w:ind w:left="360" w:hanging="360"/>
        </w:pPr>
      </w:lvl>
    </w:lvlOverride>
  </w:num>
  <w:num w:numId="13">
    <w:abstractNumId w:val="18"/>
  </w:num>
  <w:num w:numId="14">
    <w:abstractNumId w:val="5"/>
  </w:num>
  <w:num w:numId="15">
    <w:abstractNumId w:val="10"/>
  </w:num>
  <w:num w:numId="16">
    <w:abstractNumId w:val="17"/>
  </w:num>
  <w:num w:numId="17">
    <w:abstractNumId w:val="20"/>
  </w:num>
  <w:num w:numId="18">
    <w:abstractNumId w:val="4"/>
  </w:num>
  <w:num w:numId="19">
    <w:abstractNumId w:val="1"/>
  </w:num>
  <w:num w:numId="20">
    <w:abstractNumId w:val="12"/>
  </w:num>
  <w:num w:numId="21">
    <w:abstractNumId w:val="23"/>
  </w:num>
  <w:num w:numId="22">
    <w:abstractNumId w:val="16"/>
  </w:num>
  <w:num w:numId="23">
    <w:abstractNumId w:val="2"/>
  </w:num>
  <w:num w:numId="24">
    <w:abstractNumId w:val="6"/>
  </w:num>
  <w:num w:numId="25">
    <w:abstractNumId w:val="24"/>
  </w:num>
  <w:num w:numId="26">
    <w:abstractNumId w:val="7"/>
  </w:num>
  <w:num w:numId="27">
    <w:abstractNumId w:val="26"/>
  </w:num>
  <w:num w:numId="28">
    <w:abstractNumId w:val="15"/>
  </w:num>
  <w:num w:numId="29">
    <w:abstractNumId w:val="8"/>
  </w:num>
  <w:num w:numId="30">
    <w:abstractNumId w:val="21"/>
  </w:num>
  <w:num w:numId="31">
    <w:abstractNumId w:val="22"/>
  </w:num>
  <w:num w:numId="32">
    <w:abstractNumId w:val="24"/>
  </w:num>
  <w:num w:numId="3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nb-NO" w:vendorID="64" w:dllVersion="6" w:nlCheck="1" w:checkStyle="0"/>
  <w:activeWritingStyle w:appName="MSWord" w:lang="en-GB" w:vendorID="64" w:dllVersion="6" w:nlCheck="1" w:checkStyle="1"/>
  <w:activeWritingStyle w:appName="MSWord" w:lang="es-ES" w:vendorID="64" w:dllVersion="6" w:nlCheck="1" w:checkStyle="0"/>
  <w:activeWritingStyle w:appName="MSWord" w:lang="de-DE" w:vendorID="64" w:dllVersion="6" w:nlCheck="1" w:checkStyle="0"/>
  <w:activeWritingStyle w:appName="MSWord" w:lang="en-US" w:vendorID="64" w:dllVersion="6" w:nlCheck="1" w:checkStyle="1"/>
  <w:activeWritingStyle w:appName="MSWord" w:lang="de-CH" w:vendorID="64" w:dllVersion="6" w:nlCheck="1" w:checkStyle="0"/>
  <w:activeWritingStyle w:appName="MSWord" w:lang="it-IT" w:vendorID="64" w:dllVersion="6" w:nlCheck="1" w:checkStyle="0"/>
  <w:activeWritingStyle w:appName="MSWord" w:lang="da-DK" w:vendorID="64" w:dllVersion="6" w:nlCheck="1" w:checkStyle="0"/>
  <w:activeWritingStyle w:appName="MSWord" w:lang="fr-FR" w:vendorID="64" w:dllVersion="6" w:nlCheck="1" w:checkStyle="0"/>
  <w:activeWritingStyle w:appName="MSWord" w:lang="pt-BR" w:vendorID="64" w:dllVersion="6" w:nlCheck="1" w:checkStyle="0"/>
  <w:activeWritingStyle w:appName="MSWord" w:lang="pt-PT" w:vendorID="64" w:dllVersion="6" w:nlCheck="1" w:checkStyle="0"/>
  <w:activeWritingStyle w:appName="MSWord" w:lang="fr-CH" w:vendorID="64" w:dllVersion="6"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sv-SE" w:vendorID="0" w:dllVersion="512" w:checkStyle="1"/>
  <w:activeWritingStyle w:appName="MSWord" w:lang="sv-SE" w:vendorID="666" w:dllVersion="513" w:checkStyle="1"/>
  <w:activeWritingStyle w:appName="MSWord" w:lang="pt-PT" w:vendorID="13" w:dllVersion="513" w:checkStyle="1"/>
  <w:activeWritingStyle w:appName="MSWord" w:lang="pt-BR" w:vendorID="13" w:dllVersion="513" w:checkStyle="1"/>
  <w:activeWritingStyle w:appName="MSWord" w:lang="it-IT" w:vendorID="3" w:dllVersion="517" w:checkStyle="1"/>
  <w:activeWritingStyle w:appName="MSWord" w:lang="sv-SE" w:vendorID="22" w:dllVersion="513" w:checkStyle="1"/>
  <w:activeWritingStyle w:appName="MSWord" w:lang="nb-NO" w:vendorID="22" w:dllVersion="513" w:checkStyle="1"/>
  <w:activeWritingStyle w:appName="MSWord" w:lang="da-DK" w:vendorID="22" w:dllVersion="513" w:checkStyle="1"/>
  <w:activeWritingStyle w:appName="MSWord" w:lang="pt-BR" w:vendorID="1" w:dllVersion="513" w:checkStyle="1"/>
  <w:activeWritingStyle w:appName="MSWord" w:lang="pt-PT" w:vendorID="75"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29554B"/>
    <w:rsid w:val="000000F2"/>
    <w:rsid w:val="000006E9"/>
    <w:rsid w:val="00001A61"/>
    <w:rsid w:val="00004256"/>
    <w:rsid w:val="000051F0"/>
    <w:rsid w:val="000065F2"/>
    <w:rsid w:val="000067FB"/>
    <w:rsid w:val="00007379"/>
    <w:rsid w:val="00007DBA"/>
    <w:rsid w:val="00011157"/>
    <w:rsid w:val="00011337"/>
    <w:rsid w:val="00011735"/>
    <w:rsid w:val="00011BF0"/>
    <w:rsid w:val="000124C4"/>
    <w:rsid w:val="0001405E"/>
    <w:rsid w:val="0001442D"/>
    <w:rsid w:val="000145CC"/>
    <w:rsid w:val="000145F5"/>
    <w:rsid w:val="000146D9"/>
    <w:rsid w:val="00014F6C"/>
    <w:rsid w:val="0001511F"/>
    <w:rsid w:val="00016FC9"/>
    <w:rsid w:val="00017FAA"/>
    <w:rsid w:val="000209AE"/>
    <w:rsid w:val="00021733"/>
    <w:rsid w:val="0002391F"/>
    <w:rsid w:val="000245B5"/>
    <w:rsid w:val="00024B6B"/>
    <w:rsid w:val="00025C0E"/>
    <w:rsid w:val="00026C2A"/>
    <w:rsid w:val="000273B9"/>
    <w:rsid w:val="000300E0"/>
    <w:rsid w:val="00030751"/>
    <w:rsid w:val="00030985"/>
    <w:rsid w:val="00034402"/>
    <w:rsid w:val="00034A4D"/>
    <w:rsid w:val="00034CA0"/>
    <w:rsid w:val="00035415"/>
    <w:rsid w:val="000354E6"/>
    <w:rsid w:val="00035569"/>
    <w:rsid w:val="000359CD"/>
    <w:rsid w:val="00035A3E"/>
    <w:rsid w:val="00035EFE"/>
    <w:rsid w:val="0003612F"/>
    <w:rsid w:val="00037E68"/>
    <w:rsid w:val="00040471"/>
    <w:rsid w:val="00041275"/>
    <w:rsid w:val="00042FDB"/>
    <w:rsid w:val="000454D8"/>
    <w:rsid w:val="00046EE5"/>
    <w:rsid w:val="00047138"/>
    <w:rsid w:val="000475B4"/>
    <w:rsid w:val="000514BE"/>
    <w:rsid w:val="00051991"/>
    <w:rsid w:val="00051ABC"/>
    <w:rsid w:val="00051DD9"/>
    <w:rsid w:val="00053237"/>
    <w:rsid w:val="00053F02"/>
    <w:rsid w:val="00054903"/>
    <w:rsid w:val="00056F75"/>
    <w:rsid w:val="00057CC9"/>
    <w:rsid w:val="00057FF7"/>
    <w:rsid w:val="0006161F"/>
    <w:rsid w:val="000622FA"/>
    <w:rsid w:val="00062539"/>
    <w:rsid w:val="000634D6"/>
    <w:rsid w:val="00063850"/>
    <w:rsid w:val="00064A88"/>
    <w:rsid w:val="00064AC0"/>
    <w:rsid w:val="00064FD4"/>
    <w:rsid w:val="00065761"/>
    <w:rsid w:val="00065D42"/>
    <w:rsid w:val="00065E92"/>
    <w:rsid w:val="00066BEC"/>
    <w:rsid w:val="00067D42"/>
    <w:rsid w:val="000706BE"/>
    <w:rsid w:val="00070EEA"/>
    <w:rsid w:val="00071B8B"/>
    <w:rsid w:val="00071C79"/>
    <w:rsid w:val="00072C62"/>
    <w:rsid w:val="0007425C"/>
    <w:rsid w:val="00075F72"/>
    <w:rsid w:val="00077079"/>
    <w:rsid w:val="00077CB0"/>
    <w:rsid w:val="00080D2D"/>
    <w:rsid w:val="000815FE"/>
    <w:rsid w:val="000826BF"/>
    <w:rsid w:val="00082B3C"/>
    <w:rsid w:val="00082F13"/>
    <w:rsid w:val="0008362F"/>
    <w:rsid w:val="00084168"/>
    <w:rsid w:val="00084242"/>
    <w:rsid w:val="00085502"/>
    <w:rsid w:val="0008761D"/>
    <w:rsid w:val="00087A41"/>
    <w:rsid w:val="00087CFE"/>
    <w:rsid w:val="00090468"/>
    <w:rsid w:val="00090A0A"/>
    <w:rsid w:val="00091378"/>
    <w:rsid w:val="00091DD6"/>
    <w:rsid w:val="000927DD"/>
    <w:rsid w:val="00093E76"/>
    <w:rsid w:val="0009507F"/>
    <w:rsid w:val="0009510E"/>
    <w:rsid w:val="000A0485"/>
    <w:rsid w:val="000A06E2"/>
    <w:rsid w:val="000A0E97"/>
    <w:rsid w:val="000A113D"/>
    <w:rsid w:val="000A178A"/>
    <w:rsid w:val="000A1A0B"/>
    <w:rsid w:val="000A1A99"/>
    <w:rsid w:val="000A27BC"/>
    <w:rsid w:val="000A32D6"/>
    <w:rsid w:val="000A3D67"/>
    <w:rsid w:val="000A436D"/>
    <w:rsid w:val="000A54E0"/>
    <w:rsid w:val="000A5704"/>
    <w:rsid w:val="000A65FF"/>
    <w:rsid w:val="000A7285"/>
    <w:rsid w:val="000A745A"/>
    <w:rsid w:val="000A79A8"/>
    <w:rsid w:val="000B149A"/>
    <w:rsid w:val="000B1D48"/>
    <w:rsid w:val="000B2E0C"/>
    <w:rsid w:val="000B2FEB"/>
    <w:rsid w:val="000B798D"/>
    <w:rsid w:val="000C05EE"/>
    <w:rsid w:val="000C06EC"/>
    <w:rsid w:val="000C0EBF"/>
    <w:rsid w:val="000C34A8"/>
    <w:rsid w:val="000C3644"/>
    <w:rsid w:val="000C3835"/>
    <w:rsid w:val="000C4317"/>
    <w:rsid w:val="000C5E1E"/>
    <w:rsid w:val="000C6F9E"/>
    <w:rsid w:val="000D0239"/>
    <w:rsid w:val="000D0671"/>
    <w:rsid w:val="000D0F5C"/>
    <w:rsid w:val="000D1285"/>
    <w:rsid w:val="000D3494"/>
    <w:rsid w:val="000D3ECD"/>
    <w:rsid w:val="000D6C75"/>
    <w:rsid w:val="000D7014"/>
    <w:rsid w:val="000D73D5"/>
    <w:rsid w:val="000E0464"/>
    <w:rsid w:val="000E1F30"/>
    <w:rsid w:val="000E3B14"/>
    <w:rsid w:val="000E5DCC"/>
    <w:rsid w:val="000E6835"/>
    <w:rsid w:val="000E7AE9"/>
    <w:rsid w:val="000F0C9E"/>
    <w:rsid w:val="000F1F9B"/>
    <w:rsid w:val="000F2FA2"/>
    <w:rsid w:val="000F3196"/>
    <w:rsid w:val="000F407B"/>
    <w:rsid w:val="000F4462"/>
    <w:rsid w:val="000F5055"/>
    <w:rsid w:val="000F5547"/>
    <w:rsid w:val="000F563F"/>
    <w:rsid w:val="000F5820"/>
    <w:rsid w:val="000F6425"/>
    <w:rsid w:val="000F71DE"/>
    <w:rsid w:val="000F7FF8"/>
    <w:rsid w:val="00100490"/>
    <w:rsid w:val="001005E7"/>
    <w:rsid w:val="00100FA1"/>
    <w:rsid w:val="0010238A"/>
    <w:rsid w:val="00103AB9"/>
    <w:rsid w:val="00104A89"/>
    <w:rsid w:val="001050A9"/>
    <w:rsid w:val="001056EE"/>
    <w:rsid w:val="00107395"/>
    <w:rsid w:val="00107F86"/>
    <w:rsid w:val="00110715"/>
    <w:rsid w:val="00110B11"/>
    <w:rsid w:val="00110F1C"/>
    <w:rsid w:val="00113661"/>
    <w:rsid w:val="00113712"/>
    <w:rsid w:val="00116C97"/>
    <w:rsid w:val="00116EAF"/>
    <w:rsid w:val="001177F3"/>
    <w:rsid w:val="00120617"/>
    <w:rsid w:val="0012572B"/>
    <w:rsid w:val="00126508"/>
    <w:rsid w:val="001272ED"/>
    <w:rsid w:val="00127FDA"/>
    <w:rsid w:val="00130190"/>
    <w:rsid w:val="001314C0"/>
    <w:rsid w:val="00132383"/>
    <w:rsid w:val="00132B20"/>
    <w:rsid w:val="00133082"/>
    <w:rsid w:val="00133A65"/>
    <w:rsid w:val="00134EC1"/>
    <w:rsid w:val="00137362"/>
    <w:rsid w:val="00137F1D"/>
    <w:rsid w:val="0014109E"/>
    <w:rsid w:val="0014124E"/>
    <w:rsid w:val="001412A8"/>
    <w:rsid w:val="001435CF"/>
    <w:rsid w:val="00143997"/>
    <w:rsid w:val="00143A14"/>
    <w:rsid w:val="001455C0"/>
    <w:rsid w:val="0014578F"/>
    <w:rsid w:val="00145A5C"/>
    <w:rsid w:val="00145B7A"/>
    <w:rsid w:val="00147F50"/>
    <w:rsid w:val="0015069E"/>
    <w:rsid w:val="00150CA9"/>
    <w:rsid w:val="0015253A"/>
    <w:rsid w:val="001543B7"/>
    <w:rsid w:val="001610BE"/>
    <w:rsid w:val="00161D46"/>
    <w:rsid w:val="00164D3B"/>
    <w:rsid w:val="00166157"/>
    <w:rsid w:val="00167790"/>
    <w:rsid w:val="00167ECE"/>
    <w:rsid w:val="001712AE"/>
    <w:rsid w:val="00171C8C"/>
    <w:rsid w:val="00171D4B"/>
    <w:rsid w:val="001727D0"/>
    <w:rsid w:val="001736A7"/>
    <w:rsid w:val="001736E8"/>
    <w:rsid w:val="0017479E"/>
    <w:rsid w:val="00175796"/>
    <w:rsid w:val="001764A5"/>
    <w:rsid w:val="001764DA"/>
    <w:rsid w:val="00177EDB"/>
    <w:rsid w:val="0018362B"/>
    <w:rsid w:val="00183DD5"/>
    <w:rsid w:val="0018523E"/>
    <w:rsid w:val="00185A8A"/>
    <w:rsid w:val="00186A5E"/>
    <w:rsid w:val="00187A02"/>
    <w:rsid w:val="00187C81"/>
    <w:rsid w:val="00190806"/>
    <w:rsid w:val="00190ED3"/>
    <w:rsid w:val="001920AC"/>
    <w:rsid w:val="00192978"/>
    <w:rsid w:val="00194DE0"/>
    <w:rsid w:val="0019652B"/>
    <w:rsid w:val="00197BD6"/>
    <w:rsid w:val="00197F00"/>
    <w:rsid w:val="001A0213"/>
    <w:rsid w:val="001A45A9"/>
    <w:rsid w:val="001A4CD6"/>
    <w:rsid w:val="001A53D3"/>
    <w:rsid w:val="001A58C1"/>
    <w:rsid w:val="001A5B33"/>
    <w:rsid w:val="001A61A2"/>
    <w:rsid w:val="001A7074"/>
    <w:rsid w:val="001B02D2"/>
    <w:rsid w:val="001B17CC"/>
    <w:rsid w:val="001B1AE0"/>
    <w:rsid w:val="001B3E09"/>
    <w:rsid w:val="001B5C7F"/>
    <w:rsid w:val="001B6586"/>
    <w:rsid w:val="001B6C8D"/>
    <w:rsid w:val="001B71C2"/>
    <w:rsid w:val="001C016D"/>
    <w:rsid w:val="001C07C7"/>
    <w:rsid w:val="001C2C64"/>
    <w:rsid w:val="001C30D1"/>
    <w:rsid w:val="001C3A18"/>
    <w:rsid w:val="001C4877"/>
    <w:rsid w:val="001D0B57"/>
    <w:rsid w:val="001D2B92"/>
    <w:rsid w:val="001D41EE"/>
    <w:rsid w:val="001D4659"/>
    <w:rsid w:val="001D478B"/>
    <w:rsid w:val="001D4C9B"/>
    <w:rsid w:val="001D64E2"/>
    <w:rsid w:val="001D6ABB"/>
    <w:rsid w:val="001D72D9"/>
    <w:rsid w:val="001E0544"/>
    <w:rsid w:val="001E0BD2"/>
    <w:rsid w:val="001E0D90"/>
    <w:rsid w:val="001E1124"/>
    <w:rsid w:val="001E34D3"/>
    <w:rsid w:val="001E4A60"/>
    <w:rsid w:val="001E7D21"/>
    <w:rsid w:val="001F082A"/>
    <w:rsid w:val="001F0E18"/>
    <w:rsid w:val="001F18B5"/>
    <w:rsid w:val="001F45BF"/>
    <w:rsid w:val="001F4642"/>
    <w:rsid w:val="001F7CCC"/>
    <w:rsid w:val="001F7CE3"/>
    <w:rsid w:val="002001FD"/>
    <w:rsid w:val="002010EF"/>
    <w:rsid w:val="00202AD2"/>
    <w:rsid w:val="00202E9D"/>
    <w:rsid w:val="00203BEF"/>
    <w:rsid w:val="002068A9"/>
    <w:rsid w:val="00207017"/>
    <w:rsid w:val="002079DC"/>
    <w:rsid w:val="0021040D"/>
    <w:rsid w:val="0021239A"/>
    <w:rsid w:val="00212712"/>
    <w:rsid w:val="00213276"/>
    <w:rsid w:val="002153A8"/>
    <w:rsid w:val="002174B8"/>
    <w:rsid w:val="00217F66"/>
    <w:rsid w:val="002213D7"/>
    <w:rsid w:val="0022263F"/>
    <w:rsid w:val="00222F91"/>
    <w:rsid w:val="002232FE"/>
    <w:rsid w:val="00223536"/>
    <w:rsid w:val="00223CC7"/>
    <w:rsid w:val="00223D13"/>
    <w:rsid w:val="0022518A"/>
    <w:rsid w:val="00225ECD"/>
    <w:rsid w:val="0022600D"/>
    <w:rsid w:val="00227452"/>
    <w:rsid w:val="00230F9E"/>
    <w:rsid w:val="00231085"/>
    <w:rsid w:val="002332C5"/>
    <w:rsid w:val="0023416A"/>
    <w:rsid w:val="002343B9"/>
    <w:rsid w:val="0023448A"/>
    <w:rsid w:val="0023571A"/>
    <w:rsid w:val="002358F9"/>
    <w:rsid w:val="0023611A"/>
    <w:rsid w:val="00236BDA"/>
    <w:rsid w:val="002371F5"/>
    <w:rsid w:val="002414A4"/>
    <w:rsid w:val="002420E9"/>
    <w:rsid w:val="00244AFE"/>
    <w:rsid w:val="00244CA0"/>
    <w:rsid w:val="00244CB0"/>
    <w:rsid w:val="00244FDB"/>
    <w:rsid w:val="002450AF"/>
    <w:rsid w:val="00246A22"/>
    <w:rsid w:val="00251DEA"/>
    <w:rsid w:val="00251FE5"/>
    <w:rsid w:val="002524B6"/>
    <w:rsid w:val="00252B63"/>
    <w:rsid w:val="00253C7B"/>
    <w:rsid w:val="0025555C"/>
    <w:rsid w:val="00255CDE"/>
    <w:rsid w:val="00260A17"/>
    <w:rsid w:val="0026124A"/>
    <w:rsid w:val="002617F3"/>
    <w:rsid w:val="0026252B"/>
    <w:rsid w:val="00270AF8"/>
    <w:rsid w:val="00274174"/>
    <w:rsid w:val="002754F1"/>
    <w:rsid w:val="002761BB"/>
    <w:rsid w:val="002769C9"/>
    <w:rsid w:val="00276B79"/>
    <w:rsid w:val="00281908"/>
    <w:rsid w:val="00281B26"/>
    <w:rsid w:val="002827CD"/>
    <w:rsid w:val="00282B51"/>
    <w:rsid w:val="00282DC4"/>
    <w:rsid w:val="00284593"/>
    <w:rsid w:val="00284D6F"/>
    <w:rsid w:val="00284F28"/>
    <w:rsid w:val="00285E43"/>
    <w:rsid w:val="0028709E"/>
    <w:rsid w:val="002874D9"/>
    <w:rsid w:val="00290DB5"/>
    <w:rsid w:val="00291104"/>
    <w:rsid w:val="002920E8"/>
    <w:rsid w:val="00292CDC"/>
    <w:rsid w:val="002949D8"/>
    <w:rsid w:val="0029554B"/>
    <w:rsid w:val="002A0B65"/>
    <w:rsid w:val="002A3067"/>
    <w:rsid w:val="002A4CAF"/>
    <w:rsid w:val="002A4FE7"/>
    <w:rsid w:val="002A509D"/>
    <w:rsid w:val="002A5CF9"/>
    <w:rsid w:val="002B0C83"/>
    <w:rsid w:val="002B1538"/>
    <w:rsid w:val="002B3DC3"/>
    <w:rsid w:val="002B4654"/>
    <w:rsid w:val="002B51FA"/>
    <w:rsid w:val="002B63BD"/>
    <w:rsid w:val="002B6EB0"/>
    <w:rsid w:val="002C0034"/>
    <w:rsid w:val="002C0A90"/>
    <w:rsid w:val="002C1505"/>
    <w:rsid w:val="002C1714"/>
    <w:rsid w:val="002C229C"/>
    <w:rsid w:val="002C2500"/>
    <w:rsid w:val="002C25B8"/>
    <w:rsid w:val="002C2F40"/>
    <w:rsid w:val="002C30F4"/>
    <w:rsid w:val="002C316E"/>
    <w:rsid w:val="002C3240"/>
    <w:rsid w:val="002C337D"/>
    <w:rsid w:val="002C455D"/>
    <w:rsid w:val="002C4AF7"/>
    <w:rsid w:val="002C4E70"/>
    <w:rsid w:val="002C6548"/>
    <w:rsid w:val="002D05E5"/>
    <w:rsid w:val="002D0995"/>
    <w:rsid w:val="002D0AED"/>
    <w:rsid w:val="002D12D6"/>
    <w:rsid w:val="002D2110"/>
    <w:rsid w:val="002D251E"/>
    <w:rsid w:val="002D27D4"/>
    <w:rsid w:val="002D3137"/>
    <w:rsid w:val="002D316F"/>
    <w:rsid w:val="002D322C"/>
    <w:rsid w:val="002D3702"/>
    <w:rsid w:val="002D65CB"/>
    <w:rsid w:val="002D6A90"/>
    <w:rsid w:val="002E09A4"/>
    <w:rsid w:val="002E1344"/>
    <w:rsid w:val="002E151D"/>
    <w:rsid w:val="002E15A3"/>
    <w:rsid w:val="002E1803"/>
    <w:rsid w:val="002E1E06"/>
    <w:rsid w:val="002E4FA0"/>
    <w:rsid w:val="002E5538"/>
    <w:rsid w:val="002E780F"/>
    <w:rsid w:val="002E78CA"/>
    <w:rsid w:val="002E7D5E"/>
    <w:rsid w:val="002F065B"/>
    <w:rsid w:val="002F0BD2"/>
    <w:rsid w:val="002F0C45"/>
    <w:rsid w:val="002F1324"/>
    <w:rsid w:val="002F366A"/>
    <w:rsid w:val="002F4A3F"/>
    <w:rsid w:val="002F59AD"/>
    <w:rsid w:val="002F62F2"/>
    <w:rsid w:val="002F6737"/>
    <w:rsid w:val="002F6EE6"/>
    <w:rsid w:val="002F74EA"/>
    <w:rsid w:val="002F7AB3"/>
    <w:rsid w:val="00300720"/>
    <w:rsid w:val="00300B9C"/>
    <w:rsid w:val="00302217"/>
    <w:rsid w:val="00302245"/>
    <w:rsid w:val="00302361"/>
    <w:rsid w:val="0030320E"/>
    <w:rsid w:val="00303EEF"/>
    <w:rsid w:val="0030464F"/>
    <w:rsid w:val="00306E57"/>
    <w:rsid w:val="0030736A"/>
    <w:rsid w:val="00307E26"/>
    <w:rsid w:val="00310317"/>
    <w:rsid w:val="00311786"/>
    <w:rsid w:val="00311830"/>
    <w:rsid w:val="0031217F"/>
    <w:rsid w:val="00313791"/>
    <w:rsid w:val="00313839"/>
    <w:rsid w:val="0031449D"/>
    <w:rsid w:val="00315412"/>
    <w:rsid w:val="0031648F"/>
    <w:rsid w:val="003166E4"/>
    <w:rsid w:val="0031729D"/>
    <w:rsid w:val="0032166E"/>
    <w:rsid w:val="00321C22"/>
    <w:rsid w:val="00323133"/>
    <w:rsid w:val="00325207"/>
    <w:rsid w:val="00325645"/>
    <w:rsid w:val="00325D61"/>
    <w:rsid w:val="003268EC"/>
    <w:rsid w:val="00326AE9"/>
    <w:rsid w:val="003270A5"/>
    <w:rsid w:val="00327CD6"/>
    <w:rsid w:val="003319A8"/>
    <w:rsid w:val="00331E5E"/>
    <w:rsid w:val="003331CC"/>
    <w:rsid w:val="00333C39"/>
    <w:rsid w:val="00333D88"/>
    <w:rsid w:val="003359D7"/>
    <w:rsid w:val="00340232"/>
    <w:rsid w:val="0034087C"/>
    <w:rsid w:val="003409A9"/>
    <w:rsid w:val="0034254F"/>
    <w:rsid w:val="003452B2"/>
    <w:rsid w:val="00345D7F"/>
    <w:rsid w:val="00346870"/>
    <w:rsid w:val="00346BED"/>
    <w:rsid w:val="00347A45"/>
    <w:rsid w:val="00350D42"/>
    <w:rsid w:val="00351855"/>
    <w:rsid w:val="00355863"/>
    <w:rsid w:val="00355B00"/>
    <w:rsid w:val="00356532"/>
    <w:rsid w:val="00356A92"/>
    <w:rsid w:val="00360743"/>
    <w:rsid w:val="003613C4"/>
    <w:rsid w:val="0036155C"/>
    <w:rsid w:val="00362845"/>
    <w:rsid w:val="0036340A"/>
    <w:rsid w:val="00363D08"/>
    <w:rsid w:val="003652EA"/>
    <w:rsid w:val="00365FAC"/>
    <w:rsid w:val="00367208"/>
    <w:rsid w:val="0036755F"/>
    <w:rsid w:val="00367E82"/>
    <w:rsid w:val="003706F0"/>
    <w:rsid w:val="00370A4C"/>
    <w:rsid w:val="00372058"/>
    <w:rsid w:val="00372219"/>
    <w:rsid w:val="003723BB"/>
    <w:rsid w:val="003740B9"/>
    <w:rsid w:val="00374A8E"/>
    <w:rsid w:val="00374BF5"/>
    <w:rsid w:val="00375F69"/>
    <w:rsid w:val="003776B2"/>
    <w:rsid w:val="00377992"/>
    <w:rsid w:val="00377C43"/>
    <w:rsid w:val="00380B42"/>
    <w:rsid w:val="00382AEA"/>
    <w:rsid w:val="00383C11"/>
    <w:rsid w:val="00383FD4"/>
    <w:rsid w:val="0038538F"/>
    <w:rsid w:val="00386306"/>
    <w:rsid w:val="00386E34"/>
    <w:rsid w:val="00386EA8"/>
    <w:rsid w:val="00386FBC"/>
    <w:rsid w:val="00390D02"/>
    <w:rsid w:val="0039143E"/>
    <w:rsid w:val="0039261C"/>
    <w:rsid w:val="00393068"/>
    <w:rsid w:val="00393157"/>
    <w:rsid w:val="00393718"/>
    <w:rsid w:val="0039431C"/>
    <w:rsid w:val="00394A36"/>
    <w:rsid w:val="003958B4"/>
    <w:rsid w:val="00395F36"/>
    <w:rsid w:val="00395FC0"/>
    <w:rsid w:val="003960FF"/>
    <w:rsid w:val="003977E5"/>
    <w:rsid w:val="00397CB4"/>
    <w:rsid w:val="003A272F"/>
    <w:rsid w:val="003A5706"/>
    <w:rsid w:val="003A5CA4"/>
    <w:rsid w:val="003A70B5"/>
    <w:rsid w:val="003B0718"/>
    <w:rsid w:val="003B11D9"/>
    <w:rsid w:val="003B13FC"/>
    <w:rsid w:val="003B175C"/>
    <w:rsid w:val="003B2B2C"/>
    <w:rsid w:val="003B3CC5"/>
    <w:rsid w:val="003B3E57"/>
    <w:rsid w:val="003B582F"/>
    <w:rsid w:val="003B5F8B"/>
    <w:rsid w:val="003B6350"/>
    <w:rsid w:val="003B7108"/>
    <w:rsid w:val="003B7CE8"/>
    <w:rsid w:val="003B7D4B"/>
    <w:rsid w:val="003C0190"/>
    <w:rsid w:val="003C204E"/>
    <w:rsid w:val="003C2751"/>
    <w:rsid w:val="003C2877"/>
    <w:rsid w:val="003C443C"/>
    <w:rsid w:val="003C518F"/>
    <w:rsid w:val="003C626F"/>
    <w:rsid w:val="003C6C2D"/>
    <w:rsid w:val="003C6FA2"/>
    <w:rsid w:val="003D0DB0"/>
    <w:rsid w:val="003D160B"/>
    <w:rsid w:val="003D1B2B"/>
    <w:rsid w:val="003D1C84"/>
    <w:rsid w:val="003D24E2"/>
    <w:rsid w:val="003D26CF"/>
    <w:rsid w:val="003D2F26"/>
    <w:rsid w:val="003D3176"/>
    <w:rsid w:val="003D3189"/>
    <w:rsid w:val="003D378A"/>
    <w:rsid w:val="003D3A0D"/>
    <w:rsid w:val="003D4658"/>
    <w:rsid w:val="003D4D46"/>
    <w:rsid w:val="003D5DA2"/>
    <w:rsid w:val="003D5DDC"/>
    <w:rsid w:val="003D63A5"/>
    <w:rsid w:val="003D7E60"/>
    <w:rsid w:val="003E0CAA"/>
    <w:rsid w:val="003E236B"/>
    <w:rsid w:val="003E29E8"/>
    <w:rsid w:val="003E363C"/>
    <w:rsid w:val="003E3769"/>
    <w:rsid w:val="003E62CF"/>
    <w:rsid w:val="003E7632"/>
    <w:rsid w:val="003F0014"/>
    <w:rsid w:val="003F21AE"/>
    <w:rsid w:val="003F2BF9"/>
    <w:rsid w:val="003F5237"/>
    <w:rsid w:val="003F5341"/>
    <w:rsid w:val="003F5A9A"/>
    <w:rsid w:val="003F610F"/>
    <w:rsid w:val="003F6E31"/>
    <w:rsid w:val="003F6E66"/>
    <w:rsid w:val="003F77D2"/>
    <w:rsid w:val="003F79F2"/>
    <w:rsid w:val="00400390"/>
    <w:rsid w:val="00401A01"/>
    <w:rsid w:val="0040304A"/>
    <w:rsid w:val="00403BE3"/>
    <w:rsid w:val="00403DCC"/>
    <w:rsid w:val="004046BD"/>
    <w:rsid w:val="00404A2B"/>
    <w:rsid w:val="00405D75"/>
    <w:rsid w:val="004078A4"/>
    <w:rsid w:val="00407EEE"/>
    <w:rsid w:val="0041105F"/>
    <w:rsid w:val="00412471"/>
    <w:rsid w:val="0041261E"/>
    <w:rsid w:val="0041282F"/>
    <w:rsid w:val="004128CA"/>
    <w:rsid w:val="00413182"/>
    <w:rsid w:val="00413464"/>
    <w:rsid w:val="00413C4E"/>
    <w:rsid w:val="0041429D"/>
    <w:rsid w:val="0041460B"/>
    <w:rsid w:val="00415C41"/>
    <w:rsid w:val="00415CDD"/>
    <w:rsid w:val="004204F7"/>
    <w:rsid w:val="00420DF8"/>
    <w:rsid w:val="0042127E"/>
    <w:rsid w:val="00421435"/>
    <w:rsid w:val="0042494F"/>
    <w:rsid w:val="00425769"/>
    <w:rsid w:val="004266E6"/>
    <w:rsid w:val="00426C05"/>
    <w:rsid w:val="0042790F"/>
    <w:rsid w:val="00427CB1"/>
    <w:rsid w:val="00430974"/>
    <w:rsid w:val="004313A4"/>
    <w:rsid w:val="004319EB"/>
    <w:rsid w:val="004327DE"/>
    <w:rsid w:val="00432BF4"/>
    <w:rsid w:val="00433239"/>
    <w:rsid w:val="00434E88"/>
    <w:rsid w:val="00434EAA"/>
    <w:rsid w:val="00434EEE"/>
    <w:rsid w:val="0043566B"/>
    <w:rsid w:val="0043610C"/>
    <w:rsid w:val="00436C24"/>
    <w:rsid w:val="0043720A"/>
    <w:rsid w:val="0044075B"/>
    <w:rsid w:val="0044078A"/>
    <w:rsid w:val="00442D1B"/>
    <w:rsid w:val="0044318F"/>
    <w:rsid w:val="00445B7F"/>
    <w:rsid w:val="004460CB"/>
    <w:rsid w:val="0044624A"/>
    <w:rsid w:val="00450A07"/>
    <w:rsid w:val="00452EF8"/>
    <w:rsid w:val="0045323C"/>
    <w:rsid w:val="00453BCB"/>
    <w:rsid w:val="00453D31"/>
    <w:rsid w:val="00454683"/>
    <w:rsid w:val="004549FC"/>
    <w:rsid w:val="00456ABA"/>
    <w:rsid w:val="00456C0C"/>
    <w:rsid w:val="00460FE6"/>
    <w:rsid w:val="00461F2D"/>
    <w:rsid w:val="00462907"/>
    <w:rsid w:val="00462B8B"/>
    <w:rsid w:val="00463647"/>
    <w:rsid w:val="00463C2B"/>
    <w:rsid w:val="004640E7"/>
    <w:rsid w:val="004645FC"/>
    <w:rsid w:val="0046473F"/>
    <w:rsid w:val="00464CD0"/>
    <w:rsid w:val="00465D49"/>
    <w:rsid w:val="00465DA5"/>
    <w:rsid w:val="004662A0"/>
    <w:rsid w:val="0046651F"/>
    <w:rsid w:val="004668D3"/>
    <w:rsid w:val="00466DA4"/>
    <w:rsid w:val="00466F61"/>
    <w:rsid w:val="00470722"/>
    <w:rsid w:val="00470BB5"/>
    <w:rsid w:val="004710ED"/>
    <w:rsid w:val="00474CB7"/>
    <w:rsid w:val="00476123"/>
    <w:rsid w:val="0047654B"/>
    <w:rsid w:val="00476E1D"/>
    <w:rsid w:val="00480E14"/>
    <w:rsid w:val="0048531A"/>
    <w:rsid w:val="0048554D"/>
    <w:rsid w:val="0048631A"/>
    <w:rsid w:val="00487B1B"/>
    <w:rsid w:val="00490E40"/>
    <w:rsid w:val="0049462B"/>
    <w:rsid w:val="00496146"/>
    <w:rsid w:val="00496252"/>
    <w:rsid w:val="004975FF"/>
    <w:rsid w:val="00497C03"/>
    <w:rsid w:val="004A138A"/>
    <w:rsid w:val="004A1855"/>
    <w:rsid w:val="004A22D9"/>
    <w:rsid w:val="004A263E"/>
    <w:rsid w:val="004A30C8"/>
    <w:rsid w:val="004A47F3"/>
    <w:rsid w:val="004A5874"/>
    <w:rsid w:val="004A5917"/>
    <w:rsid w:val="004A5FD6"/>
    <w:rsid w:val="004A66F5"/>
    <w:rsid w:val="004A69C3"/>
    <w:rsid w:val="004A6AC4"/>
    <w:rsid w:val="004B02F6"/>
    <w:rsid w:val="004B069E"/>
    <w:rsid w:val="004B3D72"/>
    <w:rsid w:val="004B4180"/>
    <w:rsid w:val="004B470D"/>
    <w:rsid w:val="004B6302"/>
    <w:rsid w:val="004B6A0F"/>
    <w:rsid w:val="004B75E8"/>
    <w:rsid w:val="004B7E26"/>
    <w:rsid w:val="004C01D2"/>
    <w:rsid w:val="004C1A96"/>
    <w:rsid w:val="004C1B81"/>
    <w:rsid w:val="004C25AB"/>
    <w:rsid w:val="004C29FB"/>
    <w:rsid w:val="004C30FD"/>
    <w:rsid w:val="004C39E4"/>
    <w:rsid w:val="004C3A1C"/>
    <w:rsid w:val="004C4EA6"/>
    <w:rsid w:val="004C4F89"/>
    <w:rsid w:val="004C51FD"/>
    <w:rsid w:val="004C666F"/>
    <w:rsid w:val="004D0259"/>
    <w:rsid w:val="004D0BAD"/>
    <w:rsid w:val="004D1FA2"/>
    <w:rsid w:val="004D2B3C"/>
    <w:rsid w:val="004D2B95"/>
    <w:rsid w:val="004D2E20"/>
    <w:rsid w:val="004D579C"/>
    <w:rsid w:val="004D57A5"/>
    <w:rsid w:val="004D5BE9"/>
    <w:rsid w:val="004D5E17"/>
    <w:rsid w:val="004E1DEC"/>
    <w:rsid w:val="004E2128"/>
    <w:rsid w:val="004E2722"/>
    <w:rsid w:val="004E294C"/>
    <w:rsid w:val="004E3400"/>
    <w:rsid w:val="004E3808"/>
    <w:rsid w:val="004E4A2D"/>
    <w:rsid w:val="004E4AC8"/>
    <w:rsid w:val="004E4D22"/>
    <w:rsid w:val="004E5FBC"/>
    <w:rsid w:val="004E65D6"/>
    <w:rsid w:val="004E69F7"/>
    <w:rsid w:val="004E6EB6"/>
    <w:rsid w:val="004E6ECF"/>
    <w:rsid w:val="004E70E0"/>
    <w:rsid w:val="004E7618"/>
    <w:rsid w:val="004E797E"/>
    <w:rsid w:val="004E7B8F"/>
    <w:rsid w:val="004F2021"/>
    <w:rsid w:val="004F25E7"/>
    <w:rsid w:val="004F4EEE"/>
    <w:rsid w:val="004F6160"/>
    <w:rsid w:val="00500380"/>
    <w:rsid w:val="005018CF"/>
    <w:rsid w:val="0050277C"/>
    <w:rsid w:val="00502E12"/>
    <w:rsid w:val="005040AA"/>
    <w:rsid w:val="00504EB5"/>
    <w:rsid w:val="005059B1"/>
    <w:rsid w:val="00505F73"/>
    <w:rsid w:val="0050633C"/>
    <w:rsid w:val="0050765F"/>
    <w:rsid w:val="005079E5"/>
    <w:rsid w:val="005119E5"/>
    <w:rsid w:val="00512D2E"/>
    <w:rsid w:val="00513248"/>
    <w:rsid w:val="00513D2A"/>
    <w:rsid w:val="005153CD"/>
    <w:rsid w:val="00515716"/>
    <w:rsid w:val="0051619E"/>
    <w:rsid w:val="00516A10"/>
    <w:rsid w:val="00516EFD"/>
    <w:rsid w:val="00517D41"/>
    <w:rsid w:val="005212D9"/>
    <w:rsid w:val="00522D0B"/>
    <w:rsid w:val="00522FD2"/>
    <w:rsid w:val="00524135"/>
    <w:rsid w:val="00525671"/>
    <w:rsid w:val="00525971"/>
    <w:rsid w:val="00525F59"/>
    <w:rsid w:val="00527DB6"/>
    <w:rsid w:val="0053224F"/>
    <w:rsid w:val="00533CD5"/>
    <w:rsid w:val="005342A7"/>
    <w:rsid w:val="005346FC"/>
    <w:rsid w:val="00534FA4"/>
    <w:rsid w:val="00535454"/>
    <w:rsid w:val="00535463"/>
    <w:rsid w:val="005362C4"/>
    <w:rsid w:val="00537410"/>
    <w:rsid w:val="005409E7"/>
    <w:rsid w:val="00541017"/>
    <w:rsid w:val="00542560"/>
    <w:rsid w:val="005429D1"/>
    <w:rsid w:val="0054312F"/>
    <w:rsid w:val="00544B28"/>
    <w:rsid w:val="0054514D"/>
    <w:rsid w:val="005453A2"/>
    <w:rsid w:val="00545512"/>
    <w:rsid w:val="00546852"/>
    <w:rsid w:val="00546CE2"/>
    <w:rsid w:val="00547CA2"/>
    <w:rsid w:val="0055062E"/>
    <w:rsid w:val="0055081A"/>
    <w:rsid w:val="00551C16"/>
    <w:rsid w:val="00552AC1"/>
    <w:rsid w:val="00552EC0"/>
    <w:rsid w:val="00553790"/>
    <w:rsid w:val="00553911"/>
    <w:rsid w:val="00553CDB"/>
    <w:rsid w:val="0055566E"/>
    <w:rsid w:val="00556920"/>
    <w:rsid w:val="0055749C"/>
    <w:rsid w:val="005574EE"/>
    <w:rsid w:val="0055750D"/>
    <w:rsid w:val="00560067"/>
    <w:rsid w:val="005614B6"/>
    <w:rsid w:val="0056162E"/>
    <w:rsid w:val="005630FF"/>
    <w:rsid w:val="00563B0C"/>
    <w:rsid w:val="00563D90"/>
    <w:rsid w:val="005644D8"/>
    <w:rsid w:val="00564D17"/>
    <w:rsid w:val="00566359"/>
    <w:rsid w:val="005666D8"/>
    <w:rsid w:val="0057077F"/>
    <w:rsid w:val="005707E7"/>
    <w:rsid w:val="00570ADF"/>
    <w:rsid w:val="005714C8"/>
    <w:rsid w:val="00571746"/>
    <w:rsid w:val="00571A89"/>
    <w:rsid w:val="00571C24"/>
    <w:rsid w:val="0057398D"/>
    <w:rsid w:val="00573B28"/>
    <w:rsid w:val="00574E1C"/>
    <w:rsid w:val="0057552A"/>
    <w:rsid w:val="00575583"/>
    <w:rsid w:val="0057565F"/>
    <w:rsid w:val="00576040"/>
    <w:rsid w:val="00576A43"/>
    <w:rsid w:val="005779A2"/>
    <w:rsid w:val="00577E90"/>
    <w:rsid w:val="005806CF"/>
    <w:rsid w:val="005807FD"/>
    <w:rsid w:val="00580B17"/>
    <w:rsid w:val="00581B85"/>
    <w:rsid w:val="0058378D"/>
    <w:rsid w:val="00584517"/>
    <w:rsid w:val="0058534E"/>
    <w:rsid w:val="0058566A"/>
    <w:rsid w:val="005856F0"/>
    <w:rsid w:val="0058576A"/>
    <w:rsid w:val="00585F03"/>
    <w:rsid w:val="005864F1"/>
    <w:rsid w:val="00586EC3"/>
    <w:rsid w:val="005874A4"/>
    <w:rsid w:val="0059011F"/>
    <w:rsid w:val="0059014E"/>
    <w:rsid w:val="0059039F"/>
    <w:rsid w:val="00590F02"/>
    <w:rsid w:val="005923B7"/>
    <w:rsid w:val="00593325"/>
    <w:rsid w:val="005935C7"/>
    <w:rsid w:val="00595C8D"/>
    <w:rsid w:val="0059674D"/>
    <w:rsid w:val="005978ED"/>
    <w:rsid w:val="005A20F3"/>
    <w:rsid w:val="005A2A28"/>
    <w:rsid w:val="005A2A31"/>
    <w:rsid w:val="005A3A9A"/>
    <w:rsid w:val="005A3C12"/>
    <w:rsid w:val="005A4210"/>
    <w:rsid w:val="005A482B"/>
    <w:rsid w:val="005A5C4D"/>
    <w:rsid w:val="005A711B"/>
    <w:rsid w:val="005B0001"/>
    <w:rsid w:val="005B02A5"/>
    <w:rsid w:val="005B1EFF"/>
    <w:rsid w:val="005B1F79"/>
    <w:rsid w:val="005B26C6"/>
    <w:rsid w:val="005B3A50"/>
    <w:rsid w:val="005B722A"/>
    <w:rsid w:val="005B75A3"/>
    <w:rsid w:val="005B7932"/>
    <w:rsid w:val="005C0BA6"/>
    <w:rsid w:val="005C1371"/>
    <w:rsid w:val="005C4847"/>
    <w:rsid w:val="005C4C31"/>
    <w:rsid w:val="005C5691"/>
    <w:rsid w:val="005C6889"/>
    <w:rsid w:val="005C779F"/>
    <w:rsid w:val="005D1320"/>
    <w:rsid w:val="005D4C90"/>
    <w:rsid w:val="005D753D"/>
    <w:rsid w:val="005D7EE0"/>
    <w:rsid w:val="005E0C84"/>
    <w:rsid w:val="005E178F"/>
    <w:rsid w:val="005E366E"/>
    <w:rsid w:val="005E4B92"/>
    <w:rsid w:val="005E4EB9"/>
    <w:rsid w:val="005E6233"/>
    <w:rsid w:val="005E721E"/>
    <w:rsid w:val="005F0392"/>
    <w:rsid w:val="005F03FD"/>
    <w:rsid w:val="005F08E4"/>
    <w:rsid w:val="005F1948"/>
    <w:rsid w:val="005F21B8"/>
    <w:rsid w:val="005F2A29"/>
    <w:rsid w:val="005F3159"/>
    <w:rsid w:val="005F3CB5"/>
    <w:rsid w:val="005F506F"/>
    <w:rsid w:val="005F5903"/>
    <w:rsid w:val="005F5A46"/>
    <w:rsid w:val="005F7CBC"/>
    <w:rsid w:val="00600355"/>
    <w:rsid w:val="00600B46"/>
    <w:rsid w:val="00601C0F"/>
    <w:rsid w:val="00605652"/>
    <w:rsid w:val="006058FB"/>
    <w:rsid w:val="00606530"/>
    <w:rsid w:val="00606768"/>
    <w:rsid w:val="00606953"/>
    <w:rsid w:val="00607ED2"/>
    <w:rsid w:val="006107BB"/>
    <w:rsid w:val="00610A03"/>
    <w:rsid w:val="006110D2"/>
    <w:rsid w:val="00611763"/>
    <w:rsid w:val="00612F42"/>
    <w:rsid w:val="0061334B"/>
    <w:rsid w:val="006145CC"/>
    <w:rsid w:val="00614F43"/>
    <w:rsid w:val="006156C5"/>
    <w:rsid w:val="00616A1E"/>
    <w:rsid w:val="00616DA5"/>
    <w:rsid w:val="0061715E"/>
    <w:rsid w:val="0061768A"/>
    <w:rsid w:val="00620187"/>
    <w:rsid w:val="006205B5"/>
    <w:rsid w:val="00620ABA"/>
    <w:rsid w:val="00620FD7"/>
    <w:rsid w:val="0062422D"/>
    <w:rsid w:val="00624E44"/>
    <w:rsid w:val="00627850"/>
    <w:rsid w:val="00627994"/>
    <w:rsid w:val="00630309"/>
    <w:rsid w:val="006313C2"/>
    <w:rsid w:val="006323C2"/>
    <w:rsid w:val="00632EAA"/>
    <w:rsid w:val="00634620"/>
    <w:rsid w:val="00634C50"/>
    <w:rsid w:val="00635354"/>
    <w:rsid w:val="00635F97"/>
    <w:rsid w:val="00636FC8"/>
    <w:rsid w:val="00637161"/>
    <w:rsid w:val="0063747D"/>
    <w:rsid w:val="00640319"/>
    <w:rsid w:val="00640709"/>
    <w:rsid w:val="00641306"/>
    <w:rsid w:val="00644A2E"/>
    <w:rsid w:val="00645C17"/>
    <w:rsid w:val="006460C9"/>
    <w:rsid w:val="00646227"/>
    <w:rsid w:val="00646A26"/>
    <w:rsid w:val="00650F12"/>
    <w:rsid w:val="00651AD2"/>
    <w:rsid w:val="00651B79"/>
    <w:rsid w:val="006522B3"/>
    <w:rsid w:val="00652474"/>
    <w:rsid w:val="00652DF1"/>
    <w:rsid w:val="00654B0F"/>
    <w:rsid w:val="00655E7C"/>
    <w:rsid w:val="00656B74"/>
    <w:rsid w:val="00660DFC"/>
    <w:rsid w:val="00661A24"/>
    <w:rsid w:val="00662027"/>
    <w:rsid w:val="006632CC"/>
    <w:rsid w:val="00663AC3"/>
    <w:rsid w:val="00664E29"/>
    <w:rsid w:val="00665810"/>
    <w:rsid w:val="006665BD"/>
    <w:rsid w:val="00666F47"/>
    <w:rsid w:val="0066785E"/>
    <w:rsid w:val="006705C0"/>
    <w:rsid w:val="00671B89"/>
    <w:rsid w:val="00674099"/>
    <w:rsid w:val="00674216"/>
    <w:rsid w:val="00674A24"/>
    <w:rsid w:val="006760E6"/>
    <w:rsid w:val="006762C4"/>
    <w:rsid w:val="00676BCA"/>
    <w:rsid w:val="00676CAE"/>
    <w:rsid w:val="0067774E"/>
    <w:rsid w:val="00681C34"/>
    <w:rsid w:val="00681C98"/>
    <w:rsid w:val="006835B2"/>
    <w:rsid w:val="006840E4"/>
    <w:rsid w:val="006861E6"/>
    <w:rsid w:val="00686A1E"/>
    <w:rsid w:val="00686C62"/>
    <w:rsid w:val="00687AEB"/>
    <w:rsid w:val="0069016F"/>
    <w:rsid w:val="00692C31"/>
    <w:rsid w:val="00694ED8"/>
    <w:rsid w:val="00695353"/>
    <w:rsid w:val="006961CB"/>
    <w:rsid w:val="00696A15"/>
    <w:rsid w:val="006977ED"/>
    <w:rsid w:val="006978D0"/>
    <w:rsid w:val="006A0544"/>
    <w:rsid w:val="006A25B2"/>
    <w:rsid w:val="006A3024"/>
    <w:rsid w:val="006A5BAF"/>
    <w:rsid w:val="006A5C12"/>
    <w:rsid w:val="006A5C70"/>
    <w:rsid w:val="006A5EA6"/>
    <w:rsid w:val="006A5EAF"/>
    <w:rsid w:val="006A66D5"/>
    <w:rsid w:val="006A7673"/>
    <w:rsid w:val="006B085B"/>
    <w:rsid w:val="006B1B46"/>
    <w:rsid w:val="006B226A"/>
    <w:rsid w:val="006B3D9E"/>
    <w:rsid w:val="006B4365"/>
    <w:rsid w:val="006B43ED"/>
    <w:rsid w:val="006B4E6A"/>
    <w:rsid w:val="006B5CAC"/>
    <w:rsid w:val="006B6245"/>
    <w:rsid w:val="006B6250"/>
    <w:rsid w:val="006B79BF"/>
    <w:rsid w:val="006C041A"/>
    <w:rsid w:val="006C0698"/>
    <w:rsid w:val="006C189D"/>
    <w:rsid w:val="006C30A3"/>
    <w:rsid w:val="006C5615"/>
    <w:rsid w:val="006C5686"/>
    <w:rsid w:val="006C6D6C"/>
    <w:rsid w:val="006C6E26"/>
    <w:rsid w:val="006C7773"/>
    <w:rsid w:val="006C7A3E"/>
    <w:rsid w:val="006C7DA8"/>
    <w:rsid w:val="006D10C9"/>
    <w:rsid w:val="006D1101"/>
    <w:rsid w:val="006D1C67"/>
    <w:rsid w:val="006D2211"/>
    <w:rsid w:val="006D2BFC"/>
    <w:rsid w:val="006D2C41"/>
    <w:rsid w:val="006D3362"/>
    <w:rsid w:val="006D3AB5"/>
    <w:rsid w:val="006D4632"/>
    <w:rsid w:val="006D7825"/>
    <w:rsid w:val="006E01B0"/>
    <w:rsid w:val="006E0DD6"/>
    <w:rsid w:val="006E1A5F"/>
    <w:rsid w:val="006E2990"/>
    <w:rsid w:val="006E2AEB"/>
    <w:rsid w:val="006E2EF3"/>
    <w:rsid w:val="006E3133"/>
    <w:rsid w:val="006E4862"/>
    <w:rsid w:val="006E4CA2"/>
    <w:rsid w:val="006E5B8E"/>
    <w:rsid w:val="006E649E"/>
    <w:rsid w:val="006E6E65"/>
    <w:rsid w:val="006E7CDA"/>
    <w:rsid w:val="006F0B2D"/>
    <w:rsid w:val="006F23EE"/>
    <w:rsid w:val="006F2963"/>
    <w:rsid w:val="006F5ED8"/>
    <w:rsid w:val="006F616B"/>
    <w:rsid w:val="006F6842"/>
    <w:rsid w:val="006F7B84"/>
    <w:rsid w:val="00700827"/>
    <w:rsid w:val="00700E3A"/>
    <w:rsid w:val="00702337"/>
    <w:rsid w:val="007023F5"/>
    <w:rsid w:val="0070336C"/>
    <w:rsid w:val="007040B6"/>
    <w:rsid w:val="00704B1A"/>
    <w:rsid w:val="00705E9C"/>
    <w:rsid w:val="00710379"/>
    <w:rsid w:val="00710ECC"/>
    <w:rsid w:val="007120D5"/>
    <w:rsid w:val="0071433B"/>
    <w:rsid w:val="00714507"/>
    <w:rsid w:val="00715B5F"/>
    <w:rsid w:val="0071634B"/>
    <w:rsid w:val="00716578"/>
    <w:rsid w:val="00716E9C"/>
    <w:rsid w:val="00717594"/>
    <w:rsid w:val="007209A1"/>
    <w:rsid w:val="00721FA6"/>
    <w:rsid w:val="00722269"/>
    <w:rsid w:val="00723202"/>
    <w:rsid w:val="00724A98"/>
    <w:rsid w:val="00724AE9"/>
    <w:rsid w:val="007260AD"/>
    <w:rsid w:val="00726615"/>
    <w:rsid w:val="00726DA3"/>
    <w:rsid w:val="00732C36"/>
    <w:rsid w:val="0073327C"/>
    <w:rsid w:val="007332EE"/>
    <w:rsid w:val="007349E9"/>
    <w:rsid w:val="0073757C"/>
    <w:rsid w:val="007404FC"/>
    <w:rsid w:val="00740FF9"/>
    <w:rsid w:val="007413FC"/>
    <w:rsid w:val="0074165F"/>
    <w:rsid w:val="00741F9E"/>
    <w:rsid w:val="00744C82"/>
    <w:rsid w:val="007450F0"/>
    <w:rsid w:val="00745876"/>
    <w:rsid w:val="007462A5"/>
    <w:rsid w:val="007465E2"/>
    <w:rsid w:val="00746C5F"/>
    <w:rsid w:val="00746FA7"/>
    <w:rsid w:val="007477E9"/>
    <w:rsid w:val="00747A59"/>
    <w:rsid w:val="00750A44"/>
    <w:rsid w:val="00751D33"/>
    <w:rsid w:val="007536C9"/>
    <w:rsid w:val="00753F23"/>
    <w:rsid w:val="00754797"/>
    <w:rsid w:val="0075534E"/>
    <w:rsid w:val="007564F8"/>
    <w:rsid w:val="00756D41"/>
    <w:rsid w:val="00760E2F"/>
    <w:rsid w:val="0076131A"/>
    <w:rsid w:val="00763E35"/>
    <w:rsid w:val="00763EF3"/>
    <w:rsid w:val="007649E3"/>
    <w:rsid w:val="0076794D"/>
    <w:rsid w:val="00771F56"/>
    <w:rsid w:val="00772BBA"/>
    <w:rsid w:val="0077391B"/>
    <w:rsid w:val="0077475C"/>
    <w:rsid w:val="007756D2"/>
    <w:rsid w:val="00775E5D"/>
    <w:rsid w:val="007762CE"/>
    <w:rsid w:val="007800D4"/>
    <w:rsid w:val="0078052B"/>
    <w:rsid w:val="00780ACD"/>
    <w:rsid w:val="007817EE"/>
    <w:rsid w:val="00781DB0"/>
    <w:rsid w:val="00782796"/>
    <w:rsid w:val="00783A8C"/>
    <w:rsid w:val="00784123"/>
    <w:rsid w:val="00784DDA"/>
    <w:rsid w:val="00786C4E"/>
    <w:rsid w:val="0079091D"/>
    <w:rsid w:val="00791CB5"/>
    <w:rsid w:val="00792CDB"/>
    <w:rsid w:val="0079405B"/>
    <w:rsid w:val="00794E0C"/>
    <w:rsid w:val="0079551F"/>
    <w:rsid w:val="007958DD"/>
    <w:rsid w:val="00796435"/>
    <w:rsid w:val="00796623"/>
    <w:rsid w:val="007976EB"/>
    <w:rsid w:val="00797928"/>
    <w:rsid w:val="00797B9D"/>
    <w:rsid w:val="007A0449"/>
    <w:rsid w:val="007A04BC"/>
    <w:rsid w:val="007A11F3"/>
    <w:rsid w:val="007A19DD"/>
    <w:rsid w:val="007A1A7D"/>
    <w:rsid w:val="007A1D5F"/>
    <w:rsid w:val="007A259C"/>
    <w:rsid w:val="007A29A5"/>
    <w:rsid w:val="007A3521"/>
    <w:rsid w:val="007A3D5A"/>
    <w:rsid w:val="007A4BDF"/>
    <w:rsid w:val="007A5716"/>
    <w:rsid w:val="007A5CC9"/>
    <w:rsid w:val="007A6ABE"/>
    <w:rsid w:val="007A6F44"/>
    <w:rsid w:val="007B03FD"/>
    <w:rsid w:val="007B143D"/>
    <w:rsid w:val="007B165A"/>
    <w:rsid w:val="007B28F9"/>
    <w:rsid w:val="007B2A6E"/>
    <w:rsid w:val="007B3143"/>
    <w:rsid w:val="007B369A"/>
    <w:rsid w:val="007B5B04"/>
    <w:rsid w:val="007B5F28"/>
    <w:rsid w:val="007B62A1"/>
    <w:rsid w:val="007B657E"/>
    <w:rsid w:val="007B6965"/>
    <w:rsid w:val="007B6DC8"/>
    <w:rsid w:val="007B70E0"/>
    <w:rsid w:val="007C0D0E"/>
    <w:rsid w:val="007C14C9"/>
    <w:rsid w:val="007C436B"/>
    <w:rsid w:val="007C4FB1"/>
    <w:rsid w:val="007C54EC"/>
    <w:rsid w:val="007C6EA6"/>
    <w:rsid w:val="007C768A"/>
    <w:rsid w:val="007C7ADA"/>
    <w:rsid w:val="007D0095"/>
    <w:rsid w:val="007D063A"/>
    <w:rsid w:val="007D0C5D"/>
    <w:rsid w:val="007D1555"/>
    <w:rsid w:val="007D2C89"/>
    <w:rsid w:val="007D2CE2"/>
    <w:rsid w:val="007D339D"/>
    <w:rsid w:val="007D4A29"/>
    <w:rsid w:val="007D501A"/>
    <w:rsid w:val="007D6097"/>
    <w:rsid w:val="007D67F1"/>
    <w:rsid w:val="007E002E"/>
    <w:rsid w:val="007E06EC"/>
    <w:rsid w:val="007E1E98"/>
    <w:rsid w:val="007E38DE"/>
    <w:rsid w:val="007E62AE"/>
    <w:rsid w:val="007E67D6"/>
    <w:rsid w:val="007F037D"/>
    <w:rsid w:val="007F07BC"/>
    <w:rsid w:val="007F16E1"/>
    <w:rsid w:val="007F22F8"/>
    <w:rsid w:val="007F2818"/>
    <w:rsid w:val="007F2DDD"/>
    <w:rsid w:val="007F521E"/>
    <w:rsid w:val="007F5CD9"/>
    <w:rsid w:val="007F6064"/>
    <w:rsid w:val="007F640A"/>
    <w:rsid w:val="007F670C"/>
    <w:rsid w:val="007F6D7F"/>
    <w:rsid w:val="007F75E0"/>
    <w:rsid w:val="007F7A5F"/>
    <w:rsid w:val="008001AD"/>
    <w:rsid w:val="0080123B"/>
    <w:rsid w:val="00801E51"/>
    <w:rsid w:val="008025AC"/>
    <w:rsid w:val="00802D94"/>
    <w:rsid w:val="00804121"/>
    <w:rsid w:val="00804939"/>
    <w:rsid w:val="00804D8E"/>
    <w:rsid w:val="00805D8F"/>
    <w:rsid w:val="008068DA"/>
    <w:rsid w:val="00807818"/>
    <w:rsid w:val="00813511"/>
    <w:rsid w:val="008135A9"/>
    <w:rsid w:val="00813718"/>
    <w:rsid w:val="00815BC5"/>
    <w:rsid w:val="00815F08"/>
    <w:rsid w:val="00816D68"/>
    <w:rsid w:val="008170A9"/>
    <w:rsid w:val="0081787A"/>
    <w:rsid w:val="00817DA6"/>
    <w:rsid w:val="00820C21"/>
    <w:rsid w:val="00820FD5"/>
    <w:rsid w:val="00822C58"/>
    <w:rsid w:val="0082643A"/>
    <w:rsid w:val="00827767"/>
    <w:rsid w:val="008279B4"/>
    <w:rsid w:val="008302DD"/>
    <w:rsid w:val="00831827"/>
    <w:rsid w:val="00831FEB"/>
    <w:rsid w:val="00832EC3"/>
    <w:rsid w:val="0084149B"/>
    <w:rsid w:val="00842759"/>
    <w:rsid w:val="00843491"/>
    <w:rsid w:val="008442F5"/>
    <w:rsid w:val="00845439"/>
    <w:rsid w:val="008455E9"/>
    <w:rsid w:val="00845B14"/>
    <w:rsid w:val="0084730E"/>
    <w:rsid w:val="008501DE"/>
    <w:rsid w:val="008504F2"/>
    <w:rsid w:val="008512B5"/>
    <w:rsid w:val="0085277A"/>
    <w:rsid w:val="00852E1C"/>
    <w:rsid w:val="00854FD1"/>
    <w:rsid w:val="008560A0"/>
    <w:rsid w:val="00856868"/>
    <w:rsid w:val="0085778E"/>
    <w:rsid w:val="00860F99"/>
    <w:rsid w:val="0086151C"/>
    <w:rsid w:val="00861F43"/>
    <w:rsid w:val="0086289D"/>
    <w:rsid w:val="00862A7C"/>
    <w:rsid w:val="00863AAE"/>
    <w:rsid w:val="008643C0"/>
    <w:rsid w:val="00865A60"/>
    <w:rsid w:val="00865AD5"/>
    <w:rsid w:val="00871C42"/>
    <w:rsid w:val="00872678"/>
    <w:rsid w:val="0087307E"/>
    <w:rsid w:val="00873A50"/>
    <w:rsid w:val="0087428E"/>
    <w:rsid w:val="00875002"/>
    <w:rsid w:val="00875531"/>
    <w:rsid w:val="00876DFC"/>
    <w:rsid w:val="00880047"/>
    <w:rsid w:val="008802A1"/>
    <w:rsid w:val="00880A8D"/>
    <w:rsid w:val="00883B15"/>
    <w:rsid w:val="00884AB4"/>
    <w:rsid w:val="00886250"/>
    <w:rsid w:val="00886D3C"/>
    <w:rsid w:val="00887351"/>
    <w:rsid w:val="00890358"/>
    <w:rsid w:val="00890597"/>
    <w:rsid w:val="00890F2B"/>
    <w:rsid w:val="00891F25"/>
    <w:rsid w:val="00892519"/>
    <w:rsid w:val="00892D5C"/>
    <w:rsid w:val="00893236"/>
    <w:rsid w:val="00893419"/>
    <w:rsid w:val="0089465F"/>
    <w:rsid w:val="00894BFB"/>
    <w:rsid w:val="00895D1A"/>
    <w:rsid w:val="0089641A"/>
    <w:rsid w:val="00897801"/>
    <w:rsid w:val="00897FD4"/>
    <w:rsid w:val="008A100C"/>
    <w:rsid w:val="008A1A8C"/>
    <w:rsid w:val="008A2222"/>
    <w:rsid w:val="008A2785"/>
    <w:rsid w:val="008A2839"/>
    <w:rsid w:val="008A4F41"/>
    <w:rsid w:val="008A5997"/>
    <w:rsid w:val="008A5A6F"/>
    <w:rsid w:val="008A6485"/>
    <w:rsid w:val="008B10E2"/>
    <w:rsid w:val="008B13D7"/>
    <w:rsid w:val="008B1C36"/>
    <w:rsid w:val="008B1FBE"/>
    <w:rsid w:val="008B2017"/>
    <w:rsid w:val="008B206E"/>
    <w:rsid w:val="008B2367"/>
    <w:rsid w:val="008B2D43"/>
    <w:rsid w:val="008B3477"/>
    <w:rsid w:val="008B34CC"/>
    <w:rsid w:val="008B3C97"/>
    <w:rsid w:val="008B6A92"/>
    <w:rsid w:val="008B7626"/>
    <w:rsid w:val="008B76F8"/>
    <w:rsid w:val="008B7A37"/>
    <w:rsid w:val="008C1A7B"/>
    <w:rsid w:val="008C264B"/>
    <w:rsid w:val="008C2959"/>
    <w:rsid w:val="008C439C"/>
    <w:rsid w:val="008C6AAC"/>
    <w:rsid w:val="008C70BF"/>
    <w:rsid w:val="008D01B9"/>
    <w:rsid w:val="008D0FF8"/>
    <w:rsid w:val="008D159A"/>
    <w:rsid w:val="008D2573"/>
    <w:rsid w:val="008D2766"/>
    <w:rsid w:val="008D36D7"/>
    <w:rsid w:val="008D3B3E"/>
    <w:rsid w:val="008D4167"/>
    <w:rsid w:val="008D46FE"/>
    <w:rsid w:val="008D5422"/>
    <w:rsid w:val="008D5A6E"/>
    <w:rsid w:val="008D6F86"/>
    <w:rsid w:val="008D7DC3"/>
    <w:rsid w:val="008D7E62"/>
    <w:rsid w:val="008E00AF"/>
    <w:rsid w:val="008E0650"/>
    <w:rsid w:val="008E4E91"/>
    <w:rsid w:val="008E4FBA"/>
    <w:rsid w:val="008E786A"/>
    <w:rsid w:val="008F0D5D"/>
    <w:rsid w:val="008F125D"/>
    <w:rsid w:val="008F1DBA"/>
    <w:rsid w:val="008F218E"/>
    <w:rsid w:val="008F24BA"/>
    <w:rsid w:val="008F2992"/>
    <w:rsid w:val="00901CF5"/>
    <w:rsid w:val="00902621"/>
    <w:rsid w:val="00903099"/>
    <w:rsid w:val="0090321A"/>
    <w:rsid w:val="009039A5"/>
    <w:rsid w:val="00907624"/>
    <w:rsid w:val="009111CC"/>
    <w:rsid w:val="0091493B"/>
    <w:rsid w:val="00915126"/>
    <w:rsid w:val="0091641F"/>
    <w:rsid w:val="009167A2"/>
    <w:rsid w:val="00917B86"/>
    <w:rsid w:val="00920029"/>
    <w:rsid w:val="0092388B"/>
    <w:rsid w:val="0092393E"/>
    <w:rsid w:val="00924070"/>
    <w:rsid w:val="00924598"/>
    <w:rsid w:val="009246D0"/>
    <w:rsid w:val="00925F5B"/>
    <w:rsid w:val="009268D6"/>
    <w:rsid w:val="009316B4"/>
    <w:rsid w:val="00932040"/>
    <w:rsid w:val="00933D27"/>
    <w:rsid w:val="00933D6B"/>
    <w:rsid w:val="0093499A"/>
    <w:rsid w:val="00935784"/>
    <w:rsid w:val="009365D7"/>
    <w:rsid w:val="00936B59"/>
    <w:rsid w:val="0093729F"/>
    <w:rsid w:val="0093771F"/>
    <w:rsid w:val="00937F5B"/>
    <w:rsid w:val="00941E19"/>
    <w:rsid w:val="00943021"/>
    <w:rsid w:val="009434D9"/>
    <w:rsid w:val="00943631"/>
    <w:rsid w:val="009450DB"/>
    <w:rsid w:val="00946267"/>
    <w:rsid w:val="00946E36"/>
    <w:rsid w:val="0094757E"/>
    <w:rsid w:val="009500AF"/>
    <w:rsid w:val="00952B2E"/>
    <w:rsid w:val="00956975"/>
    <w:rsid w:val="00956F05"/>
    <w:rsid w:val="009572A7"/>
    <w:rsid w:val="00961221"/>
    <w:rsid w:val="00961881"/>
    <w:rsid w:val="00962791"/>
    <w:rsid w:val="009638E7"/>
    <w:rsid w:val="009650BD"/>
    <w:rsid w:val="009652FC"/>
    <w:rsid w:val="0096597E"/>
    <w:rsid w:val="00965E7B"/>
    <w:rsid w:val="00966EB9"/>
    <w:rsid w:val="009721D0"/>
    <w:rsid w:val="009735C3"/>
    <w:rsid w:val="00975BBD"/>
    <w:rsid w:val="009761A6"/>
    <w:rsid w:val="00977E99"/>
    <w:rsid w:val="00980324"/>
    <w:rsid w:val="009803C9"/>
    <w:rsid w:val="009808E0"/>
    <w:rsid w:val="00980BD5"/>
    <w:rsid w:val="00980CC7"/>
    <w:rsid w:val="00981ECC"/>
    <w:rsid w:val="009822DA"/>
    <w:rsid w:val="0098236E"/>
    <w:rsid w:val="00983392"/>
    <w:rsid w:val="00983ECB"/>
    <w:rsid w:val="00984CCC"/>
    <w:rsid w:val="00985C65"/>
    <w:rsid w:val="00986CEF"/>
    <w:rsid w:val="00987FDE"/>
    <w:rsid w:val="009908C3"/>
    <w:rsid w:val="00992EA0"/>
    <w:rsid w:val="00993DDD"/>
    <w:rsid w:val="00993ED7"/>
    <w:rsid w:val="00994B1A"/>
    <w:rsid w:val="00994D49"/>
    <w:rsid w:val="00995009"/>
    <w:rsid w:val="009950AD"/>
    <w:rsid w:val="00995DC5"/>
    <w:rsid w:val="0099617F"/>
    <w:rsid w:val="00996A80"/>
    <w:rsid w:val="00996FE2"/>
    <w:rsid w:val="00997FB8"/>
    <w:rsid w:val="009A013E"/>
    <w:rsid w:val="009A0CF6"/>
    <w:rsid w:val="009A28C5"/>
    <w:rsid w:val="009A2E01"/>
    <w:rsid w:val="009A3A1E"/>
    <w:rsid w:val="009A477A"/>
    <w:rsid w:val="009A5B95"/>
    <w:rsid w:val="009A76F6"/>
    <w:rsid w:val="009A7E59"/>
    <w:rsid w:val="009B4624"/>
    <w:rsid w:val="009B46DC"/>
    <w:rsid w:val="009B538A"/>
    <w:rsid w:val="009B5411"/>
    <w:rsid w:val="009B5516"/>
    <w:rsid w:val="009B6CB3"/>
    <w:rsid w:val="009B7FA4"/>
    <w:rsid w:val="009C0270"/>
    <w:rsid w:val="009C117D"/>
    <w:rsid w:val="009C14BD"/>
    <w:rsid w:val="009C3437"/>
    <w:rsid w:val="009C4A04"/>
    <w:rsid w:val="009C4D3D"/>
    <w:rsid w:val="009C5490"/>
    <w:rsid w:val="009C7F50"/>
    <w:rsid w:val="009D11E0"/>
    <w:rsid w:val="009D1CD9"/>
    <w:rsid w:val="009D2FD7"/>
    <w:rsid w:val="009D39BC"/>
    <w:rsid w:val="009D455F"/>
    <w:rsid w:val="009D4B0E"/>
    <w:rsid w:val="009D4EAE"/>
    <w:rsid w:val="009D5D2D"/>
    <w:rsid w:val="009D68EA"/>
    <w:rsid w:val="009E09A2"/>
    <w:rsid w:val="009E0B6B"/>
    <w:rsid w:val="009E158F"/>
    <w:rsid w:val="009E1F19"/>
    <w:rsid w:val="009E287D"/>
    <w:rsid w:val="009E41E7"/>
    <w:rsid w:val="009E4872"/>
    <w:rsid w:val="009E4DA8"/>
    <w:rsid w:val="009E54DD"/>
    <w:rsid w:val="009E70C6"/>
    <w:rsid w:val="009F0F5D"/>
    <w:rsid w:val="009F2ADE"/>
    <w:rsid w:val="009F3246"/>
    <w:rsid w:val="009F4E2E"/>
    <w:rsid w:val="009F6610"/>
    <w:rsid w:val="009F6686"/>
    <w:rsid w:val="009F67BE"/>
    <w:rsid w:val="009F7D0D"/>
    <w:rsid w:val="00A007B1"/>
    <w:rsid w:val="00A009DC"/>
    <w:rsid w:val="00A00E5C"/>
    <w:rsid w:val="00A02130"/>
    <w:rsid w:val="00A06298"/>
    <w:rsid w:val="00A0647B"/>
    <w:rsid w:val="00A065F9"/>
    <w:rsid w:val="00A06AD8"/>
    <w:rsid w:val="00A07102"/>
    <w:rsid w:val="00A107C5"/>
    <w:rsid w:val="00A11489"/>
    <w:rsid w:val="00A1240C"/>
    <w:rsid w:val="00A126C5"/>
    <w:rsid w:val="00A13BA0"/>
    <w:rsid w:val="00A1635C"/>
    <w:rsid w:val="00A17C36"/>
    <w:rsid w:val="00A21ED4"/>
    <w:rsid w:val="00A235E0"/>
    <w:rsid w:val="00A24AF4"/>
    <w:rsid w:val="00A25A62"/>
    <w:rsid w:val="00A265C3"/>
    <w:rsid w:val="00A30870"/>
    <w:rsid w:val="00A317C8"/>
    <w:rsid w:val="00A318BA"/>
    <w:rsid w:val="00A32A9B"/>
    <w:rsid w:val="00A32D72"/>
    <w:rsid w:val="00A33DC5"/>
    <w:rsid w:val="00A34562"/>
    <w:rsid w:val="00A37513"/>
    <w:rsid w:val="00A4052B"/>
    <w:rsid w:val="00A41E56"/>
    <w:rsid w:val="00A4276D"/>
    <w:rsid w:val="00A43FB8"/>
    <w:rsid w:val="00A44B84"/>
    <w:rsid w:val="00A46FF0"/>
    <w:rsid w:val="00A50722"/>
    <w:rsid w:val="00A50DCC"/>
    <w:rsid w:val="00A51BC1"/>
    <w:rsid w:val="00A5222D"/>
    <w:rsid w:val="00A53DB7"/>
    <w:rsid w:val="00A543B9"/>
    <w:rsid w:val="00A55160"/>
    <w:rsid w:val="00A55A6C"/>
    <w:rsid w:val="00A55D49"/>
    <w:rsid w:val="00A57D35"/>
    <w:rsid w:val="00A57EF9"/>
    <w:rsid w:val="00A60D3A"/>
    <w:rsid w:val="00A60F52"/>
    <w:rsid w:val="00A61A58"/>
    <w:rsid w:val="00A61B23"/>
    <w:rsid w:val="00A62A28"/>
    <w:rsid w:val="00A62C3F"/>
    <w:rsid w:val="00A63B8D"/>
    <w:rsid w:val="00A65AE3"/>
    <w:rsid w:val="00A70795"/>
    <w:rsid w:val="00A71AF3"/>
    <w:rsid w:val="00A71C29"/>
    <w:rsid w:val="00A72066"/>
    <w:rsid w:val="00A72E1D"/>
    <w:rsid w:val="00A73488"/>
    <w:rsid w:val="00A75ABC"/>
    <w:rsid w:val="00A768C9"/>
    <w:rsid w:val="00A80D94"/>
    <w:rsid w:val="00A80EF2"/>
    <w:rsid w:val="00A814EA"/>
    <w:rsid w:val="00A82C08"/>
    <w:rsid w:val="00A82FE7"/>
    <w:rsid w:val="00A83282"/>
    <w:rsid w:val="00A84FB1"/>
    <w:rsid w:val="00A851C8"/>
    <w:rsid w:val="00A866B8"/>
    <w:rsid w:val="00A86AA4"/>
    <w:rsid w:val="00A86D9B"/>
    <w:rsid w:val="00A87EC7"/>
    <w:rsid w:val="00A94552"/>
    <w:rsid w:val="00A95227"/>
    <w:rsid w:val="00A9553F"/>
    <w:rsid w:val="00A975AA"/>
    <w:rsid w:val="00AA0540"/>
    <w:rsid w:val="00AA0952"/>
    <w:rsid w:val="00AA19AA"/>
    <w:rsid w:val="00AA1D2D"/>
    <w:rsid w:val="00AA270C"/>
    <w:rsid w:val="00AA2E25"/>
    <w:rsid w:val="00AA415C"/>
    <w:rsid w:val="00AA4ABE"/>
    <w:rsid w:val="00AA506D"/>
    <w:rsid w:val="00AA58EE"/>
    <w:rsid w:val="00AA6312"/>
    <w:rsid w:val="00AA788E"/>
    <w:rsid w:val="00AB3355"/>
    <w:rsid w:val="00AB364F"/>
    <w:rsid w:val="00AB4490"/>
    <w:rsid w:val="00AB480A"/>
    <w:rsid w:val="00AB4C34"/>
    <w:rsid w:val="00AB539E"/>
    <w:rsid w:val="00AB59B5"/>
    <w:rsid w:val="00AB65DD"/>
    <w:rsid w:val="00AB699C"/>
    <w:rsid w:val="00AB7A15"/>
    <w:rsid w:val="00AC11CC"/>
    <w:rsid w:val="00AC20BE"/>
    <w:rsid w:val="00AC34F7"/>
    <w:rsid w:val="00AC4041"/>
    <w:rsid w:val="00AC5FB6"/>
    <w:rsid w:val="00AC6551"/>
    <w:rsid w:val="00AC6853"/>
    <w:rsid w:val="00AD00B7"/>
    <w:rsid w:val="00AD0A1F"/>
    <w:rsid w:val="00AD0FE6"/>
    <w:rsid w:val="00AD1588"/>
    <w:rsid w:val="00AD20BB"/>
    <w:rsid w:val="00AD2A7A"/>
    <w:rsid w:val="00AD2D3E"/>
    <w:rsid w:val="00AD2F99"/>
    <w:rsid w:val="00AD36D4"/>
    <w:rsid w:val="00AD3BC6"/>
    <w:rsid w:val="00AD3DF7"/>
    <w:rsid w:val="00AD4B3E"/>
    <w:rsid w:val="00AD544E"/>
    <w:rsid w:val="00AD586E"/>
    <w:rsid w:val="00AD5933"/>
    <w:rsid w:val="00AD616B"/>
    <w:rsid w:val="00AD7816"/>
    <w:rsid w:val="00AE00E2"/>
    <w:rsid w:val="00AE104E"/>
    <w:rsid w:val="00AE1541"/>
    <w:rsid w:val="00AE1989"/>
    <w:rsid w:val="00AE20D1"/>
    <w:rsid w:val="00AE24E4"/>
    <w:rsid w:val="00AE27B6"/>
    <w:rsid w:val="00AE3979"/>
    <w:rsid w:val="00AE4139"/>
    <w:rsid w:val="00AE50A4"/>
    <w:rsid w:val="00AE514C"/>
    <w:rsid w:val="00AE722A"/>
    <w:rsid w:val="00AE72EA"/>
    <w:rsid w:val="00AE7C38"/>
    <w:rsid w:val="00AF1FA6"/>
    <w:rsid w:val="00AF203E"/>
    <w:rsid w:val="00AF2711"/>
    <w:rsid w:val="00AF31DE"/>
    <w:rsid w:val="00AF3E08"/>
    <w:rsid w:val="00AF4AC2"/>
    <w:rsid w:val="00AF61C2"/>
    <w:rsid w:val="00AF6361"/>
    <w:rsid w:val="00AF65EE"/>
    <w:rsid w:val="00AF6909"/>
    <w:rsid w:val="00B002C6"/>
    <w:rsid w:val="00B00935"/>
    <w:rsid w:val="00B0113D"/>
    <w:rsid w:val="00B015A2"/>
    <w:rsid w:val="00B01D96"/>
    <w:rsid w:val="00B022B9"/>
    <w:rsid w:val="00B057C4"/>
    <w:rsid w:val="00B05BB9"/>
    <w:rsid w:val="00B063B9"/>
    <w:rsid w:val="00B06C09"/>
    <w:rsid w:val="00B06E80"/>
    <w:rsid w:val="00B10EAC"/>
    <w:rsid w:val="00B11639"/>
    <w:rsid w:val="00B17CB7"/>
    <w:rsid w:val="00B21747"/>
    <w:rsid w:val="00B21FE8"/>
    <w:rsid w:val="00B24495"/>
    <w:rsid w:val="00B244D1"/>
    <w:rsid w:val="00B25894"/>
    <w:rsid w:val="00B25B18"/>
    <w:rsid w:val="00B26509"/>
    <w:rsid w:val="00B27A4F"/>
    <w:rsid w:val="00B27F35"/>
    <w:rsid w:val="00B30508"/>
    <w:rsid w:val="00B30A29"/>
    <w:rsid w:val="00B3214F"/>
    <w:rsid w:val="00B338A6"/>
    <w:rsid w:val="00B35701"/>
    <w:rsid w:val="00B35B8F"/>
    <w:rsid w:val="00B363AC"/>
    <w:rsid w:val="00B37543"/>
    <w:rsid w:val="00B378BD"/>
    <w:rsid w:val="00B37AF3"/>
    <w:rsid w:val="00B40185"/>
    <w:rsid w:val="00B40651"/>
    <w:rsid w:val="00B438EB"/>
    <w:rsid w:val="00B45349"/>
    <w:rsid w:val="00B4583F"/>
    <w:rsid w:val="00B468B3"/>
    <w:rsid w:val="00B46A1F"/>
    <w:rsid w:val="00B500C1"/>
    <w:rsid w:val="00B517C2"/>
    <w:rsid w:val="00B52C37"/>
    <w:rsid w:val="00B548EF"/>
    <w:rsid w:val="00B5704B"/>
    <w:rsid w:val="00B578B1"/>
    <w:rsid w:val="00B60C41"/>
    <w:rsid w:val="00B612BD"/>
    <w:rsid w:val="00B61390"/>
    <w:rsid w:val="00B6241A"/>
    <w:rsid w:val="00B62BC8"/>
    <w:rsid w:val="00B62E5E"/>
    <w:rsid w:val="00B62EB9"/>
    <w:rsid w:val="00B634B7"/>
    <w:rsid w:val="00B63FA4"/>
    <w:rsid w:val="00B6510B"/>
    <w:rsid w:val="00B6544F"/>
    <w:rsid w:val="00B6645D"/>
    <w:rsid w:val="00B666BE"/>
    <w:rsid w:val="00B67039"/>
    <w:rsid w:val="00B67081"/>
    <w:rsid w:val="00B67236"/>
    <w:rsid w:val="00B67666"/>
    <w:rsid w:val="00B67ABB"/>
    <w:rsid w:val="00B70FE9"/>
    <w:rsid w:val="00B719C4"/>
    <w:rsid w:val="00B71A81"/>
    <w:rsid w:val="00B71BD8"/>
    <w:rsid w:val="00B74A96"/>
    <w:rsid w:val="00B75386"/>
    <w:rsid w:val="00B757F5"/>
    <w:rsid w:val="00B77983"/>
    <w:rsid w:val="00B8040C"/>
    <w:rsid w:val="00B807E4"/>
    <w:rsid w:val="00B815B9"/>
    <w:rsid w:val="00B81D0A"/>
    <w:rsid w:val="00B81DF7"/>
    <w:rsid w:val="00B82617"/>
    <w:rsid w:val="00B826AE"/>
    <w:rsid w:val="00B83B9D"/>
    <w:rsid w:val="00B846B7"/>
    <w:rsid w:val="00B86D82"/>
    <w:rsid w:val="00B87784"/>
    <w:rsid w:val="00B87E02"/>
    <w:rsid w:val="00B903C1"/>
    <w:rsid w:val="00B90FD7"/>
    <w:rsid w:val="00B9116F"/>
    <w:rsid w:val="00B91CF0"/>
    <w:rsid w:val="00B93A41"/>
    <w:rsid w:val="00B93F9B"/>
    <w:rsid w:val="00B94ABF"/>
    <w:rsid w:val="00B95788"/>
    <w:rsid w:val="00B95E0F"/>
    <w:rsid w:val="00B96682"/>
    <w:rsid w:val="00B96C33"/>
    <w:rsid w:val="00BA0554"/>
    <w:rsid w:val="00BA0A58"/>
    <w:rsid w:val="00BA4214"/>
    <w:rsid w:val="00BA44C7"/>
    <w:rsid w:val="00BA52AB"/>
    <w:rsid w:val="00BA66B1"/>
    <w:rsid w:val="00BA71C3"/>
    <w:rsid w:val="00BA7C65"/>
    <w:rsid w:val="00BB0491"/>
    <w:rsid w:val="00BB1404"/>
    <w:rsid w:val="00BB1B1B"/>
    <w:rsid w:val="00BB1C33"/>
    <w:rsid w:val="00BB2C58"/>
    <w:rsid w:val="00BB2C87"/>
    <w:rsid w:val="00BB351C"/>
    <w:rsid w:val="00BB4136"/>
    <w:rsid w:val="00BB42A4"/>
    <w:rsid w:val="00BB42DB"/>
    <w:rsid w:val="00BB44E7"/>
    <w:rsid w:val="00BB4EAE"/>
    <w:rsid w:val="00BB52F3"/>
    <w:rsid w:val="00BB6CD3"/>
    <w:rsid w:val="00BB6E67"/>
    <w:rsid w:val="00BC1731"/>
    <w:rsid w:val="00BC1B14"/>
    <w:rsid w:val="00BC30FA"/>
    <w:rsid w:val="00BC416C"/>
    <w:rsid w:val="00BC505C"/>
    <w:rsid w:val="00BC566C"/>
    <w:rsid w:val="00BC5695"/>
    <w:rsid w:val="00BC5D8A"/>
    <w:rsid w:val="00BC6907"/>
    <w:rsid w:val="00BD0460"/>
    <w:rsid w:val="00BD063A"/>
    <w:rsid w:val="00BD06A0"/>
    <w:rsid w:val="00BD357F"/>
    <w:rsid w:val="00BD4B11"/>
    <w:rsid w:val="00BD4D4E"/>
    <w:rsid w:val="00BD4DA6"/>
    <w:rsid w:val="00BD4F64"/>
    <w:rsid w:val="00BD626B"/>
    <w:rsid w:val="00BD7CE3"/>
    <w:rsid w:val="00BE1C40"/>
    <w:rsid w:val="00BE2117"/>
    <w:rsid w:val="00BE29F7"/>
    <w:rsid w:val="00BE37BF"/>
    <w:rsid w:val="00BE3BCD"/>
    <w:rsid w:val="00BE56AD"/>
    <w:rsid w:val="00BE6073"/>
    <w:rsid w:val="00BE7A24"/>
    <w:rsid w:val="00BF08DE"/>
    <w:rsid w:val="00BF2783"/>
    <w:rsid w:val="00BF32E8"/>
    <w:rsid w:val="00BF3B2A"/>
    <w:rsid w:val="00BF75F9"/>
    <w:rsid w:val="00C00FD7"/>
    <w:rsid w:val="00C02800"/>
    <w:rsid w:val="00C02D15"/>
    <w:rsid w:val="00C031BA"/>
    <w:rsid w:val="00C034E0"/>
    <w:rsid w:val="00C0368C"/>
    <w:rsid w:val="00C038A7"/>
    <w:rsid w:val="00C03A10"/>
    <w:rsid w:val="00C03B28"/>
    <w:rsid w:val="00C03EF2"/>
    <w:rsid w:val="00C045F2"/>
    <w:rsid w:val="00C053CB"/>
    <w:rsid w:val="00C05E5A"/>
    <w:rsid w:val="00C06E2E"/>
    <w:rsid w:val="00C07B0D"/>
    <w:rsid w:val="00C1062D"/>
    <w:rsid w:val="00C124B1"/>
    <w:rsid w:val="00C1274C"/>
    <w:rsid w:val="00C12D60"/>
    <w:rsid w:val="00C138A5"/>
    <w:rsid w:val="00C14725"/>
    <w:rsid w:val="00C15C68"/>
    <w:rsid w:val="00C16421"/>
    <w:rsid w:val="00C201B0"/>
    <w:rsid w:val="00C2052D"/>
    <w:rsid w:val="00C20B37"/>
    <w:rsid w:val="00C20C73"/>
    <w:rsid w:val="00C22B3A"/>
    <w:rsid w:val="00C22F1A"/>
    <w:rsid w:val="00C22FF5"/>
    <w:rsid w:val="00C24ADD"/>
    <w:rsid w:val="00C26562"/>
    <w:rsid w:val="00C2695E"/>
    <w:rsid w:val="00C26B86"/>
    <w:rsid w:val="00C276BD"/>
    <w:rsid w:val="00C27B3A"/>
    <w:rsid w:val="00C311D0"/>
    <w:rsid w:val="00C33316"/>
    <w:rsid w:val="00C33D76"/>
    <w:rsid w:val="00C3433D"/>
    <w:rsid w:val="00C3572D"/>
    <w:rsid w:val="00C36698"/>
    <w:rsid w:val="00C36B3F"/>
    <w:rsid w:val="00C414BE"/>
    <w:rsid w:val="00C42551"/>
    <w:rsid w:val="00C4255A"/>
    <w:rsid w:val="00C4299F"/>
    <w:rsid w:val="00C429A1"/>
    <w:rsid w:val="00C43CD9"/>
    <w:rsid w:val="00C45949"/>
    <w:rsid w:val="00C45976"/>
    <w:rsid w:val="00C45EB4"/>
    <w:rsid w:val="00C46691"/>
    <w:rsid w:val="00C473DE"/>
    <w:rsid w:val="00C4743D"/>
    <w:rsid w:val="00C476F2"/>
    <w:rsid w:val="00C47F26"/>
    <w:rsid w:val="00C501D6"/>
    <w:rsid w:val="00C50480"/>
    <w:rsid w:val="00C519B2"/>
    <w:rsid w:val="00C52BE7"/>
    <w:rsid w:val="00C53950"/>
    <w:rsid w:val="00C54F7C"/>
    <w:rsid w:val="00C54FAA"/>
    <w:rsid w:val="00C5674D"/>
    <w:rsid w:val="00C56B95"/>
    <w:rsid w:val="00C56EC4"/>
    <w:rsid w:val="00C57E56"/>
    <w:rsid w:val="00C62717"/>
    <w:rsid w:val="00C62967"/>
    <w:rsid w:val="00C64E64"/>
    <w:rsid w:val="00C64FD6"/>
    <w:rsid w:val="00C65748"/>
    <w:rsid w:val="00C662F3"/>
    <w:rsid w:val="00C66BA5"/>
    <w:rsid w:val="00C67677"/>
    <w:rsid w:val="00C67B16"/>
    <w:rsid w:val="00C704C3"/>
    <w:rsid w:val="00C70586"/>
    <w:rsid w:val="00C70CF7"/>
    <w:rsid w:val="00C735FF"/>
    <w:rsid w:val="00C73A3B"/>
    <w:rsid w:val="00C73D95"/>
    <w:rsid w:val="00C7422B"/>
    <w:rsid w:val="00C742A3"/>
    <w:rsid w:val="00C77181"/>
    <w:rsid w:val="00C77EC6"/>
    <w:rsid w:val="00C80667"/>
    <w:rsid w:val="00C80B73"/>
    <w:rsid w:val="00C81D6E"/>
    <w:rsid w:val="00C82724"/>
    <w:rsid w:val="00C846F7"/>
    <w:rsid w:val="00C84832"/>
    <w:rsid w:val="00C9040C"/>
    <w:rsid w:val="00C90E71"/>
    <w:rsid w:val="00C90FF0"/>
    <w:rsid w:val="00C912A1"/>
    <w:rsid w:val="00C93129"/>
    <w:rsid w:val="00C9344A"/>
    <w:rsid w:val="00C941E5"/>
    <w:rsid w:val="00C948DF"/>
    <w:rsid w:val="00C95196"/>
    <w:rsid w:val="00C953DE"/>
    <w:rsid w:val="00C9589F"/>
    <w:rsid w:val="00C96D2C"/>
    <w:rsid w:val="00C97EC4"/>
    <w:rsid w:val="00CA075F"/>
    <w:rsid w:val="00CA2B48"/>
    <w:rsid w:val="00CA3069"/>
    <w:rsid w:val="00CA31D9"/>
    <w:rsid w:val="00CA357F"/>
    <w:rsid w:val="00CA3C8F"/>
    <w:rsid w:val="00CA55CE"/>
    <w:rsid w:val="00CB09EC"/>
    <w:rsid w:val="00CB11FE"/>
    <w:rsid w:val="00CB1B33"/>
    <w:rsid w:val="00CB550B"/>
    <w:rsid w:val="00CC03B8"/>
    <w:rsid w:val="00CC2DF4"/>
    <w:rsid w:val="00CC3EE9"/>
    <w:rsid w:val="00CC4D8C"/>
    <w:rsid w:val="00CD08C7"/>
    <w:rsid w:val="00CD0AA1"/>
    <w:rsid w:val="00CD0B12"/>
    <w:rsid w:val="00CD4101"/>
    <w:rsid w:val="00CD4731"/>
    <w:rsid w:val="00CD57B6"/>
    <w:rsid w:val="00CD5EFE"/>
    <w:rsid w:val="00CD6999"/>
    <w:rsid w:val="00CD7593"/>
    <w:rsid w:val="00CE0111"/>
    <w:rsid w:val="00CE0714"/>
    <w:rsid w:val="00CE14E8"/>
    <w:rsid w:val="00CE384D"/>
    <w:rsid w:val="00CE4645"/>
    <w:rsid w:val="00CE4727"/>
    <w:rsid w:val="00CE5678"/>
    <w:rsid w:val="00CE607D"/>
    <w:rsid w:val="00CE7B09"/>
    <w:rsid w:val="00CE7E4C"/>
    <w:rsid w:val="00CE7F1C"/>
    <w:rsid w:val="00CF0365"/>
    <w:rsid w:val="00CF0EB7"/>
    <w:rsid w:val="00CF2CB2"/>
    <w:rsid w:val="00CF2D46"/>
    <w:rsid w:val="00CF395E"/>
    <w:rsid w:val="00CF4BD0"/>
    <w:rsid w:val="00CF4DE1"/>
    <w:rsid w:val="00CF5936"/>
    <w:rsid w:val="00CF649B"/>
    <w:rsid w:val="00CF6B08"/>
    <w:rsid w:val="00D046C5"/>
    <w:rsid w:val="00D046D9"/>
    <w:rsid w:val="00D06C65"/>
    <w:rsid w:val="00D0763D"/>
    <w:rsid w:val="00D07F2E"/>
    <w:rsid w:val="00D10631"/>
    <w:rsid w:val="00D10689"/>
    <w:rsid w:val="00D118FF"/>
    <w:rsid w:val="00D13AAA"/>
    <w:rsid w:val="00D15155"/>
    <w:rsid w:val="00D17AB6"/>
    <w:rsid w:val="00D17F7E"/>
    <w:rsid w:val="00D22E26"/>
    <w:rsid w:val="00D23468"/>
    <w:rsid w:val="00D24327"/>
    <w:rsid w:val="00D245EB"/>
    <w:rsid w:val="00D24689"/>
    <w:rsid w:val="00D25A02"/>
    <w:rsid w:val="00D25FE9"/>
    <w:rsid w:val="00D266AC"/>
    <w:rsid w:val="00D27478"/>
    <w:rsid w:val="00D2785E"/>
    <w:rsid w:val="00D279D1"/>
    <w:rsid w:val="00D3041F"/>
    <w:rsid w:val="00D30AAC"/>
    <w:rsid w:val="00D30FE6"/>
    <w:rsid w:val="00D3110F"/>
    <w:rsid w:val="00D31E76"/>
    <w:rsid w:val="00D32FCA"/>
    <w:rsid w:val="00D337EC"/>
    <w:rsid w:val="00D33F9F"/>
    <w:rsid w:val="00D34253"/>
    <w:rsid w:val="00D34D81"/>
    <w:rsid w:val="00D360A8"/>
    <w:rsid w:val="00D371FF"/>
    <w:rsid w:val="00D37AD3"/>
    <w:rsid w:val="00D37D53"/>
    <w:rsid w:val="00D40C10"/>
    <w:rsid w:val="00D40F85"/>
    <w:rsid w:val="00D44572"/>
    <w:rsid w:val="00D44B24"/>
    <w:rsid w:val="00D4585A"/>
    <w:rsid w:val="00D45D05"/>
    <w:rsid w:val="00D46C2C"/>
    <w:rsid w:val="00D46E95"/>
    <w:rsid w:val="00D47CC8"/>
    <w:rsid w:val="00D50129"/>
    <w:rsid w:val="00D51975"/>
    <w:rsid w:val="00D525C6"/>
    <w:rsid w:val="00D531A9"/>
    <w:rsid w:val="00D537D1"/>
    <w:rsid w:val="00D5434D"/>
    <w:rsid w:val="00D54E55"/>
    <w:rsid w:val="00D556C3"/>
    <w:rsid w:val="00D559C7"/>
    <w:rsid w:val="00D56401"/>
    <w:rsid w:val="00D57F77"/>
    <w:rsid w:val="00D602F6"/>
    <w:rsid w:val="00D619FC"/>
    <w:rsid w:val="00D61AB4"/>
    <w:rsid w:val="00D62391"/>
    <w:rsid w:val="00D64919"/>
    <w:rsid w:val="00D664EA"/>
    <w:rsid w:val="00D66D51"/>
    <w:rsid w:val="00D70189"/>
    <w:rsid w:val="00D71093"/>
    <w:rsid w:val="00D713A5"/>
    <w:rsid w:val="00D71FF9"/>
    <w:rsid w:val="00D739CD"/>
    <w:rsid w:val="00D73F38"/>
    <w:rsid w:val="00D7477A"/>
    <w:rsid w:val="00D75953"/>
    <w:rsid w:val="00D75A28"/>
    <w:rsid w:val="00D75AB4"/>
    <w:rsid w:val="00D75ED0"/>
    <w:rsid w:val="00D7631D"/>
    <w:rsid w:val="00D77E5B"/>
    <w:rsid w:val="00D81971"/>
    <w:rsid w:val="00D81C18"/>
    <w:rsid w:val="00D8299C"/>
    <w:rsid w:val="00D82B3A"/>
    <w:rsid w:val="00D839C6"/>
    <w:rsid w:val="00D8557F"/>
    <w:rsid w:val="00D864CE"/>
    <w:rsid w:val="00D90271"/>
    <w:rsid w:val="00D91376"/>
    <w:rsid w:val="00D91476"/>
    <w:rsid w:val="00D9182C"/>
    <w:rsid w:val="00D921E8"/>
    <w:rsid w:val="00D92C15"/>
    <w:rsid w:val="00D93D1C"/>
    <w:rsid w:val="00D95DFB"/>
    <w:rsid w:val="00D9706A"/>
    <w:rsid w:val="00D979E3"/>
    <w:rsid w:val="00D97E79"/>
    <w:rsid w:val="00D97F08"/>
    <w:rsid w:val="00DA0879"/>
    <w:rsid w:val="00DA088C"/>
    <w:rsid w:val="00DA32A6"/>
    <w:rsid w:val="00DA42D8"/>
    <w:rsid w:val="00DA4825"/>
    <w:rsid w:val="00DA5497"/>
    <w:rsid w:val="00DA6D35"/>
    <w:rsid w:val="00DA7134"/>
    <w:rsid w:val="00DB0DE5"/>
    <w:rsid w:val="00DB2F19"/>
    <w:rsid w:val="00DB5CEC"/>
    <w:rsid w:val="00DB5F88"/>
    <w:rsid w:val="00DB6D25"/>
    <w:rsid w:val="00DB769D"/>
    <w:rsid w:val="00DC2DEA"/>
    <w:rsid w:val="00DC438D"/>
    <w:rsid w:val="00DC491C"/>
    <w:rsid w:val="00DC5C2E"/>
    <w:rsid w:val="00DC6935"/>
    <w:rsid w:val="00DC6CD1"/>
    <w:rsid w:val="00DD1906"/>
    <w:rsid w:val="00DD224A"/>
    <w:rsid w:val="00DD2446"/>
    <w:rsid w:val="00DD3AB9"/>
    <w:rsid w:val="00DD4749"/>
    <w:rsid w:val="00DD4959"/>
    <w:rsid w:val="00DD5151"/>
    <w:rsid w:val="00DD58EE"/>
    <w:rsid w:val="00DD6358"/>
    <w:rsid w:val="00DD7883"/>
    <w:rsid w:val="00DD7C75"/>
    <w:rsid w:val="00DE012F"/>
    <w:rsid w:val="00DE189E"/>
    <w:rsid w:val="00DE19A3"/>
    <w:rsid w:val="00DE4832"/>
    <w:rsid w:val="00DE490D"/>
    <w:rsid w:val="00DE5CD2"/>
    <w:rsid w:val="00DE637A"/>
    <w:rsid w:val="00DE796E"/>
    <w:rsid w:val="00DF06CD"/>
    <w:rsid w:val="00DF0C11"/>
    <w:rsid w:val="00DF0E05"/>
    <w:rsid w:val="00DF1DDD"/>
    <w:rsid w:val="00DF49CC"/>
    <w:rsid w:val="00DF5E80"/>
    <w:rsid w:val="00DF6AF5"/>
    <w:rsid w:val="00DF6FFB"/>
    <w:rsid w:val="00DF713A"/>
    <w:rsid w:val="00E00067"/>
    <w:rsid w:val="00E0120F"/>
    <w:rsid w:val="00E01EE9"/>
    <w:rsid w:val="00E03817"/>
    <w:rsid w:val="00E039A9"/>
    <w:rsid w:val="00E041C6"/>
    <w:rsid w:val="00E04387"/>
    <w:rsid w:val="00E075F5"/>
    <w:rsid w:val="00E13BB4"/>
    <w:rsid w:val="00E13CBA"/>
    <w:rsid w:val="00E16833"/>
    <w:rsid w:val="00E169CD"/>
    <w:rsid w:val="00E16DBF"/>
    <w:rsid w:val="00E21890"/>
    <w:rsid w:val="00E2298B"/>
    <w:rsid w:val="00E23202"/>
    <w:rsid w:val="00E23213"/>
    <w:rsid w:val="00E23A3E"/>
    <w:rsid w:val="00E273DD"/>
    <w:rsid w:val="00E276AF"/>
    <w:rsid w:val="00E2780B"/>
    <w:rsid w:val="00E27BEE"/>
    <w:rsid w:val="00E27E52"/>
    <w:rsid w:val="00E27F3C"/>
    <w:rsid w:val="00E30443"/>
    <w:rsid w:val="00E32116"/>
    <w:rsid w:val="00E32B77"/>
    <w:rsid w:val="00E32DA7"/>
    <w:rsid w:val="00E32ED8"/>
    <w:rsid w:val="00E333D0"/>
    <w:rsid w:val="00E34E1B"/>
    <w:rsid w:val="00E37263"/>
    <w:rsid w:val="00E3796A"/>
    <w:rsid w:val="00E400A9"/>
    <w:rsid w:val="00E432F6"/>
    <w:rsid w:val="00E43FAB"/>
    <w:rsid w:val="00E4427F"/>
    <w:rsid w:val="00E442F4"/>
    <w:rsid w:val="00E445B6"/>
    <w:rsid w:val="00E45E9A"/>
    <w:rsid w:val="00E466EE"/>
    <w:rsid w:val="00E5094A"/>
    <w:rsid w:val="00E50AD8"/>
    <w:rsid w:val="00E51056"/>
    <w:rsid w:val="00E5233A"/>
    <w:rsid w:val="00E5348D"/>
    <w:rsid w:val="00E54147"/>
    <w:rsid w:val="00E54607"/>
    <w:rsid w:val="00E54A8F"/>
    <w:rsid w:val="00E54AB1"/>
    <w:rsid w:val="00E54C70"/>
    <w:rsid w:val="00E54D34"/>
    <w:rsid w:val="00E54E97"/>
    <w:rsid w:val="00E5688D"/>
    <w:rsid w:val="00E571C7"/>
    <w:rsid w:val="00E61684"/>
    <w:rsid w:val="00E61F5F"/>
    <w:rsid w:val="00E6278C"/>
    <w:rsid w:val="00E63639"/>
    <w:rsid w:val="00E640F4"/>
    <w:rsid w:val="00E64D91"/>
    <w:rsid w:val="00E675C2"/>
    <w:rsid w:val="00E67616"/>
    <w:rsid w:val="00E676B5"/>
    <w:rsid w:val="00E7059E"/>
    <w:rsid w:val="00E7107B"/>
    <w:rsid w:val="00E71312"/>
    <w:rsid w:val="00E713B5"/>
    <w:rsid w:val="00E716DC"/>
    <w:rsid w:val="00E73AE0"/>
    <w:rsid w:val="00E73CDB"/>
    <w:rsid w:val="00E7464C"/>
    <w:rsid w:val="00E76A1A"/>
    <w:rsid w:val="00E771B5"/>
    <w:rsid w:val="00E80015"/>
    <w:rsid w:val="00E801FE"/>
    <w:rsid w:val="00E81FC1"/>
    <w:rsid w:val="00E82690"/>
    <w:rsid w:val="00E8479D"/>
    <w:rsid w:val="00E84A43"/>
    <w:rsid w:val="00E8588B"/>
    <w:rsid w:val="00E86AB8"/>
    <w:rsid w:val="00E878FC"/>
    <w:rsid w:val="00E9155D"/>
    <w:rsid w:val="00E920FA"/>
    <w:rsid w:val="00E92886"/>
    <w:rsid w:val="00E9345B"/>
    <w:rsid w:val="00E93951"/>
    <w:rsid w:val="00E945AD"/>
    <w:rsid w:val="00E94AA7"/>
    <w:rsid w:val="00E95F3E"/>
    <w:rsid w:val="00E95F9D"/>
    <w:rsid w:val="00E963C5"/>
    <w:rsid w:val="00E96FC6"/>
    <w:rsid w:val="00EA04EE"/>
    <w:rsid w:val="00EA27E6"/>
    <w:rsid w:val="00EA2E21"/>
    <w:rsid w:val="00EA3286"/>
    <w:rsid w:val="00EA3A34"/>
    <w:rsid w:val="00EA3C0F"/>
    <w:rsid w:val="00EA487B"/>
    <w:rsid w:val="00EA6120"/>
    <w:rsid w:val="00EA642E"/>
    <w:rsid w:val="00EA70F8"/>
    <w:rsid w:val="00EA7441"/>
    <w:rsid w:val="00EB01B9"/>
    <w:rsid w:val="00EB03FF"/>
    <w:rsid w:val="00EB0941"/>
    <w:rsid w:val="00EB1815"/>
    <w:rsid w:val="00EB316D"/>
    <w:rsid w:val="00EB4960"/>
    <w:rsid w:val="00EB4AB2"/>
    <w:rsid w:val="00EB64C2"/>
    <w:rsid w:val="00EB6CA0"/>
    <w:rsid w:val="00EB6D86"/>
    <w:rsid w:val="00EB7DCE"/>
    <w:rsid w:val="00EC1CEF"/>
    <w:rsid w:val="00EC21A7"/>
    <w:rsid w:val="00EC2AE1"/>
    <w:rsid w:val="00EC2B4B"/>
    <w:rsid w:val="00EC2EB4"/>
    <w:rsid w:val="00EC4DF7"/>
    <w:rsid w:val="00EC504D"/>
    <w:rsid w:val="00EC55DA"/>
    <w:rsid w:val="00EC5BE4"/>
    <w:rsid w:val="00ED12B4"/>
    <w:rsid w:val="00ED2631"/>
    <w:rsid w:val="00ED34FC"/>
    <w:rsid w:val="00ED3F94"/>
    <w:rsid w:val="00ED4303"/>
    <w:rsid w:val="00ED61CE"/>
    <w:rsid w:val="00ED61D0"/>
    <w:rsid w:val="00EE084B"/>
    <w:rsid w:val="00EE18BC"/>
    <w:rsid w:val="00EE3769"/>
    <w:rsid w:val="00EE4765"/>
    <w:rsid w:val="00EE4795"/>
    <w:rsid w:val="00EE4873"/>
    <w:rsid w:val="00EE522B"/>
    <w:rsid w:val="00EE57CA"/>
    <w:rsid w:val="00EE5E46"/>
    <w:rsid w:val="00EE63FE"/>
    <w:rsid w:val="00EE658B"/>
    <w:rsid w:val="00EE7BD7"/>
    <w:rsid w:val="00EF01D5"/>
    <w:rsid w:val="00EF2A0D"/>
    <w:rsid w:val="00EF3301"/>
    <w:rsid w:val="00EF3C4C"/>
    <w:rsid w:val="00EF44D3"/>
    <w:rsid w:val="00EF55D2"/>
    <w:rsid w:val="00EF5F22"/>
    <w:rsid w:val="00EF5F5C"/>
    <w:rsid w:val="00EF65C5"/>
    <w:rsid w:val="00EF7417"/>
    <w:rsid w:val="00F00705"/>
    <w:rsid w:val="00F00853"/>
    <w:rsid w:val="00F02539"/>
    <w:rsid w:val="00F02912"/>
    <w:rsid w:val="00F030A2"/>
    <w:rsid w:val="00F038EC"/>
    <w:rsid w:val="00F05BF7"/>
    <w:rsid w:val="00F06539"/>
    <w:rsid w:val="00F07D5E"/>
    <w:rsid w:val="00F117F7"/>
    <w:rsid w:val="00F13AEF"/>
    <w:rsid w:val="00F13D30"/>
    <w:rsid w:val="00F14F97"/>
    <w:rsid w:val="00F15979"/>
    <w:rsid w:val="00F16450"/>
    <w:rsid w:val="00F164B4"/>
    <w:rsid w:val="00F16988"/>
    <w:rsid w:val="00F17D9B"/>
    <w:rsid w:val="00F20537"/>
    <w:rsid w:val="00F21745"/>
    <w:rsid w:val="00F224AA"/>
    <w:rsid w:val="00F227CA"/>
    <w:rsid w:val="00F22F67"/>
    <w:rsid w:val="00F23230"/>
    <w:rsid w:val="00F237F2"/>
    <w:rsid w:val="00F23DFF"/>
    <w:rsid w:val="00F24298"/>
    <w:rsid w:val="00F25621"/>
    <w:rsid w:val="00F2590A"/>
    <w:rsid w:val="00F26C55"/>
    <w:rsid w:val="00F27125"/>
    <w:rsid w:val="00F31A20"/>
    <w:rsid w:val="00F3274E"/>
    <w:rsid w:val="00F33C33"/>
    <w:rsid w:val="00F34175"/>
    <w:rsid w:val="00F35A3F"/>
    <w:rsid w:val="00F367EF"/>
    <w:rsid w:val="00F37A89"/>
    <w:rsid w:val="00F37D36"/>
    <w:rsid w:val="00F42471"/>
    <w:rsid w:val="00F42AEC"/>
    <w:rsid w:val="00F43755"/>
    <w:rsid w:val="00F443A4"/>
    <w:rsid w:val="00F45A45"/>
    <w:rsid w:val="00F45D3F"/>
    <w:rsid w:val="00F4690D"/>
    <w:rsid w:val="00F47F05"/>
    <w:rsid w:val="00F47F7C"/>
    <w:rsid w:val="00F502E6"/>
    <w:rsid w:val="00F51030"/>
    <w:rsid w:val="00F517FA"/>
    <w:rsid w:val="00F53030"/>
    <w:rsid w:val="00F5336E"/>
    <w:rsid w:val="00F5365F"/>
    <w:rsid w:val="00F53DE5"/>
    <w:rsid w:val="00F54E70"/>
    <w:rsid w:val="00F5557D"/>
    <w:rsid w:val="00F556C5"/>
    <w:rsid w:val="00F57DFC"/>
    <w:rsid w:val="00F60A89"/>
    <w:rsid w:val="00F62ADF"/>
    <w:rsid w:val="00F62D5F"/>
    <w:rsid w:val="00F67150"/>
    <w:rsid w:val="00F67B18"/>
    <w:rsid w:val="00F70203"/>
    <w:rsid w:val="00F71AD8"/>
    <w:rsid w:val="00F72B98"/>
    <w:rsid w:val="00F74CCE"/>
    <w:rsid w:val="00F75B1A"/>
    <w:rsid w:val="00F75E54"/>
    <w:rsid w:val="00F7649E"/>
    <w:rsid w:val="00F765D8"/>
    <w:rsid w:val="00F76CC1"/>
    <w:rsid w:val="00F82132"/>
    <w:rsid w:val="00F834EF"/>
    <w:rsid w:val="00F84EAC"/>
    <w:rsid w:val="00F85212"/>
    <w:rsid w:val="00F86452"/>
    <w:rsid w:val="00F91121"/>
    <w:rsid w:val="00F91194"/>
    <w:rsid w:val="00F91944"/>
    <w:rsid w:val="00F928D8"/>
    <w:rsid w:val="00F93242"/>
    <w:rsid w:val="00F94C19"/>
    <w:rsid w:val="00F95E5E"/>
    <w:rsid w:val="00F9655C"/>
    <w:rsid w:val="00FA0997"/>
    <w:rsid w:val="00FA1CEB"/>
    <w:rsid w:val="00FA2E92"/>
    <w:rsid w:val="00FA307F"/>
    <w:rsid w:val="00FA412E"/>
    <w:rsid w:val="00FA5658"/>
    <w:rsid w:val="00FA74DF"/>
    <w:rsid w:val="00FA77D1"/>
    <w:rsid w:val="00FA7EEB"/>
    <w:rsid w:val="00FB0B38"/>
    <w:rsid w:val="00FB4229"/>
    <w:rsid w:val="00FB4C94"/>
    <w:rsid w:val="00FB5960"/>
    <w:rsid w:val="00FB5CAA"/>
    <w:rsid w:val="00FB5F5C"/>
    <w:rsid w:val="00FB6631"/>
    <w:rsid w:val="00FB7302"/>
    <w:rsid w:val="00FC02DD"/>
    <w:rsid w:val="00FC02F9"/>
    <w:rsid w:val="00FC0D3F"/>
    <w:rsid w:val="00FC14B3"/>
    <w:rsid w:val="00FC166D"/>
    <w:rsid w:val="00FC1BEB"/>
    <w:rsid w:val="00FC276B"/>
    <w:rsid w:val="00FC315A"/>
    <w:rsid w:val="00FC31DE"/>
    <w:rsid w:val="00FC334B"/>
    <w:rsid w:val="00FC33BC"/>
    <w:rsid w:val="00FC3874"/>
    <w:rsid w:val="00FC4089"/>
    <w:rsid w:val="00FC458D"/>
    <w:rsid w:val="00FC4915"/>
    <w:rsid w:val="00FC583B"/>
    <w:rsid w:val="00FC5C17"/>
    <w:rsid w:val="00FC618F"/>
    <w:rsid w:val="00FC6C8C"/>
    <w:rsid w:val="00FD0538"/>
    <w:rsid w:val="00FD0569"/>
    <w:rsid w:val="00FD0664"/>
    <w:rsid w:val="00FD0C9F"/>
    <w:rsid w:val="00FD0F14"/>
    <w:rsid w:val="00FD1791"/>
    <w:rsid w:val="00FD1B35"/>
    <w:rsid w:val="00FD2D14"/>
    <w:rsid w:val="00FD30A5"/>
    <w:rsid w:val="00FD32B1"/>
    <w:rsid w:val="00FD4105"/>
    <w:rsid w:val="00FD599B"/>
    <w:rsid w:val="00FD5CFE"/>
    <w:rsid w:val="00FD5D80"/>
    <w:rsid w:val="00FD608D"/>
    <w:rsid w:val="00FD6BD9"/>
    <w:rsid w:val="00FD70A8"/>
    <w:rsid w:val="00FE0F65"/>
    <w:rsid w:val="00FE1170"/>
    <w:rsid w:val="00FE3A7D"/>
    <w:rsid w:val="00FE5E54"/>
    <w:rsid w:val="00FE627D"/>
    <w:rsid w:val="00FE6BF1"/>
    <w:rsid w:val="00FE6C74"/>
    <w:rsid w:val="00FE7837"/>
    <w:rsid w:val="00FE7F7A"/>
    <w:rsid w:val="00FF1F38"/>
    <w:rsid w:val="00FF28C4"/>
    <w:rsid w:val="00FF387C"/>
    <w:rsid w:val="00FF39FC"/>
    <w:rsid w:val="00FF4495"/>
    <w:rsid w:val="00FF505F"/>
    <w:rsid w:val="00FF574A"/>
    <w:rsid w:val="00FF5966"/>
    <w:rsid w:val="00FF617E"/>
    <w:rsid w:val="00FF6431"/>
    <w:rsid w:val="00FF6617"/>
    <w:rsid w:val="00FF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61F88"/>
  <w15:chartTrackingRefBased/>
  <w15:docId w15:val="{7E48D73F-DA85-4943-B957-4C02BC83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959"/>
    <w:pPr>
      <w:tabs>
        <w:tab w:val="left" w:pos="567"/>
      </w:tabs>
      <w:spacing w:line="260" w:lineRule="exact"/>
    </w:pPr>
    <w:rPr>
      <w:sz w:val="22"/>
      <w:lang w:val="en-GB"/>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EndnoteText">
    <w:name w:val="endnote text"/>
    <w:aliases w:val=" Char Char"/>
    <w:basedOn w:val="Normal"/>
    <w:link w:val="EndnoteTextChar"/>
    <w:semiHidden/>
    <w:pPr>
      <w:spacing w:line="240" w:lineRule="auto"/>
    </w:pPr>
  </w:style>
  <w:style w:type="character" w:customStyle="1" w:styleId="EndnoteTextChar">
    <w:name w:val="Endnote Text Char"/>
    <w:aliases w:val=" Char Char Char"/>
    <w:link w:val="EndnoteText"/>
    <w:rsid w:val="00620ABA"/>
    <w:rPr>
      <w:sz w:val="22"/>
      <w:lang w:val="en-GB" w:eastAsia="en-US" w:bidi="ar-SA"/>
    </w:r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aliases w:val="Comment Text Char1 Char,Comment Text Char Char Char"/>
    <w:basedOn w:val="Normal"/>
    <w:link w:val="CommentTextChar"/>
    <w:semiHidden/>
    <w:rPr>
      <w:sz w:val="20"/>
      <w:lang w:eastAsia="x-none"/>
    </w:rPr>
  </w:style>
  <w:style w:type="paragraph" w:customStyle="1" w:styleId="BodyText22">
    <w:name w:val="Body Text 2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customStyle="1" w:styleId="BodyText21">
    <w:name w:val="Body Text 21"/>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2">
    <w:name w:val="Body Text 2"/>
    <w:basedOn w:val="Normal"/>
    <w:pPr>
      <w:tabs>
        <w:tab w:val="clear" w:pos="567"/>
      </w:tabs>
      <w:spacing w:line="240" w:lineRule="auto"/>
      <w:ind w:left="567" w:hanging="567"/>
    </w:pPr>
    <w:rPr>
      <w:b/>
    </w:rPr>
  </w:style>
  <w:style w:type="paragraph" w:styleId="BlockText">
    <w:name w:val="Block Text"/>
    <w:basedOn w:val="Normal"/>
    <w:pPr>
      <w:tabs>
        <w:tab w:val="clear" w:pos="567"/>
        <w:tab w:val="left" w:pos="2657"/>
      </w:tabs>
      <w:spacing w:before="120" w:line="240" w:lineRule="auto"/>
      <w:ind w:left="-37" w:right="-28"/>
    </w:pPr>
  </w:style>
  <w:style w:type="paragraph" w:styleId="BodyTextIndent">
    <w:name w:val="Body Text Indent"/>
    <w:basedOn w:val="Normal"/>
    <w:pPr>
      <w:tabs>
        <w:tab w:val="clear" w:pos="567"/>
      </w:tabs>
      <w:spacing w:line="240" w:lineRule="auto"/>
      <w:ind w:left="567" w:hanging="567"/>
    </w:pPr>
    <w:rPr>
      <w:b/>
      <w:color w:val="80808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extChar">
    <w:name w:val="Text Char"/>
    <w:basedOn w:val="Normal"/>
    <w:link w:val="TextCharChar"/>
    <w:pPr>
      <w:tabs>
        <w:tab w:val="clear" w:pos="567"/>
      </w:tabs>
      <w:spacing w:before="120" w:line="240" w:lineRule="auto"/>
      <w:jc w:val="both"/>
    </w:pPr>
    <w:rPr>
      <w:sz w:val="24"/>
      <w:lang w:val="en-US"/>
    </w:rPr>
  </w:style>
  <w:style w:type="character" w:customStyle="1" w:styleId="TextCharChar">
    <w:name w:val="Text Char Char"/>
    <w:link w:val="TextChar"/>
    <w:rsid w:val="00AE72EA"/>
    <w:rPr>
      <w:sz w:val="24"/>
      <w:lang w:val="en-US" w:eastAsia="en-US" w:bidi="ar-SA"/>
    </w:rPr>
  </w:style>
  <w:style w:type="paragraph" w:customStyle="1" w:styleId="Table">
    <w:name w:val="Table"/>
    <w:basedOn w:val="Normal"/>
    <w:link w:val="TableChar"/>
    <w:pPr>
      <w:keepNext/>
      <w:keepLines/>
      <w:tabs>
        <w:tab w:val="clear" w:pos="567"/>
        <w:tab w:val="left" w:pos="284"/>
      </w:tabs>
      <w:spacing w:before="40" w:after="20" w:line="240" w:lineRule="auto"/>
    </w:pPr>
    <w:rPr>
      <w:rFonts w:ascii="Arial" w:hAnsi="Arial"/>
      <w:sz w:val="20"/>
      <w:lang w:val="en-US"/>
    </w:rPr>
  </w:style>
  <w:style w:type="character" w:customStyle="1" w:styleId="TableChar">
    <w:name w:val="Table Char"/>
    <w:link w:val="Table"/>
    <w:rsid w:val="0055566E"/>
    <w:rPr>
      <w:rFonts w:ascii="Arial" w:hAnsi="Arial"/>
      <w:lang w:val="en-US" w:eastAsia="en-US" w:bidi="ar-SA"/>
    </w:rPr>
  </w:style>
  <w:style w:type="paragraph" w:customStyle="1" w:styleId="Listlevel2">
    <w:name w:val="List level 2"/>
    <w:basedOn w:val="Normal"/>
    <w:pPr>
      <w:tabs>
        <w:tab w:val="clear" w:pos="567"/>
      </w:tabs>
      <w:spacing w:before="40" w:after="20" w:line="240" w:lineRule="auto"/>
      <w:ind w:left="850" w:hanging="425"/>
    </w:pPr>
    <w:rPr>
      <w:sz w:val="24"/>
      <w:lang w:val="en-US"/>
    </w:rPr>
  </w:style>
  <w:style w:type="paragraph" w:customStyle="1" w:styleId="Listlevel1">
    <w:name w:val="List level 1"/>
    <w:basedOn w:val="Normal"/>
    <w:pPr>
      <w:tabs>
        <w:tab w:val="clear" w:pos="567"/>
      </w:tabs>
      <w:spacing w:before="40" w:after="20" w:line="240" w:lineRule="auto"/>
      <w:ind w:left="425" w:hanging="425"/>
    </w:pPr>
    <w:rPr>
      <w:sz w:val="24"/>
      <w:lang w:val="en-US"/>
    </w:rPr>
  </w:style>
  <w:style w:type="paragraph" w:customStyle="1" w:styleId="Authors">
    <w:name w:val="Authors"/>
    <w:basedOn w:val="Normal"/>
    <w:pPr>
      <w:keepNext/>
      <w:tabs>
        <w:tab w:val="clear" w:pos="567"/>
        <w:tab w:val="left" w:pos="2268"/>
      </w:tabs>
      <w:spacing w:before="240" w:line="240" w:lineRule="auto"/>
    </w:pPr>
    <w:rPr>
      <w:rFonts w:ascii="Arial" w:hAnsi="Arial"/>
      <w:lang w:val="en-US"/>
    </w:rPr>
  </w:style>
  <w:style w:type="paragraph" w:customStyle="1" w:styleId="Releasedate">
    <w:name w:val="Releasedate"/>
    <w:basedOn w:val="Normal"/>
    <w:pPr>
      <w:keepNext/>
      <w:tabs>
        <w:tab w:val="clear" w:pos="567"/>
      </w:tabs>
      <w:spacing w:before="240" w:line="240" w:lineRule="auto"/>
    </w:pPr>
    <w:rPr>
      <w:rFonts w:ascii="Arial" w:hAnsi="Arial"/>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sid w:val="007D6097"/>
    <w:pPr>
      <w:tabs>
        <w:tab w:val="clear" w:pos="567"/>
      </w:tabs>
      <w:spacing w:line="240" w:lineRule="auto"/>
    </w:pPr>
    <w:rPr>
      <w:rFonts w:ascii="Tahoma" w:hAnsi="Tahoma" w:cs="Tahoma"/>
      <w:sz w:val="16"/>
      <w:szCs w:val="16"/>
      <w:lang w:val="en-US"/>
    </w:rPr>
  </w:style>
  <w:style w:type="table" w:styleId="TableGrid">
    <w:name w:val="Table Grid"/>
    <w:basedOn w:val="TableNormal"/>
    <w:rsid w:val="00AE72EA"/>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753F23"/>
    <w:rPr>
      <w:b/>
      <w:bCs/>
    </w:rPr>
  </w:style>
  <w:style w:type="paragraph" w:customStyle="1" w:styleId="Corrigendum">
    <w:name w:val="Corrigendum"/>
    <w:basedOn w:val="Normal"/>
    <w:next w:val="Normal"/>
    <w:rsid w:val="005864F1"/>
    <w:pPr>
      <w:tabs>
        <w:tab w:val="clear" w:pos="567"/>
      </w:tabs>
      <w:spacing w:after="240" w:line="240" w:lineRule="auto"/>
    </w:pPr>
    <w:rPr>
      <w:sz w:val="24"/>
    </w:rPr>
  </w:style>
  <w:style w:type="paragraph" w:customStyle="1" w:styleId="Nottoc-headings">
    <w:name w:val="Not toc-headings"/>
    <w:basedOn w:val="Normal"/>
    <w:next w:val="TextChar"/>
    <w:link w:val="Nottoc-headingsChar"/>
    <w:rsid w:val="00323133"/>
    <w:pPr>
      <w:keepNext/>
      <w:keepLines/>
      <w:tabs>
        <w:tab w:val="clear" w:pos="567"/>
      </w:tabs>
      <w:spacing w:before="240" w:after="60" w:line="240" w:lineRule="auto"/>
      <w:ind w:left="1701" w:hanging="1701"/>
    </w:pPr>
    <w:rPr>
      <w:rFonts w:ascii="Arial" w:hAnsi="Arial"/>
      <w:b/>
      <w:sz w:val="24"/>
      <w:lang w:val="en-US"/>
    </w:rPr>
  </w:style>
  <w:style w:type="character" w:customStyle="1" w:styleId="Nottoc-headingsChar">
    <w:name w:val="Not toc-headings Char"/>
    <w:link w:val="Nottoc-headings"/>
    <w:rsid w:val="00FC0D3F"/>
    <w:rPr>
      <w:rFonts w:ascii="Arial" w:hAnsi="Arial"/>
      <w:b/>
      <w:sz w:val="24"/>
      <w:lang w:val="en-US" w:eastAsia="en-US" w:bidi="ar-SA"/>
    </w:rPr>
  </w:style>
  <w:style w:type="paragraph" w:customStyle="1" w:styleId="Style">
    <w:name w:val="Style"/>
    <w:basedOn w:val="Normal"/>
    <w:rsid w:val="00D17AB6"/>
    <w:pPr>
      <w:tabs>
        <w:tab w:val="clear" w:pos="567"/>
      </w:tabs>
      <w:spacing w:after="160" w:line="240" w:lineRule="exact"/>
    </w:pPr>
    <w:rPr>
      <w:rFonts w:ascii="Verdana" w:hAnsi="Verdana" w:cs="Verdana"/>
      <w:sz w:val="20"/>
    </w:rPr>
  </w:style>
  <w:style w:type="paragraph" w:customStyle="1" w:styleId="CharZnak">
    <w:name w:val="Char Znak"/>
    <w:basedOn w:val="Normal"/>
    <w:rsid w:val="00AC11CC"/>
    <w:pPr>
      <w:tabs>
        <w:tab w:val="clear" w:pos="567"/>
      </w:tabs>
      <w:spacing w:after="160" w:line="240" w:lineRule="exact"/>
    </w:pPr>
    <w:rPr>
      <w:rFonts w:ascii="Verdana" w:hAnsi="Verdana" w:cs="Verdana"/>
      <w:sz w:val="20"/>
    </w:rPr>
  </w:style>
  <w:style w:type="paragraph" w:styleId="TOC6">
    <w:name w:val="toc 6"/>
    <w:basedOn w:val="Normal"/>
    <w:autoRedefine/>
    <w:semiHidden/>
    <w:rsid w:val="0040304A"/>
    <w:pPr>
      <w:keepNext/>
      <w:widowControl w:val="0"/>
      <w:tabs>
        <w:tab w:val="clear" w:pos="567"/>
        <w:tab w:val="right" w:leader="dot" w:pos="9061"/>
      </w:tabs>
      <w:spacing w:line="240" w:lineRule="auto"/>
      <w:ind w:left="992" w:right="227" w:hanging="992"/>
    </w:pPr>
    <w:rPr>
      <w:szCs w:val="22"/>
      <w:u w:val="single"/>
      <w:lang w:val="sv-SE"/>
    </w:rPr>
  </w:style>
  <w:style w:type="paragraph" w:styleId="Revision">
    <w:name w:val="Revision"/>
    <w:hidden/>
    <w:uiPriority w:val="99"/>
    <w:semiHidden/>
    <w:rsid w:val="008B1C36"/>
    <w:rPr>
      <w:sz w:val="22"/>
      <w:lang w:val="en-GB"/>
    </w:rPr>
  </w:style>
  <w:style w:type="paragraph" w:customStyle="1" w:styleId="Default">
    <w:name w:val="Default"/>
    <w:rsid w:val="00CE607D"/>
    <w:pPr>
      <w:autoSpaceDE w:val="0"/>
      <w:autoSpaceDN w:val="0"/>
      <w:adjustRightInd w:val="0"/>
    </w:pPr>
    <w:rPr>
      <w:rFonts w:eastAsia="SimSun"/>
      <w:color w:val="000000"/>
      <w:sz w:val="24"/>
      <w:szCs w:val="24"/>
      <w:lang w:eastAsia="zh-CN"/>
    </w:rPr>
  </w:style>
  <w:style w:type="paragraph" w:customStyle="1" w:styleId="Text">
    <w:name w:val="Text"/>
    <w:basedOn w:val="Normal"/>
    <w:rsid w:val="00CE607D"/>
    <w:pPr>
      <w:tabs>
        <w:tab w:val="clear" w:pos="567"/>
      </w:tabs>
      <w:spacing w:before="120" w:line="240" w:lineRule="auto"/>
      <w:jc w:val="both"/>
    </w:pPr>
    <w:rPr>
      <w:sz w:val="24"/>
      <w:lang w:val="en-US"/>
    </w:rPr>
  </w:style>
  <w:style w:type="character" w:customStyle="1" w:styleId="CommentTextChar">
    <w:name w:val="Comment Text Char"/>
    <w:aliases w:val="Comment Text Char1 Char Char,Comment Text Char Char Char Char"/>
    <w:link w:val="CommentText"/>
    <w:semiHidden/>
    <w:rsid w:val="00355B00"/>
    <w:rPr>
      <w:lang w:val="en-GB"/>
    </w:rPr>
  </w:style>
  <w:style w:type="character" w:customStyle="1" w:styleId="hps">
    <w:name w:val="hps"/>
    <w:basedOn w:val="DefaultParagraphFont"/>
    <w:rsid w:val="00CC4D8C"/>
  </w:style>
  <w:style w:type="paragraph" w:styleId="NormalWeb">
    <w:name w:val="Normal (Web)"/>
    <w:basedOn w:val="Normal"/>
    <w:uiPriority w:val="99"/>
    <w:semiHidden/>
    <w:unhideWhenUsed/>
    <w:rsid w:val="005E4B92"/>
    <w:pPr>
      <w:tabs>
        <w:tab w:val="clear" w:pos="567"/>
      </w:tabs>
      <w:spacing w:before="100" w:beforeAutospacing="1" w:after="100" w:afterAutospacing="1" w:line="240" w:lineRule="auto"/>
    </w:pPr>
    <w:rPr>
      <w:sz w:val="24"/>
      <w:szCs w:val="24"/>
      <w:lang w:val="en-US"/>
    </w:rPr>
  </w:style>
  <w:style w:type="character" w:styleId="Emphasis">
    <w:name w:val="Emphasis"/>
    <w:uiPriority w:val="20"/>
    <w:qFormat/>
    <w:rsid w:val="007C7ADA"/>
    <w:rPr>
      <w:b/>
      <w:bCs/>
      <w:i w:val="0"/>
      <w:iCs w:val="0"/>
    </w:rPr>
  </w:style>
  <w:style w:type="character" w:customStyle="1" w:styleId="st">
    <w:name w:val="st"/>
    <w:rsid w:val="007C7ADA"/>
  </w:style>
  <w:style w:type="character" w:customStyle="1" w:styleId="st1">
    <w:name w:val="st1"/>
    <w:rsid w:val="00093E76"/>
  </w:style>
  <w:style w:type="paragraph" w:styleId="ListParagraph">
    <w:name w:val="List Paragraph"/>
    <w:basedOn w:val="Normal"/>
    <w:uiPriority w:val="34"/>
    <w:qFormat/>
    <w:rsid w:val="00463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951">
      <w:bodyDiv w:val="1"/>
      <w:marLeft w:val="0"/>
      <w:marRight w:val="0"/>
      <w:marTop w:val="0"/>
      <w:marBottom w:val="0"/>
      <w:divBdr>
        <w:top w:val="none" w:sz="0" w:space="0" w:color="auto"/>
        <w:left w:val="none" w:sz="0" w:space="0" w:color="auto"/>
        <w:bottom w:val="none" w:sz="0" w:space="0" w:color="auto"/>
        <w:right w:val="none" w:sz="0" w:space="0" w:color="auto"/>
      </w:divBdr>
    </w:div>
    <w:div w:id="37628008">
      <w:bodyDiv w:val="1"/>
      <w:marLeft w:val="0"/>
      <w:marRight w:val="0"/>
      <w:marTop w:val="0"/>
      <w:marBottom w:val="0"/>
      <w:divBdr>
        <w:top w:val="none" w:sz="0" w:space="0" w:color="auto"/>
        <w:left w:val="none" w:sz="0" w:space="0" w:color="auto"/>
        <w:bottom w:val="none" w:sz="0" w:space="0" w:color="auto"/>
        <w:right w:val="none" w:sz="0" w:space="0" w:color="auto"/>
      </w:divBdr>
      <w:divsChild>
        <w:div w:id="2064088737">
          <w:marLeft w:val="0"/>
          <w:marRight w:val="0"/>
          <w:marTop w:val="0"/>
          <w:marBottom w:val="0"/>
          <w:divBdr>
            <w:top w:val="none" w:sz="0" w:space="0" w:color="auto"/>
            <w:left w:val="none" w:sz="0" w:space="0" w:color="auto"/>
            <w:bottom w:val="none" w:sz="0" w:space="0" w:color="auto"/>
            <w:right w:val="none" w:sz="0" w:space="0" w:color="auto"/>
          </w:divBdr>
          <w:divsChild>
            <w:div w:id="1083990820">
              <w:marLeft w:val="0"/>
              <w:marRight w:val="0"/>
              <w:marTop w:val="0"/>
              <w:marBottom w:val="0"/>
              <w:divBdr>
                <w:top w:val="none" w:sz="0" w:space="0" w:color="auto"/>
                <w:left w:val="none" w:sz="0" w:space="0" w:color="auto"/>
                <w:bottom w:val="none" w:sz="0" w:space="0" w:color="auto"/>
                <w:right w:val="none" w:sz="0" w:space="0" w:color="auto"/>
              </w:divBdr>
              <w:divsChild>
                <w:div w:id="1940020179">
                  <w:marLeft w:val="0"/>
                  <w:marRight w:val="0"/>
                  <w:marTop w:val="0"/>
                  <w:marBottom w:val="0"/>
                  <w:divBdr>
                    <w:top w:val="none" w:sz="0" w:space="0" w:color="auto"/>
                    <w:left w:val="none" w:sz="0" w:space="0" w:color="auto"/>
                    <w:bottom w:val="none" w:sz="0" w:space="0" w:color="auto"/>
                    <w:right w:val="none" w:sz="0" w:space="0" w:color="auto"/>
                  </w:divBdr>
                  <w:divsChild>
                    <w:div w:id="674184423">
                      <w:marLeft w:val="0"/>
                      <w:marRight w:val="0"/>
                      <w:marTop w:val="0"/>
                      <w:marBottom w:val="0"/>
                      <w:divBdr>
                        <w:top w:val="none" w:sz="0" w:space="0" w:color="auto"/>
                        <w:left w:val="none" w:sz="0" w:space="0" w:color="auto"/>
                        <w:bottom w:val="none" w:sz="0" w:space="0" w:color="auto"/>
                        <w:right w:val="none" w:sz="0" w:space="0" w:color="auto"/>
                      </w:divBdr>
                      <w:divsChild>
                        <w:div w:id="148449370">
                          <w:marLeft w:val="0"/>
                          <w:marRight w:val="0"/>
                          <w:marTop w:val="0"/>
                          <w:marBottom w:val="0"/>
                          <w:divBdr>
                            <w:top w:val="none" w:sz="0" w:space="0" w:color="auto"/>
                            <w:left w:val="none" w:sz="0" w:space="0" w:color="auto"/>
                            <w:bottom w:val="none" w:sz="0" w:space="0" w:color="auto"/>
                            <w:right w:val="none" w:sz="0" w:space="0" w:color="auto"/>
                          </w:divBdr>
                          <w:divsChild>
                            <w:div w:id="946615603">
                              <w:marLeft w:val="0"/>
                              <w:marRight w:val="0"/>
                              <w:marTop w:val="0"/>
                              <w:marBottom w:val="0"/>
                              <w:divBdr>
                                <w:top w:val="none" w:sz="0" w:space="0" w:color="auto"/>
                                <w:left w:val="none" w:sz="0" w:space="0" w:color="auto"/>
                                <w:bottom w:val="none" w:sz="0" w:space="0" w:color="auto"/>
                                <w:right w:val="none" w:sz="0" w:space="0" w:color="auto"/>
                              </w:divBdr>
                              <w:divsChild>
                                <w:div w:id="1012342047">
                                  <w:marLeft w:val="0"/>
                                  <w:marRight w:val="0"/>
                                  <w:marTop w:val="0"/>
                                  <w:marBottom w:val="0"/>
                                  <w:divBdr>
                                    <w:top w:val="none" w:sz="0" w:space="0" w:color="auto"/>
                                    <w:left w:val="none" w:sz="0" w:space="0" w:color="auto"/>
                                    <w:bottom w:val="none" w:sz="0" w:space="0" w:color="auto"/>
                                    <w:right w:val="none" w:sz="0" w:space="0" w:color="auto"/>
                                  </w:divBdr>
                                  <w:divsChild>
                                    <w:div w:id="1643071261">
                                      <w:marLeft w:val="0"/>
                                      <w:marRight w:val="0"/>
                                      <w:marTop w:val="0"/>
                                      <w:marBottom w:val="0"/>
                                      <w:divBdr>
                                        <w:top w:val="none" w:sz="0" w:space="0" w:color="auto"/>
                                        <w:left w:val="none" w:sz="0" w:space="0" w:color="auto"/>
                                        <w:bottom w:val="none" w:sz="0" w:space="0" w:color="auto"/>
                                        <w:right w:val="none" w:sz="0" w:space="0" w:color="auto"/>
                                      </w:divBdr>
                                      <w:divsChild>
                                        <w:div w:id="2051806686">
                                          <w:marLeft w:val="0"/>
                                          <w:marRight w:val="0"/>
                                          <w:marTop w:val="0"/>
                                          <w:marBottom w:val="495"/>
                                          <w:divBdr>
                                            <w:top w:val="none" w:sz="0" w:space="0" w:color="auto"/>
                                            <w:left w:val="none" w:sz="0" w:space="0" w:color="auto"/>
                                            <w:bottom w:val="none" w:sz="0" w:space="0" w:color="auto"/>
                                            <w:right w:val="none" w:sz="0" w:space="0" w:color="auto"/>
                                          </w:divBdr>
                                          <w:divsChild>
                                            <w:div w:id="5481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44063">
      <w:bodyDiv w:val="1"/>
      <w:marLeft w:val="0"/>
      <w:marRight w:val="0"/>
      <w:marTop w:val="0"/>
      <w:marBottom w:val="0"/>
      <w:divBdr>
        <w:top w:val="none" w:sz="0" w:space="0" w:color="auto"/>
        <w:left w:val="none" w:sz="0" w:space="0" w:color="auto"/>
        <w:bottom w:val="none" w:sz="0" w:space="0" w:color="auto"/>
        <w:right w:val="none" w:sz="0" w:space="0" w:color="auto"/>
      </w:divBdr>
    </w:div>
    <w:div w:id="467743766">
      <w:bodyDiv w:val="1"/>
      <w:marLeft w:val="0"/>
      <w:marRight w:val="0"/>
      <w:marTop w:val="0"/>
      <w:marBottom w:val="0"/>
      <w:divBdr>
        <w:top w:val="none" w:sz="0" w:space="0" w:color="auto"/>
        <w:left w:val="none" w:sz="0" w:space="0" w:color="auto"/>
        <w:bottom w:val="none" w:sz="0" w:space="0" w:color="auto"/>
        <w:right w:val="none" w:sz="0" w:space="0" w:color="auto"/>
      </w:divBdr>
      <w:divsChild>
        <w:div w:id="871766555">
          <w:marLeft w:val="0"/>
          <w:marRight w:val="0"/>
          <w:marTop w:val="0"/>
          <w:marBottom w:val="0"/>
          <w:divBdr>
            <w:top w:val="none" w:sz="0" w:space="0" w:color="auto"/>
            <w:left w:val="none" w:sz="0" w:space="0" w:color="auto"/>
            <w:bottom w:val="none" w:sz="0" w:space="0" w:color="auto"/>
            <w:right w:val="none" w:sz="0" w:space="0" w:color="auto"/>
          </w:divBdr>
          <w:divsChild>
            <w:div w:id="1624994335">
              <w:marLeft w:val="0"/>
              <w:marRight w:val="0"/>
              <w:marTop w:val="0"/>
              <w:marBottom w:val="0"/>
              <w:divBdr>
                <w:top w:val="none" w:sz="0" w:space="0" w:color="auto"/>
                <w:left w:val="none" w:sz="0" w:space="0" w:color="auto"/>
                <w:bottom w:val="none" w:sz="0" w:space="0" w:color="auto"/>
                <w:right w:val="none" w:sz="0" w:space="0" w:color="auto"/>
              </w:divBdr>
              <w:divsChild>
                <w:div w:id="184055442">
                  <w:marLeft w:val="0"/>
                  <w:marRight w:val="0"/>
                  <w:marTop w:val="0"/>
                  <w:marBottom w:val="0"/>
                  <w:divBdr>
                    <w:top w:val="none" w:sz="0" w:space="0" w:color="auto"/>
                    <w:left w:val="none" w:sz="0" w:space="0" w:color="auto"/>
                    <w:bottom w:val="none" w:sz="0" w:space="0" w:color="auto"/>
                    <w:right w:val="none" w:sz="0" w:space="0" w:color="auto"/>
                  </w:divBdr>
                  <w:divsChild>
                    <w:div w:id="1652051954">
                      <w:marLeft w:val="0"/>
                      <w:marRight w:val="0"/>
                      <w:marTop w:val="0"/>
                      <w:marBottom w:val="0"/>
                      <w:divBdr>
                        <w:top w:val="none" w:sz="0" w:space="0" w:color="auto"/>
                        <w:left w:val="none" w:sz="0" w:space="0" w:color="auto"/>
                        <w:bottom w:val="none" w:sz="0" w:space="0" w:color="auto"/>
                        <w:right w:val="none" w:sz="0" w:space="0" w:color="auto"/>
                      </w:divBdr>
                      <w:divsChild>
                        <w:div w:id="1396197574">
                          <w:marLeft w:val="0"/>
                          <w:marRight w:val="0"/>
                          <w:marTop w:val="0"/>
                          <w:marBottom w:val="0"/>
                          <w:divBdr>
                            <w:top w:val="none" w:sz="0" w:space="0" w:color="auto"/>
                            <w:left w:val="none" w:sz="0" w:space="0" w:color="auto"/>
                            <w:bottom w:val="none" w:sz="0" w:space="0" w:color="auto"/>
                            <w:right w:val="none" w:sz="0" w:space="0" w:color="auto"/>
                          </w:divBdr>
                          <w:divsChild>
                            <w:div w:id="1710572924">
                              <w:marLeft w:val="0"/>
                              <w:marRight w:val="0"/>
                              <w:marTop w:val="0"/>
                              <w:marBottom w:val="0"/>
                              <w:divBdr>
                                <w:top w:val="none" w:sz="0" w:space="0" w:color="auto"/>
                                <w:left w:val="none" w:sz="0" w:space="0" w:color="auto"/>
                                <w:bottom w:val="none" w:sz="0" w:space="0" w:color="auto"/>
                                <w:right w:val="none" w:sz="0" w:space="0" w:color="auto"/>
                              </w:divBdr>
                              <w:divsChild>
                                <w:div w:id="1463576429">
                                  <w:marLeft w:val="0"/>
                                  <w:marRight w:val="0"/>
                                  <w:marTop w:val="0"/>
                                  <w:marBottom w:val="0"/>
                                  <w:divBdr>
                                    <w:top w:val="none" w:sz="0" w:space="0" w:color="auto"/>
                                    <w:left w:val="none" w:sz="0" w:space="0" w:color="auto"/>
                                    <w:bottom w:val="none" w:sz="0" w:space="0" w:color="auto"/>
                                    <w:right w:val="none" w:sz="0" w:space="0" w:color="auto"/>
                                  </w:divBdr>
                                  <w:divsChild>
                                    <w:div w:id="1984694251">
                                      <w:marLeft w:val="60"/>
                                      <w:marRight w:val="0"/>
                                      <w:marTop w:val="0"/>
                                      <w:marBottom w:val="0"/>
                                      <w:divBdr>
                                        <w:top w:val="none" w:sz="0" w:space="0" w:color="auto"/>
                                        <w:left w:val="none" w:sz="0" w:space="0" w:color="auto"/>
                                        <w:bottom w:val="none" w:sz="0" w:space="0" w:color="auto"/>
                                        <w:right w:val="none" w:sz="0" w:space="0" w:color="auto"/>
                                      </w:divBdr>
                                      <w:divsChild>
                                        <w:div w:id="2099515620">
                                          <w:marLeft w:val="0"/>
                                          <w:marRight w:val="0"/>
                                          <w:marTop w:val="0"/>
                                          <w:marBottom w:val="0"/>
                                          <w:divBdr>
                                            <w:top w:val="none" w:sz="0" w:space="0" w:color="auto"/>
                                            <w:left w:val="none" w:sz="0" w:space="0" w:color="auto"/>
                                            <w:bottom w:val="none" w:sz="0" w:space="0" w:color="auto"/>
                                            <w:right w:val="none" w:sz="0" w:space="0" w:color="auto"/>
                                          </w:divBdr>
                                          <w:divsChild>
                                            <w:div w:id="1503661400">
                                              <w:marLeft w:val="0"/>
                                              <w:marRight w:val="0"/>
                                              <w:marTop w:val="0"/>
                                              <w:marBottom w:val="120"/>
                                              <w:divBdr>
                                                <w:top w:val="single" w:sz="6" w:space="0" w:color="F5F5F5"/>
                                                <w:left w:val="single" w:sz="6" w:space="0" w:color="F5F5F5"/>
                                                <w:bottom w:val="single" w:sz="6" w:space="0" w:color="F5F5F5"/>
                                                <w:right w:val="single" w:sz="6" w:space="0" w:color="F5F5F5"/>
                                              </w:divBdr>
                                              <w:divsChild>
                                                <w:div w:id="1495804883">
                                                  <w:marLeft w:val="0"/>
                                                  <w:marRight w:val="0"/>
                                                  <w:marTop w:val="0"/>
                                                  <w:marBottom w:val="0"/>
                                                  <w:divBdr>
                                                    <w:top w:val="none" w:sz="0" w:space="0" w:color="auto"/>
                                                    <w:left w:val="none" w:sz="0" w:space="0" w:color="auto"/>
                                                    <w:bottom w:val="none" w:sz="0" w:space="0" w:color="auto"/>
                                                    <w:right w:val="none" w:sz="0" w:space="0" w:color="auto"/>
                                                  </w:divBdr>
                                                  <w:divsChild>
                                                    <w:div w:id="984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495859">
      <w:bodyDiv w:val="1"/>
      <w:marLeft w:val="0"/>
      <w:marRight w:val="0"/>
      <w:marTop w:val="0"/>
      <w:marBottom w:val="0"/>
      <w:divBdr>
        <w:top w:val="none" w:sz="0" w:space="0" w:color="auto"/>
        <w:left w:val="none" w:sz="0" w:space="0" w:color="auto"/>
        <w:bottom w:val="none" w:sz="0" w:space="0" w:color="auto"/>
        <w:right w:val="none" w:sz="0" w:space="0" w:color="auto"/>
      </w:divBdr>
      <w:divsChild>
        <w:div w:id="405034735">
          <w:marLeft w:val="0"/>
          <w:marRight w:val="0"/>
          <w:marTop w:val="0"/>
          <w:marBottom w:val="0"/>
          <w:divBdr>
            <w:top w:val="none" w:sz="0" w:space="0" w:color="auto"/>
            <w:left w:val="none" w:sz="0" w:space="0" w:color="auto"/>
            <w:bottom w:val="none" w:sz="0" w:space="0" w:color="auto"/>
            <w:right w:val="none" w:sz="0" w:space="0" w:color="auto"/>
          </w:divBdr>
          <w:divsChild>
            <w:div w:id="2054230238">
              <w:marLeft w:val="0"/>
              <w:marRight w:val="0"/>
              <w:marTop w:val="0"/>
              <w:marBottom w:val="0"/>
              <w:divBdr>
                <w:top w:val="none" w:sz="0" w:space="0" w:color="auto"/>
                <w:left w:val="none" w:sz="0" w:space="0" w:color="auto"/>
                <w:bottom w:val="none" w:sz="0" w:space="0" w:color="auto"/>
                <w:right w:val="none" w:sz="0" w:space="0" w:color="auto"/>
              </w:divBdr>
              <w:divsChild>
                <w:div w:id="967395993">
                  <w:marLeft w:val="0"/>
                  <w:marRight w:val="0"/>
                  <w:marTop w:val="0"/>
                  <w:marBottom w:val="0"/>
                  <w:divBdr>
                    <w:top w:val="none" w:sz="0" w:space="0" w:color="auto"/>
                    <w:left w:val="none" w:sz="0" w:space="0" w:color="auto"/>
                    <w:bottom w:val="none" w:sz="0" w:space="0" w:color="auto"/>
                    <w:right w:val="none" w:sz="0" w:space="0" w:color="auto"/>
                  </w:divBdr>
                  <w:divsChild>
                    <w:div w:id="1044136199">
                      <w:marLeft w:val="0"/>
                      <w:marRight w:val="0"/>
                      <w:marTop w:val="0"/>
                      <w:marBottom w:val="0"/>
                      <w:divBdr>
                        <w:top w:val="none" w:sz="0" w:space="0" w:color="auto"/>
                        <w:left w:val="none" w:sz="0" w:space="0" w:color="auto"/>
                        <w:bottom w:val="none" w:sz="0" w:space="0" w:color="auto"/>
                        <w:right w:val="none" w:sz="0" w:space="0" w:color="auto"/>
                      </w:divBdr>
                      <w:divsChild>
                        <w:div w:id="1090202131">
                          <w:marLeft w:val="0"/>
                          <w:marRight w:val="0"/>
                          <w:marTop w:val="0"/>
                          <w:marBottom w:val="0"/>
                          <w:divBdr>
                            <w:top w:val="none" w:sz="0" w:space="0" w:color="auto"/>
                            <w:left w:val="none" w:sz="0" w:space="0" w:color="auto"/>
                            <w:bottom w:val="none" w:sz="0" w:space="0" w:color="auto"/>
                            <w:right w:val="none" w:sz="0" w:space="0" w:color="auto"/>
                          </w:divBdr>
                          <w:divsChild>
                            <w:div w:id="1933006872">
                              <w:marLeft w:val="0"/>
                              <w:marRight w:val="0"/>
                              <w:marTop w:val="0"/>
                              <w:marBottom w:val="0"/>
                              <w:divBdr>
                                <w:top w:val="none" w:sz="0" w:space="0" w:color="auto"/>
                                <w:left w:val="none" w:sz="0" w:space="0" w:color="auto"/>
                                <w:bottom w:val="none" w:sz="0" w:space="0" w:color="auto"/>
                                <w:right w:val="none" w:sz="0" w:space="0" w:color="auto"/>
                              </w:divBdr>
                              <w:divsChild>
                                <w:div w:id="277222091">
                                  <w:marLeft w:val="0"/>
                                  <w:marRight w:val="0"/>
                                  <w:marTop w:val="0"/>
                                  <w:marBottom w:val="0"/>
                                  <w:divBdr>
                                    <w:top w:val="none" w:sz="0" w:space="0" w:color="auto"/>
                                    <w:left w:val="none" w:sz="0" w:space="0" w:color="auto"/>
                                    <w:bottom w:val="none" w:sz="0" w:space="0" w:color="auto"/>
                                    <w:right w:val="none" w:sz="0" w:space="0" w:color="auto"/>
                                  </w:divBdr>
                                  <w:divsChild>
                                    <w:div w:id="1860387398">
                                      <w:marLeft w:val="0"/>
                                      <w:marRight w:val="0"/>
                                      <w:marTop w:val="0"/>
                                      <w:marBottom w:val="0"/>
                                      <w:divBdr>
                                        <w:top w:val="none" w:sz="0" w:space="0" w:color="auto"/>
                                        <w:left w:val="none" w:sz="0" w:space="0" w:color="auto"/>
                                        <w:bottom w:val="none" w:sz="0" w:space="0" w:color="auto"/>
                                        <w:right w:val="none" w:sz="0" w:space="0" w:color="auto"/>
                                      </w:divBdr>
                                      <w:divsChild>
                                        <w:div w:id="1126969160">
                                          <w:marLeft w:val="0"/>
                                          <w:marRight w:val="0"/>
                                          <w:marTop w:val="0"/>
                                          <w:marBottom w:val="495"/>
                                          <w:divBdr>
                                            <w:top w:val="none" w:sz="0" w:space="0" w:color="auto"/>
                                            <w:left w:val="none" w:sz="0" w:space="0" w:color="auto"/>
                                            <w:bottom w:val="none" w:sz="0" w:space="0" w:color="auto"/>
                                            <w:right w:val="none" w:sz="0" w:space="0" w:color="auto"/>
                                          </w:divBdr>
                                          <w:divsChild>
                                            <w:div w:id="17881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627890">
      <w:bodyDiv w:val="1"/>
      <w:marLeft w:val="0"/>
      <w:marRight w:val="0"/>
      <w:marTop w:val="0"/>
      <w:marBottom w:val="0"/>
      <w:divBdr>
        <w:top w:val="none" w:sz="0" w:space="0" w:color="auto"/>
        <w:left w:val="none" w:sz="0" w:space="0" w:color="auto"/>
        <w:bottom w:val="none" w:sz="0" w:space="0" w:color="auto"/>
        <w:right w:val="none" w:sz="0" w:space="0" w:color="auto"/>
      </w:divBdr>
    </w:div>
    <w:div w:id="737703668">
      <w:bodyDiv w:val="1"/>
      <w:marLeft w:val="0"/>
      <w:marRight w:val="0"/>
      <w:marTop w:val="0"/>
      <w:marBottom w:val="0"/>
      <w:divBdr>
        <w:top w:val="none" w:sz="0" w:space="0" w:color="auto"/>
        <w:left w:val="none" w:sz="0" w:space="0" w:color="auto"/>
        <w:bottom w:val="none" w:sz="0" w:space="0" w:color="auto"/>
        <w:right w:val="none" w:sz="0" w:space="0" w:color="auto"/>
      </w:divBdr>
    </w:div>
    <w:div w:id="864296341">
      <w:bodyDiv w:val="1"/>
      <w:marLeft w:val="0"/>
      <w:marRight w:val="0"/>
      <w:marTop w:val="0"/>
      <w:marBottom w:val="0"/>
      <w:divBdr>
        <w:top w:val="none" w:sz="0" w:space="0" w:color="auto"/>
        <w:left w:val="none" w:sz="0" w:space="0" w:color="auto"/>
        <w:bottom w:val="none" w:sz="0" w:space="0" w:color="auto"/>
        <w:right w:val="none" w:sz="0" w:space="0" w:color="auto"/>
      </w:divBdr>
    </w:div>
    <w:div w:id="938414800">
      <w:bodyDiv w:val="1"/>
      <w:marLeft w:val="0"/>
      <w:marRight w:val="0"/>
      <w:marTop w:val="0"/>
      <w:marBottom w:val="0"/>
      <w:divBdr>
        <w:top w:val="none" w:sz="0" w:space="0" w:color="auto"/>
        <w:left w:val="none" w:sz="0" w:space="0" w:color="auto"/>
        <w:bottom w:val="none" w:sz="0" w:space="0" w:color="auto"/>
        <w:right w:val="none" w:sz="0" w:space="0" w:color="auto"/>
      </w:divBdr>
      <w:divsChild>
        <w:div w:id="2000114905">
          <w:marLeft w:val="0"/>
          <w:marRight w:val="0"/>
          <w:marTop w:val="0"/>
          <w:marBottom w:val="0"/>
          <w:divBdr>
            <w:top w:val="none" w:sz="0" w:space="0" w:color="auto"/>
            <w:left w:val="none" w:sz="0" w:space="0" w:color="auto"/>
            <w:bottom w:val="none" w:sz="0" w:space="0" w:color="auto"/>
            <w:right w:val="none" w:sz="0" w:space="0" w:color="auto"/>
          </w:divBdr>
          <w:divsChild>
            <w:div w:id="1118842059">
              <w:marLeft w:val="0"/>
              <w:marRight w:val="0"/>
              <w:marTop w:val="0"/>
              <w:marBottom w:val="0"/>
              <w:divBdr>
                <w:top w:val="none" w:sz="0" w:space="0" w:color="auto"/>
                <w:left w:val="none" w:sz="0" w:space="0" w:color="auto"/>
                <w:bottom w:val="none" w:sz="0" w:space="0" w:color="auto"/>
                <w:right w:val="none" w:sz="0" w:space="0" w:color="auto"/>
              </w:divBdr>
              <w:divsChild>
                <w:div w:id="854272154">
                  <w:marLeft w:val="0"/>
                  <w:marRight w:val="0"/>
                  <w:marTop w:val="0"/>
                  <w:marBottom w:val="0"/>
                  <w:divBdr>
                    <w:top w:val="none" w:sz="0" w:space="0" w:color="auto"/>
                    <w:left w:val="none" w:sz="0" w:space="0" w:color="auto"/>
                    <w:bottom w:val="none" w:sz="0" w:space="0" w:color="auto"/>
                    <w:right w:val="none" w:sz="0" w:space="0" w:color="auto"/>
                  </w:divBdr>
                  <w:divsChild>
                    <w:div w:id="760108046">
                      <w:marLeft w:val="0"/>
                      <w:marRight w:val="0"/>
                      <w:marTop w:val="0"/>
                      <w:marBottom w:val="0"/>
                      <w:divBdr>
                        <w:top w:val="none" w:sz="0" w:space="0" w:color="auto"/>
                        <w:left w:val="none" w:sz="0" w:space="0" w:color="auto"/>
                        <w:bottom w:val="none" w:sz="0" w:space="0" w:color="auto"/>
                        <w:right w:val="none" w:sz="0" w:space="0" w:color="auto"/>
                      </w:divBdr>
                      <w:divsChild>
                        <w:div w:id="2053263430">
                          <w:marLeft w:val="0"/>
                          <w:marRight w:val="0"/>
                          <w:marTop w:val="0"/>
                          <w:marBottom w:val="0"/>
                          <w:divBdr>
                            <w:top w:val="none" w:sz="0" w:space="0" w:color="auto"/>
                            <w:left w:val="none" w:sz="0" w:space="0" w:color="auto"/>
                            <w:bottom w:val="none" w:sz="0" w:space="0" w:color="auto"/>
                            <w:right w:val="none" w:sz="0" w:space="0" w:color="auto"/>
                          </w:divBdr>
                          <w:divsChild>
                            <w:div w:id="1251616894">
                              <w:marLeft w:val="0"/>
                              <w:marRight w:val="0"/>
                              <w:marTop w:val="0"/>
                              <w:marBottom w:val="0"/>
                              <w:divBdr>
                                <w:top w:val="none" w:sz="0" w:space="0" w:color="auto"/>
                                <w:left w:val="none" w:sz="0" w:space="0" w:color="auto"/>
                                <w:bottom w:val="none" w:sz="0" w:space="0" w:color="auto"/>
                                <w:right w:val="none" w:sz="0" w:space="0" w:color="auto"/>
                              </w:divBdr>
                              <w:divsChild>
                                <w:div w:id="2108233098">
                                  <w:marLeft w:val="0"/>
                                  <w:marRight w:val="0"/>
                                  <w:marTop w:val="0"/>
                                  <w:marBottom w:val="0"/>
                                  <w:divBdr>
                                    <w:top w:val="none" w:sz="0" w:space="0" w:color="auto"/>
                                    <w:left w:val="none" w:sz="0" w:space="0" w:color="auto"/>
                                    <w:bottom w:val="none" w:sz="0" w:space="0" w:color="auto"/>
                                    <w:right w:val="none" w:sz="0" w:space="0" w:color="auto"/>
                                  </w:divBdr>
                                  <w:divsChild>
                                    <w:div w:id="1701583714">
                                      <w:marLeft w:val="0"/>
                                      <w:marRight w:val="0"/>
                                      <w:marTop w:val="0"/>
                                      <w:marBottom w:val="0"/>
                                      <w:divBdr>
                                        <w:top w:val="none" w:sz="0" w:space="0" w:color="auto"/>
                                        <w:left w:val="none" w:sz="0" w:space="0" w:color="auto"/>
                                        <w:bottom w:val="none" w:sz="0" w:space="0" w:color="auto"/>
                                        <w:right w:val="none" w:sz="0" w:space="0" w:color="auto"/>
                                      </w:divBdr>
                                      <w:divsChild>
                                        <w:div w:id="1271013918">
                                          <w:marLeft w:val="0"/>
                                          <w:marRight w:val="0"/>
                                          <w:marTop w:val="0"/>
                                          <w:marBottom w:val="495"/>
                                          <w:divBdr>
                                            <w:top w:val="none" w:sz="0" w:space="0" w:color="auto"/>
                                            <w:left w:val="none" w:sz="0" w:space="0" w:color="auto"/>
                                            <w:bottom w:val="none" w:sz="0" w:space="0" w:color="auto"/>
                                            <w:right w:val="none" w:sz="0" w:space="0" w:color="auto"/>
                                          </w:divBdr>
                                          <w:divsChild>
                                            <w:div w:id="7450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675705">
      <w:bodyDiv w:val="1"/>
      <w:marLeft w:val="0"/>
      <w:marRight w:val="0"/>
      <w:marTop w:val="0"/>
      <w:marBottom w:val="0"/>
      <w:divBdr>
        <w:top w:val="none" w:sz="0" w:space="0" w:color="auto"/>
        <w:left w:val="none" w:sz="0" w:space="0" w:color="auto"/>
        <w:bottom w:val="none" w:sz="0" w:space="0" w:color="auto"/>
        <w:right w:val="none" w:sz="0" w:space="0" w:color="auto"/>
      </w:divBdr>
    </w:div>
    <w:div w:id="1360351471">
      <w:bodyDiv w:val="1"/>
      <w:marLeft w:val="0"/>
      <w:marRight w:val="0"/>
      <w:marTop w:val="0"/>
      <w:marBottom w:val="0"/>
      <w:divBdr>
        <w:top w:val="none" w:sz="0" w:space="0" w:color="auto"/>
        <w:left w:val="none" w:sz="0" w:space="0" w:color="auto"/>
        <w:bottom w:val="none" w:sz="0" w:space="0" w:color="auto"/>
        <w:right w:val="none" w:sz="0" w:space="0" w:color="auto"/>
      </w:divBdr>
    </w:div>
    <w:div w:id="1511724315">
      <w:bodyDiv w:val="1"/>
      <w:marLeft w:val="0"/>
      <w:marRight w:val="0"/>
      <w:marTop w:val="0"/>
      <w:marBottom w:val="0"/>
      <w:divBdr>
        <w:top w:val="none" w:sz="0" w:space="0" w:color="auto"/>
        <w:left w:val="none" w:sz="0" w:space="0" w:color="auto"/>
        <w:bottom w:val="none" w:sz="0" w:space="0" w:color="auto"/>
        <w:right w:val="none" w:sz="0" w:space="0" w:color="auto"/>
      </w:divBdr>
    </w:div>
    <w:div w:id="1582835228">
      <w:bodyDiv w:val="1"/>
      <w:marLeft w:val="0"/>
      <w:marRight w:val="0"/>
      <w:marTop w:val="0"/>
      <w:marBottom w:val="0"/>
      <w:divBdr>
        <w:top w:val="none" w:sz="0" w:space="0" w:color="auto"/>
        <w:left w:val="none" w:sz="0" w:space="0" w:color="auto"/>
        <w:bottom w:val="none" w:sz="0" w:space="0" w:color="auto"/>
        <w:right w:val="none" w:sz="0" w:space="0" w:color="auto"/>
      </w:divBdr>
    </w:div>
    <w:div w:id="1634404651">
      <w:bodyDiv w:val="1"/>
      <w:marLeft w:val="0"/>
      <w:marRight w:val="0"/>
      <w:marTop w:val="0"/>
      <w:marBottom w:val="0"/>
      <w:divBdr>
        <w:top w:val="none" w:sz="0" w:space="0" w:color="auto"/>
        <w:left w:val="none" w:sz="0" w:space="0" w:color="auto"/>
        <w:bottom w:val="none" w:sz="0" w:space="0" w:color="auto"/>
        <w:right w:val="none" w:sz="0" w:space="0" w:color="auto"/>
      </w:divBdr>
      <w:divsChild>
        <w:div w:id="1287586809">
          <w:marLeft w:val="0"/>
          <w:marRight w:val="0"/>
          <w:marTop w:val="0"/>
          <w:marBottom w:val="0"/>
          <w:divBdr>
            <w:top w:val="none" w:sz="0" w:space="0" w:color="auto"/>
            <w:left w:val="none" w:sz="0" w:space="0" w:color="auto"/>
            <w:bottom w:val="none" w:sz="0" w:space="0" w:color="auto"/>
            <w:right w:val="none" w:sz="0" w:space="0" w:color="auto"/>
          </w:divBdr>
          <w:divsChild>
            <w:div w:id="285624310">
              <w:marLeft w:val="0"/>
              <w:marRight w:val="0"/>
              <w:marTop w:val="0"/>
              <w:marBottom w:val="0"/>
              <w:divBdr>
                <w:top w:val="none" w:sz="0" w:space="0" w:color="auto"/>
                <w:left w:val="none" w:sz="0" w:space="0" w:color="auto"/>
                <w:bottom w:val="none" w:sz="0" w:space="0" w:color="auto"/>
                <w:right w:val="none" w:sz="0" w:space="0" w:color="auto"/>
              </w:divBdr>
              <w:divsChild>
                <w:div w:id="1886720165">
                  <w:marLeft w:val="0"/>
                  <w:marRight w:val="0"/>
                  <w:marTop w:val="0"/>
                  <w:marBottom w:val="0"/>
                  <w:divBdr>
                    <w:top w:val="none" w:sz="0" w:space="0" w:color="auto"/>
                    <w:left w:val="none" w:sz="0" w:space="0" w:color="auto"/>
                    <w:bottom w:val="none" w:sz="0" w:space="0" w:color="auto"/>
                    <w:right w:val="none" w:sz="0" w:space="0" w:color="auto"/>
                  </w:divBdr>
                  <w:divsChild>
                    <w:div w:id="906303022">
                      <w:marLeft w:val="0"/>
                      <w:marRight w:val="0"/>
                      <w:marTop w:val="0"/>
                      <w:marBottom w:val="0"/>
                      <w:divBdr>
                        <w:top w:val="none" w:sz="0" w:space="0" w:color="auto"/>
                        <w:left w:val="none" w:sz="0" w:space="0" w:color="auto"/>
                        <w:bottom w:val="none" w:sz="0" w:space="0" w:color="auto"/>
                        <w:right w:val="none" w:sz="0" w:space="0" w:color="auto"/>
                      </w:divBdr>
                      <w:divsChild>
                        <w:div w:id="900217271">
                          <w:marLeft w:val="0"/>
                          <w:marRight w:val="0"/>
                          <w:marTop w:val="0"/>
                          <w:marBottom w:val="0"/>
                          <w:divBdr>
                            <w:top w:val="none" w:sz="0" w:space="0" w:color="auto"/>
                            <w:left w:val="none" w:sz="0" w:space="0" w:color="auto"/>
                            <w:bottom w:val="none" w:sz="0" w:space="0" w:color="auto"/>
                            <w:right w:val="none" w:sz="0" w:space="0" w:color="auto"/>
                          </w:divBdr>
                          <w:divsChild>
                            <w:div w:id="1291285650">
                              <w:marLeft w:val="0"/>
                              <w:marRight w:val="0"/>
                              <w:marTop w:val="0"/>
                              <w:marBottom w:val="0"/>
                              <w:divBdr>
                                <w:top w:val="none" w:sz="0" w:space="0" w:color="auto"/>
                                <w:left w:val="none" w:sz="0" w:space="0" w:color="auto"/>
                                <w:bottom w:val="none" w:sz="0" w:space="0" w:color="auto"/>
                                <w:right w:val="none" w:sz="0" w:space="0" w:color="auto"/>
                              </w:divBdr>
                              <w:divsChild>
                                <w:div w:id="1521621366">
                                  <w:marLeft w:val="0"/>
                                  <w:marRight w:val="0"/>
                                  <w:marTop w:val="0"/>
                                  <w:marBottom w:val="0"/>
                                  <w:divBdr>
                                    <w:top w:val="none" w:sz="0" w:space="0" w:color="auto"/>
                                    <w:left w:val="none" w:sz="0" w:space="0" w:color="auto"/>
                                    <w:bottom w:val="none" w:sz="0" w:space="0" w:color="auto"/>
                                    <w:right w:val="none" w:sz="0" w:space="0" w:color="auto"/>
                                  </w:divBdr>
                                  <w:divsChild>
                                    <w:div w:id="732854750">
                                      <w:marLeft w:val="60"/>
                                      <w:marRight w:val="0"/>
                                      <w:marTop w:val="0"/>
                                      <w:marBottom w:val="0"/>
                                      <w:divBdr>
                                        <w:top w:val="none" w:sz="0" w:space="0" w:color="auto"/>
                                        <w:left w:val="none" w:sz="0" w:space="0" w:color="auto"/>
                                        <w:bottom w:val="none" w:sz="0" w:space="0" w:color="auto"/>
                                        <w:right w:val="none" w:sz="0" w:space="0" w:color="auto"/>
                                      </w:divBdr>
                                      <w:divsChild>
                                        <w:div w:id="1169635673">
                                          <w:marLeft w:val="0"/>
                                          <w:marRight w:val="0"/>
                                          <w:marTop w:val="0"/>
                                          <w:marBottom w:val="0"/>
                                          <w:divBdr>
                                            <w:top w:val="none" w:sz="0" w:space="0" w:color="auto"/>
                                            <w:left w:val="none" w:sz="0" w:space="0" w:color="auto"/>
                                            <w:bottom w:val="none" w:sz="0" w:space="0" w:color="auto"/>
                                            <w:right w:val="none" w:sz="0" w:space="0" w:color="auto"/>
                                          </w:divBdr>
                                          <w:divsChild>
                                            <w:div w:id="830368173">
                                              <w:marLeft w:val="0"/>
                                              <w:marRight w:val="0"/>
                                              <w:marTop w:val="0"/>
                                              <w:marBottom w:val="120"/>
                                              <w:divBdr>
                                                <w:top w:val="single" w:sz="6" w:space="0" w:color="F5F5F5"/>
                                                <w:left w:val="single" w:sz="6" w:space="0" w:color="F5F5F5"/>
                                                <w:bottom w:val="single" w:sz="6" w:space="0" w:color="F5F5F5"/>
                                                <w:right w:val="single" w:sz="6" w:space="0" w:color="F5F5F5"/>
                                              </w:divBdr>
                                              <w:divsChild>
                                                <w:div w:id="484511369">
                                                  <w:marLeft w:val="0"/>
                                                  <w:marRight w:val="0"/>
                                                  <w:marTop w:val="0"/>
                                                  <w:marBottom w:val="0"/>
                                                  <w:divBdr>
                                                    <w:top w:val="none" w:sz="0" w:space="0" w:color="auto"/>
                                                    <w:left w:val="none" w:sz="0" w:space="0" w:color="auto"/>
                                                    <w:bottom w:val="none" w:sz="0" w:space="0" w:color="auto"/>
                                                    <w:right w:val="none" w:sz="0" w:space="0" w:color="auto"/>
                                                  </w:divBdr>
                                                  <w:divsChild>
                                                    <w:div w:id="406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996045">
      <w:bodyDiv w:val="1"/>
      <w:marLeft w:val="0"/>
      <w:marRight w:val="0"/>
      <w:marTop w:val="0"/>
      <w:marBottom w:val="0"/>
      <w:divBdr>
        <w:top w:val="none" w:sz="0" w:space="0" w:color="auto"/>
        <w:left w:val="none" w:sz="0" w:space="0" w:color="auto"/>
        <w:bottom w:val="none" w:sz="0" w:space="0" w:color="auto"/>
        <w:right w:val="none" w:sz="0" w:space="0" w:color="auto"/>
      </w:divBdr>
      <w:divsChild>
        <w:div w:id="2142528248">
          <w:marLeft w:val="0"/>
          <w:marRight w:val="0"/>
          <w:marTop w:val="0"/>
          <w:marBottom w:val="0"/>
          <w:divBdr>
            <w:top w:val="none" w:sz="0" w:space="0" w:color="auto"/>
            <w:left w:val="none" w:sz="0" w:space="0" w:color="auto"/>
            <w:bottom w:val="none" w:sz="0" w:space="0" w:color="auto"/>
            <w:right w:val="none" w:sz="0" w:space="0" w:color="auto"/>
          </w:divBdr>
          <w:divsChild>
            <w:div w:id="478037150">
              <w:marLeft w:val="0"/>
              <w:marRight w:val="0"/>
              <w:marTop w:val="0"/>
              <w:marBottom w:val="0"/>
              <w:divBdr>
                <w:top w:val="none" w:sz="0" w:space="0" w:color="auto"/>
                <w:left w:val="none" w:sz="0" w:space="0" w:color="auto"/>
                <w:bottom w:val="none" w:sz="0" w:space="0" w:color="auto"/>
                <w:right w:val="none" w:sz="0" w:space="0" w:color="auto"/>
              </w:divBdr>
              <w:divsChild>
                <w:div w:id="2060396067">
                  <w:marLeft w:val="0"/>
                  <w:marRight w:val="0"/>
                  <w:marTop w:val="0"/>
                  <w:marBottom w:val="0"/>
                  <w:divBdr>
                    <w:top w:val="none" w:sz="0" w:space="0" w:color="auto"/>
                    <w:left w:val="none" w:sz="0" w:space="0" w:color="auto"/>
                    <w:bottom w:val="none" w:sz="0" w:space="0" w:color="auto"/>
                    <w:right w:val="none" w:sz="0" w:space="0" w:color="auto"/>
                  </w:divBdr>
                  <w:divsChild>
                    <w:div w:id="535894768">
                      <w:marLeft w:val="0"/>
                      <w:marRight w:val="0"/>
                      <w:marTop w:val="0"/>
                      <w:marBottom w:val="0"/>
                      <w:divBdr>
                        <w:top w:val="none" w:sz="0" w:space="0" w:color="auto"/>
                        <w:left w:val="none" w:sz="0" w:space="0" w:color="auto"/>
                        <w:bottom w:val="none" w:sz="0" w:space="0" w:color="auto"/>
                        <w:right w:val="none" w:sz="0" w:space="0" w:color="auto"/>
                      </w:divBdr>
                      <w:divsChild>
                        <w:div w:id="1191185376">
                          <w:marLeft w:val="0"/>
                          <w:marRight w:val="0"/>
                          <w:marTop w:val="0"/>
                          <w:marBottom w:val="0"/>
                          <w:divBdr>
                            <w:top w:val="none" w:sz="0" w:space="0" w:color="auto"/>
                            <w:left w:val="none" w:sz="0" w:space="0" w:color="auto"/>
                            <w:bottom w:val="none" w:sz="0" w:space="0" w:color="auto"/>
                            <w:right w:val="none" w:sz="0" w:space="0" w:color="auto"/>
                          </w:divBdr>
                          <w:divsChild>
                            <w:div w:id="1027637125">
                              <w:marLeft w:val="0"/>
                              <w:marRight w:val="0"/>
                              <w:marTop w:val="0"/>
                              <w:marBottom w:val="0"/>
                              <w:divBdr>
                                <w:top w:val="none" w:sz="0" w:space="0" w:color="auto"/>
                                <w:left w:val="none" w:sz="0" w:space="0" w:color="auto"/>
                                <w:bottom w:val="none" w:sz="0" w:space="0" w:color="auto"/>
                                <w:right w:val="none" w:sz="0" w:space="0" w:color="auto"/>
                              </w:divBdr>
                              <w:divsChild>
                                <w:div w:id="323975545">
                                  <w:marLeft w:val="0"/>
                                  <w:marRight w:val="0"/>
                                  <w:marTop w:val="0"/>
                                  <w:marBottom w:val="0"/>
                                  <w:divBdr>
                                    <w:top w:val="none" w:sz="0" w:space="0" w:color="auto"/>
                                    <w:left w:val="none" w:sz="0" w:space="0" w:color="auto"/>
                                    <w:bottom w:val="none" w:sz="0" w:space="0" w:color="auto"/>
                                    <w:right w:val="none" w:sz="0" w:space="0" w:color="auto"/>
                                  </w:divBdr>
                                  <w:divsChild>
                                    <w:div w:id="1503160798">
                                      <w:marLeft w:val="60"/>
                                      <w:marRight w:val="0"/>
                                      <w:marTop w:val="0"/>
                                      <w:marBottom w:val="0"/>
                                      <w:divBdr>
                                        <w:top w:val="none" w:sz="0" w:space="0" w:color="auto"/>
                                        <w:left w:val="none" w:sz="0" w:space="0" w:color="auto"/>
                                        <w:bottom w:val="none" w:sz="0" w:space="0" w:color="auto"/>
                                        <w:right w:val="none" w:sz="0" w:space="0" w:color="auto"/>
                                      </w:divBdr>
                                      <w:divsChild>
                                        <w:div w:id="1804469064">
                                          <w:marLeft w:val="0"/>
                                          <w:marRight w:val="0"/>
                                          <w:marTop w:val="0"/>
                                          <w:marBottom w:val="0"/>
                                          <w:divBdr>
                                            <w:top w:val="none" w:sz="0" w:space="0" w:color="auto"/>
                                            <w:left w:val="none" w:sz="0" w:space="0" w:color="auto"/>
                                            <w:bottom w:val="none" w:sz="0" w:space="0" w:color="auto"/>
                                            <w:right w:val="none" w:sz="0" w:space="0" w:color="auto"/>
                                          </w:divBdr>
                                          <w:divsChild>
                                            <w:div w:id="1576435093">
                                              <w:marLeft w:val="0"/>
                                              <w:marRight w:val="0"/>
                                              <w:marTop w:val="0"/>
                                              <w:marBottom w:val="120"/>
                                              <w:divBdr>
                                                <w:top w:val="single" w:sz="6" w:space="0" w:color="F5F5F5"/>
                                                <w:left w:val="single" w:sz="6" w:space="0" w:color="F5F5F5"/>
                                                <w:bottom w:val="single" w:sz="6" w:space="0" w:color="F5F5F5"/>
                                                <w:right w:val="single" w:sz="6" w:space="0" w:color="F5F5F5"/>
                                              </w:divBdr>
                                              <w:divsChild>
                                                <w:div w:id="527763169">
                                                  <w:marLeft w:val="0"/>
                                                  <w:marRight w:val="0"/>
                                                  <w:marTop w:val="0"/>
                                                  <w:marBottom w:val="0"/>
                                                  <w:divBdr>
                                                    <w:top w:val="none" w:sz="0" w:space="0" w:color="auto"/>
                                                    <w:left w:val="none" w:sz="0" w:space="0" w:color="auto"/>
                                                    <w:bottom w:val="none" w:sz="0" w:space="0" w:color="auto"/>
                                                    <w:right w:val="none" w:sz="0" w:space="0" w:color="auto"/>
                                                  </w:divBdr>
                                                  <w:divsChild>
                                                    <w:div w:id="13132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0204983">
      <w:bodyDiv w:val="1"/>
      <w:marLeft w:val="0"/>
      <w:marRight w:val="0"/>
      <w:marTop w:val="0"/>
      <w:marBottom w:val="0"/>
      <w:divBdr>
        <w:top w:val="none" w:sz="0" w:space="0" w:color="auto"/>
        <w:left w:val="none" w:sz="0" w:space="0" w:color="auto"/>
        <w:bottom w:val="none" w:sz="0" w:space="0" w:color="auto"/>
        <w:right w:val="none" w:sz="0" w:space="0" w:color="auto"/>
      </w:divBdr>
    </w:div>
    <w:div w:id="1769080836">
      <w:bodyDiv w:val="1"/>
      <w:marLeft w:val="0"/>
      <w:marRight w:val="0"/>
      <w:marTop w:val="0"/>
      <w:marBottom w:val="0"/>
      <w:divBdr>
        <w:top w:val="none" w:sz="0" w:space="0" w:color="auto"/>
        <w:left w:val="none" w:sz="0" w:space="0" w:color="auto"/>
        <w:bottom w:val="none" w:sz="0" w:space="0" w:color="auto"/>
        <w:right w:val="none" w:sz="0" w:space="0" w:color="auto"/>
      </w:divBdr>
    </w:div>
    <w:div w:id="1804955920">
      <w:bodyDiv w:val="1"/>
      <w:marLeft w:val="0"/>
      <w:marRight w:val="0"/>
      <w:marTop w:val="0"/>
      <w:marBottom w:val="0"/>
      <w:divBdr>
        <w:top w:val="none" w:sz="0" w:space="0" w:color="auto"/>
        <w:left w:val="none" w:sz="0" w:space="0" w:color="auto"/>
        <w:bottom w:val="none" w:sz="0" w:space="0" w:color="auto"/>
        <w:right w:val="none" w:sz="0" w:space="0" w:color="auto"/>
      </w:divBdr>
      <w:divsChild>
        <w:div w:id="1487820612">
          <w:marLeft w:val="0"/>
          <w:marRight w:val="0"/>
          <w:marTop w:val="0"/>
          <w:marBottom w:val="0"/>
          <w:divBdr>
            <w:top w:val="none" w:sz="0" w:space="0" w:color="auto"/>
            <w:left w:val="none" w:sz="0" w:space="0" w:color="auto"/>
            <w:bottom w:val="none" w:sz="0" w:space="0" w:color="auto"/>
            <w:right w:val="none" w:sz="0" w:space="0" w:color="auto"/>
          </w:divBdr>
          <w:divsChild>
            <w:div w:id="1895310441">
              <w:marLeft w:val="0"/>
              <w:marRight w:val="0"/>
              <w:marTop w:val="0"/>
              <w:marBottom w:val="0"/>
              <w:divBdr>
                <w:top w:val="none" w:sz="0" w:space="0" w:color="auto"/>
                <w:left w:val="none" w:sz="0" w:space="0" w:color="auto"/>
                <w:bottom w:val="none" w:sz="0" w:space="0" w:color="auto"/>
                <w:right w:val="none" w:sz="0" w:space="0" w:color="auto"/>
              </w:divBdr>
              <w:divsChild>
                <w:div w:id="1065372073">
                  <w:marLeft w:val="0"/>
                  <w:marRight w:val="0"/>
                  <w:marTop w:val="0"/>
                  <w:marBottom w:val="0"/>
                  <w:divBdr>
                    <w:top w:val="none" w:sz="0" w:space="0" w:color="auto"/>
                    <w:left w:val="none" w:sz="0" w:space="0" w:color="auto"/>
                    <w:bottom w:val="none" w:sz="0" w:space="0" w:color="auto"/>
                    <w:right w:val="none" w:sz="0" w:space="0" w:color="auto"/>
                  </w:divBdr>
                  <w:divsChild>
                    <w:div w:id="2137478495">
                      <w:marLeft w:val="0"/>
                      <w:marRight w:val="0"/>
                      <w:marTop w:val="0"/>
                      <w:marBottom w:val="0"/>
                      <w:divBdr>
                        <w:top w:val="none" w:sz="0" w:space="0" w:color="auto"/>
                        <w:left w:val="none" w:sz="0" w:space="0" w:color="auto"/>
                        <w:bottom w:val="none" w:sz="0" w:space="0" w:color="auto"/>
                        <w:right w:val="none" w:sz="0" w:space="0" w:color="auto"/>
                      </w:divBdr>
                      <w:divsChild>
                        <w:div w:id="1548028799">
                          <w:marLeft w:val="0"/>
                          <w:marRight w:val="0"/>
                          <w:marTop w:val="0"/>
                          <w:marBottom w:val="0"/>
                          <w:divBdr>
                            <w:top w:val="none" w:sz="0" w:space="0" w:color="auto"/>
                            <w:left w:val="none" w:sz="0" w:space="0" w:color="auto"/>
                            <w:bottom w:val="none" w:sz="0" w:space="0" w:color="auto"/>
                            <w:right w:val="none" w:sz="0" w:space="0" w:color="auto"/>
                          </w:divBdr>
                          <w:divsChild>
                            <w:div w:id="857544051">
                              <w:marLeft w:val="0"/>
                              <w:marRight w:val="0"/>
                              <w:marTop w:val="0"/>
                              <w:marBottom w:val="0"/>
                              <w:divBdr>
                                <w:top w:val="none" w:sz="0" w:space="0" w:color="auto"/>
                                <w:left w:val="none" w:sz="0" w:space="0" w:color="auto"/>
                                <w:bottom w:val="none" w:sz="0" w:space="0" w:color="auto"/>
                                <w:right w:val="none" w:sz="0" w:space="0" w:color="auto"/>
                              </w:divBdr>
                              <w:divsChild>
                                <w:div w:id="659652038">
                                  <w:marLeft w:val="0"/>
                                  <w:marRight w:val="0"/>
                                  <w:marTop w:val="0"/>
                                  <w:marBottom w:val="0"/>
                                  <w:divBdr>
                                    <w:top w:val="none" w:sz="0" w:space="0" w:color="auto"/>
                                    <w:left w:val="none" w:sz="0" w:space="0" w:color="auto"/>
                                    <w:bottom w:val="none" w:sz="0" w:space="0" w:color="auto"/>
                                    <w:right w:val="none" w:sz="0" w:space="0" w:color="auto"/>
                                  </w:divBdr>
                                  <w:divsChild>
                                    <w:div w:id="47607436">
                                      <w:marLeft w:val="0"/>
                                      <w:marRight w:val="0"/>
                                      <w:marTop w:val="0"/>
                                      <w:marBottom w:val="0"/>
                                      <w:divBdr>
                                        <w:top w:val="none" w:sz="0" w:space="0" w:color="auto"/>
                                        <w:left w:val="none" w:sz="0" w:space="0" w:color="auto"/>
                                        <w:bottom w:val="none" w:sz="0" w:space="0" w:color="auto"/>
                                        <w:right w:val="none" w:sz="0" w:space="0" w:color="auto"/>
                                      </w:divBdr>
                                      <w:divsChild>
                                        <w:div w:id="530529664">
                                          <w:marLeft w:val="0"/>
                                          <w:marRight w:val="0"/>
                                          <w:marTop w:val="0"/>
                                          <w:marBottom w:val="495"/>
                                          <w:divBdr>
                                            <w:top w:val="none" w:sz="0" w:space="0" w:color="auto"/>
                                            <w:left w:val="none" w:sz="0" w:space="0" w:color="auto"/>
                                            <w:bottom w:val="none" w:sz="0" w:space="0" w:color="auto"/>
                                            <w:right w:val="none" w:sz="0" w:space="0" w:color="auto"/>
                                          </w:divBdr>
                                          <w:divsChild>
                                            <w:div w:id="9291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463392">
      <w:bodyDiv w:val="1"/>
      <w:marLeft w:val="0"/>
      <w:marRight w:val="0"/>
      <w:marTop w:val="0"/>
      <w:marBottom w:val="0"/>
      <w:divBdr>
        <w:top w:val="none" w:sz="0" w:space="0" w:color="auto"/>
        <w:left w:val="none" w:sz="0" w:space="0" w:color="auto"/>
        <w:bottom w:val="none" w:sz="0" w:space="0" w:color="auto"/>
        <w:right w:val="none" w:sz="0" w:space="0" w:color="auto"/>
      </w:divBdr>
    </w:div>
    <w:div w:id="1991447312">
      <w:bodyDiv w:val="1"/>
      <w:marLeft w:val="0"/>
      <w:marRight w:val="0"/>
      <w:marTop w:val="0"/>
      <w:marBottom w:val="0"/>
      <w:divBdr>
        <w:top w:val="none" w:sz="0" w:space="0" w:color="auto"/>
        <w:left w:val="none" w:sz="0" w:space="0" w:color="auto"/>
        <w:bottom w:val="none" w:sz="0" w:space="0" w:color="auto"/>
        <w:right w:val="none" w:sz="0" w:space="0" w:color="auto"/>
      </w:divBdr>
    </w:div>
    <w:div w:id="2061828487">
      <w:bodyDiv w:val="1"/>
      <w:marLeft w:val="0"/>
      <w:marRight w:val="0"/>
      <w:marTop w:val="0"/>
      <w:marBottom w:val="0"/>
      <w:divBdr>
        <w:top w:val="none" w:sz="0" w:space="0" w:color="auto"/>
        <w:left w:val="none" w:sz="0" w:space="0" w:color="auto"/>
        <w:bottom w:val="none" w:sz="0" w:space="0" w:color="auto"/>
        <w:right w:val="none" w:sz="0" w:space="0" w:color="auto"/>
      </w:divBdr>
      <w:divsChild>
        <w:div w:id="1774940238">
          <w:marLeft w:val="0"/>
          <w:marRight w:val="0"/>
          <w:marTop w:val="0"/>
          <w:marBottom w:val="0"/>
          <w:divBdr>
            <w:top w:val="none" w:sz="0" w:space="0" w:color="auto"/>
            <w:left w:val="none" w:sz="0" w:space="0" w:color="auto"/>
            <w:bottom w:val="none" w:sz="0" w:space="0" w:color="auto"/>
            <w:right w:val="none" w:sz="0" w:space="0" w:color="auto"/>
          </w:divBdr>
          <w:divsChild>
            <w:div w:id="1799565051">
              <w:marLeft w:val="0"/>
              <w:marRight w:val="0"/>
              <w:marTop w:val="0"/>
              <w:marBottom w:val="0"/>
              <w:divBdr>
                <w:top w:val="none" w:sz="0" w:space="0" w:color="auto"/>
                <w:left w:val="none" w:sz="0" w:space="0" w:color="auto"/>
                <w:bottom w:val="none" w:sz="0" w:space="0" w:color="auto"/>
                <w:right w:val="none" w:sz="0" w:space="0" w:color="auto"/>
              </w:divBdr>
              <w:divsChild>
                <w:div w:id="342972271">
                  <w:marLeft w:val="0"/>
                  <w:marRight w:val="0"/>
                  <w:marTop w:val="0"/>
                  <w:marBottom w:val="0"/>
                  <w:divBdr>
                    <w:top w:val="none" w:sz="0" w:space="0" w:color="auto"/>
                    <w:left w:val="none" w:sz="0" w:space="0" w:color="auto"/>
                    <w:bottom w:val="none" w:sz="0" w:space="0" w:color="auto"/>
                    <w:right w:val="none" w:sz="0" w:space="0" w:color="auto"/>
                  </w:divBdr>
                  <w:divsChild>
                    <w:div w:id="281303240">
                      <w:marLeft w:val="0"/>
                      <w:marRight w:val="0"/>
                      <w:marTop w:val="0"/>
                      <w:marBottom w:val="0"/>
                      <w:divBdr>
                        <w:top w:val="none" w:sz="0" w:space="0" w:color="auto"/>
                        <w:left w:val="none" w:sz="0" w:space="0" w:color="auto"/>
                        <w:bottom w:val="none" w:sz="0" w:space="0" w:color="auto"/>
                        <w:right w:val="none" w:sz="0" w:space="0" w:color="auto"/>
                      </w:divBdr>
                      <w:divsChild>
                        <w:div w:id="959188286">
                          <w:marLeft w:val="0"/>
                          <w:marRight w:val="0"/>
                          <w:marTop w:val="0"/>
                          <w:marBottom w:val="0"/>
                          <w:divBdr>
                            <w:top w:val="none" w:sz="0" w:space="0" w:color="auto"/>
                            <w:left w:val="none" w:sz="0" w:space="0" w:color="auto"/>
                            <w:bottom w:val="none" w:sz="0" w:space="0" w:color="auto"/>
                            <w:right w:val="none" w:sz="0" w:space="0" w:color="auto"/>
                          </w:divBdr>
                          <w:divsChild>
                            <w:div w:id="1332490608">
                              <w:marLeft w:val="0"/>
                              <w:marRight w:val="0"/>
                              <w:marTop w:val="0"/>
                              <w:marBottom w:val="0"/>
                              <w:divBdr>
                                <w:top w:val="none" w:sz="0" w:space="0" w:color="auto"/>
                                <w:left w:val="none" w:sz="0" w:space="0" w:color="auto"/>
                                <w:bottom w:val="none" w:sz="0" w:space="0" w:color="auto"/>
                                <w:right w:val="none" w:sz="0" w:space="0" w:color="auto"/>
                              </w:divBdr>
                              <w:divsChild>
                                <w:div w:id="1902212510">
                                  <w:marLeft w:val="0"/>
                                  <w:marRight w:val="0"/>
                                  <w:marTop w:val="0"/>
                                  <w:marBottom w:val="0"/>
                                  <w:divBdr>
                                    <w:top w:val="single" w:sz="6" w:space="0" w:color="F5F5F5"/>
                                    <w:left w:val="single" w:sz="6" w:space="0" w:color="F5F5F5"/>
                                    <w:bottom w:val="single" w:sz="6" w:space="0" w:color="F5F5F5"/>
                                    <w:right w:val="single" w:sz="6" w:space="0" w:color="F5F5F5"/>
                                  </w:divBdr>
                                  <w:divsChild>
                                    <w:div w:id="1859007825">
                                      <w:marLeft w:val="0"/>
                                      <w:marRight w:val="0"/>
                                      <w:marTop w:val="0"/>
                                      <w:marBottom w:val="0"/>
                                      <w:divBdr>
                                        <w:top w:val="none" w:sz="0" w:space="0" w:color="auto"/>
                                        <w:left w:val="none" w:sz="0" w:space="0" w:color="auto"/>
                                        <w:bottom w:val="none" w:sz="0" w:space="0" w:color="auto"/>
                                        <w:right w:val="none" w:sz="0" w:space="0" w:color="auto"/>
                                      </w:divBdr>
                                      <w:divsChild>
                                        <w:div w:id="16153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6B203-372E-447A-9D0E-9A020B954DE8}"/>
</file>

<file path=customXml/itemProps2.xml><?xml version="1.0" encoding="utf-8"?>
<ds:datastoreItem xmlns:ds="http://schemas.openxmlformats.org/officeDocument/2006/customXml" ds:itemID="{8A4E76AC-7398-41E7-A852-3984E3A5D9C4}">
  <ds:schemaRefs>
    <ds:schemaRef ds:uri="http://schemas.openxmlformats.org/package/2006/metadata/core-properties"/>
    <ds:schemaRef ds:uri="51205539-9517-4720-a840-7cae78df1944"/>
    <ds:schemaRef ds:uri="http://purl.org/dc/terms/"/>
    <ds:schemaRef ds:uri="http://schemas.microsoft.com/office/2006/documentManagement/types"/>
    <ds:schemaRef ds:uri="http://schemas.microsoft.com/office/2006/metadata/properties"/>
    <ds:schemaRef ds:uri="http://purl.org/dc/elements/1.1/"/>
    <ds:schemaRef ds:uri="efe2d1ab-a4fc-4c03-8301-f8f311e972b0"/>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757306C-2F43-472F-A5A7-66BFD195AA76}">
  <ds:schemaRefs>
    <ds:schemaRef ds:uri="http://schemas.microsoft.com/sharepoint/v3/contenttype/forms"/>
  </ds:schemaRefs>
</ds:datastoreItem>
</file>

<file path=customXml/itemProps4.xml><?xml version="1.0" encoding="utf-8"?>
<ds:datastoreItem xmlns:ds="http://schemas.openxmlformats.org/officeDocument/2006/customXml" ds:itemID="{F1AD15E4-8B7C-4160-ADD8-99A83C5C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98</Pages>
  <Words>36907</Words>
  <Characters>223441</Characters>
  <Application>Microsoft Office Word</Application>
  <DocSecurity>0</DocSecurity>
  <Lines>1862</Lines>
  <Paragraphs>519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Glivec, INN-imatinib</vt:lpstr>
      <vt:lpstr>Glivec, INN-imatinib</vt:lpstr>
    </vt:vector>
  </TitlesOfParts>
  <Company>Novartis</Company>
  <LinksUpToDate>false</LinksUpToDate>
  <CharactersWithSpaces>259829</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7</cp:revision>
  <cp:lastPrinted>2012-01-02T12:17:00Z</cp:lastPrinted>
  <dcterms:created xsi:type="dcterms:W3CDTF">2021-02-02T12:09:00Z</dcterms:created>
  <dcterms:modified xsi:type="dcterms:W3CDTF">2021-05-21T16:16:00Z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2019-01-22T09:11:43.6747383Z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2021-05-21T16:16:39Z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22d15909-744a-4720-aff4-d76136ed3acc</vt:lpwstr>
  </property>
  <property fmtid="{D5CDD505-2E9C-101B-9397-08002B2CF9AE}" pid="15" name="MSIP_Label_0eea11ca-d417-4147-80ed-01a58412c458_ContentBits">
    <vt:lpwstr>2</vt:lpwstr>
  </property>
</Properties>
</file>