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528AF"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09F6A5FB"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564A50F2"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7C1027AE"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12CF4143"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34077557"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1D2D67D2"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71F49543"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4F0F3176"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14E95B1B"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5758C91D"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0428411E"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1756DEBD"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7AABAD08"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271A0AD6"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2D1E8232"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06757276"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62B4D87B"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4EE1C8B0"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46DCF841"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262CBA2B"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1CEED452"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11541952" w14:textId="77777777" w:rsidR="006478AD" w:rsidRPr="00AA499E" w:rsidRDefault="006478AD">
      <w:pPr>
        <w:autoSpaceDE w:val="0"/>
        <w:autoSpaceDN w:val="0"/>
        <w:adjustRightInd w:val="0"/>
        <w:spacing w:after="0" w:line="240" w:lineRule="auto"/>
        <w:jc w:val="center"/>
        <w:rPr>
          <w:rFonts w:ascii="Times New Roman" w:hAnsi="Times New Roman"/>
          <w:b/>
          <w:bCs/>
          <w:lang w:val="da-DK"/>
        </w:rPr>
      </w:pPr>
    </w:p>
    <w:p w14:paraId="625C15DC" w14:textId="77777777" w:rsidR="006478AD" w:rsidRPr="00AA499E" w:rsidRDefault="00616F3C">
      <w:pPr>
        <w:autoSpaceDE w:val="0"/>
        <w:autoSpaceDN w:val="0"/>
        <w:adjustRightInd w:val="0"/>
        <w:spacing w:after="0" w:line="240" w:lineRule="auto"/>
        <w:jc w:val="center"/>
        <w:rPr>
          <w:rFonts w:ascii="Times New Roman" w:hAnsi="Times New Roman"/>
          <w:b/>
          <w:bCs/>
          <w:lang w:val="da-DK"/>
        </w:rPr>
      </w:pPr>
      <w:r w:rsidRPr="00AA499E">
        <w:rPr>
          <w:rFonts w:ascii="Times New Roman" w:hAnsi="Times New Roman"/>
          <w:b/>
          <w:bCs/>
          <w:lang w:val="da-DK"/>
        </w:rPr>
        <w:t>BILAG 1</w:t>
      </w:r>
    </w:p>
    <w:p w14:paraId="01BF862C"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2B8AF305" w14:textId="77777777" w:rsidR="006478AD" w:rsidRPr="00AA499E" w:rsidRDefault="00616F3C" w:rsidP="00C316BC">
      <w:pPr>
        <w:pStyle w:val="TitleA"/>
      </w:pPr>
      <w:r w:rsidRPr="00AA499E">
        <w:t>PRODUKTRESUME</w:t>
      </w:r>
    </w:p>
    <w:p w14:paraId="0C99C0AB" w14:textId="77777777" w:rsidR="006478AD" w:rsidRPr="00AA499E" w:rsidRDefault="00616F3C">
      <w:pPr>
        <w:tabs>
          <w:tab w:val="left" w:pos="567"/>
        </w:tabs>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br w:type="page"/>
      </w:r>
      <w:r w:rsidRPr="00AA499E">
        <w:rPr>
          <w:rFonts w:ascii="Times New Roman" w:hAnsi="Times New Roman"/>
          <w:b/>
          <w:bCs/>
          <w:lang w:val="da-DK"/>
        </w:rPr>
        <w:lastRenderedPageBreak/>
        <w:t>1.</w:t>
      </w:r>
      <w:r w:rsidRPr="00AA499E">
        <w:rPr>
          <w:rFonts w:ascii="Times New Roman" w:hAnsi="Times New Roman"/>
          <w:b/>
          <w:bCs/>
          <w:lang w:val="da-DK"/>
        </w:rPr>
        <w:tab/>
        <w:t>LÆGEMIDLETS NAVN</w:t>
      </w:r>
    </w:p>
    <w:p w14:paraId="01810CEF" w14:textId="77777777" w:rsidR="006478AD" w:rsidRPr="00AA499E" w:rsidRDefault="006478AD">
      <w:pPr>
        <w:tabs>
          <w:tab w:val="left" w:pos="567"/>
        </w:tabs>
        <w:autoSpaceDE w:val="0"/>
        <w:autoSpaceDN w:val="0"/>
        <w:adjustRightInd w:val="0"/>
        <w:spacing w:after="0" w:line="240" w:lineRule="auto"/>
        <w:rPr>
          <w:rFonts w:ascii="Times New Roman" w:hAnsi="Times New Roman"/>
          <w:lang w:val="da-DK"/>
        </w:rPr>
      </w:pPr>
    </w:p>
    <w:p w14:paraId="4ED9D1C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50 mg hårde kapsler</w:t>
      </w:r>
    </w:p>
    <w:p w14:paraId="155114BD" w14:textId="77777777" w:rsidR="001658C2" w:rsidRPr="00AA499E" w:rsidRDefault="001658C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 hårde kapsler</w:t>
      </w:r>
    </w:p>
    <w:p w14:paraId="62954F01" w14:textId="77777777" w:rsidR="001658C2" w:rsidRPr="00AA499E" w:rsidRDefault="001658C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 hårde kapsler</w:t>
      </w:r>
    </w:p>
    <w:p w14:paraId="1504C9FC" w14:textId="77777777" w:rsidR="006478AD" w:rsidRPr="00AA499E" w:rsidRDefault="006478AD">
      <w:pPr>
        <w:autoSpaceDE w:val="0"/>
        <w:autoSpaceDN w:val="0"/>
        <w:adjustRightInd w:val="0"/>
        <w:spacing w:after="0" w:line="240" w:lineRule="auto"/>
        <w:rPr>
          <w:rFonts w:ascii="Times New Roman" w:hAnsi="Times New Roman"/>
          <w:lang w:val="da-DK"/>
        </w:rPr>
      </w:pPr>
    </w:p>
    <w:p w14:paraId="73C57C3F" w14:textId="77777777" w:rsidR="006478AD" w:rsidRPr="00AA499E" w:rsidRDefault="006478AD">
      <w:pPr>
        <w:autoSpaceDE w:val="0"/>
        <w:autoSpaceDN w:val="0"/>
        <w:adjustRightInd w:val="0"/>
        <w:spacing w:after="0" w:line="240" w:lineRule="auto"/>
        <w:rPr>
          <w:rFonts w:ascii="Times New Roman" w:hAnsi="Times New Roman"/>
          <w:lang w:val="da-DK"/>
        </w:rPr>
      </w:pPr>
    </w:p>
    <w:p w14:paraId="7A3C6376" w14:textId="77777777" w:rsidR="006478AD" w:rsidRPr="00AA499E" w:rsidRDefault="00616F3C">
      <w:pPr>
        <w:tabs>
          <w:tab w:val="left" w:pos="567"/>
        </w:tabs>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2.</w:t>
      </w:r>
      <w:r w:rsidRPr="00AA499E">
        <w:rPr>
          <w:rFonts w:ascii="Times New Roman" w:hAnsi="Times New Roman"/>
          <w:b/>
          <w:bCs/>
          <w:lang w:val="da-DK"/>
        </w:rPr>
        <w:tab/>
        <w:t>KVALITATIV OG KVANTITATIV SAMMENSÆTNING</w:t>
      </w:r>
    </w:p>
    <w:p w14:paraId="79C09954" w14:textId="77777777" w:rsidR="006478AD" w:rsidRPr="00AA499E" w:rsidRDefault="006478AD">
      <w:pPr>
        <w:tabs>
          <w:tab w:val="left" w:pos="567"/>
        </w:tabs>
        <w:autoSpaceDE w:val="0"/>
        <w:autoSpaceDN w:val="0"/>
        <w:adjustRightInd w:val="0"/>
        <w:spacing w:after="0" w:line="240" w:lineRule="auto"/>
        <w:rPr>
          <w:rFonts w:ascii="Times New Roman" w:hAnsi="Times New Roman"/>
          <w:lang w:val="da-DK"/>
        </w:rPr>
      </w:pPr>
    </w:p>
    <w:p w14:paraId="6CC72845" w14:textId="77777777" w:rsidR="001658C2" w:rsidRPr="00AA499E" w:rsidRDefault="001658C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50 mg hårde kapsler</w:t>
      </w:r>
    </w:p>
    <w:p w14:paraId="2F60C98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Hver </w:t>
      </w:r>
      <w:r w:rsidR="00FE3DE2" w:rsidRPr="00AA499E">
        <w:rPr>
          <w:rFonts w:ascii="Times New Roman" w:hAnsi="Times New Roman"/>
          <w:lang w:val="da-DK"/>
        </w:rPr>
        <w:t xml:space="preserve">hård </w:t>
      </w:r>
      <w:r w:rsidRPr="00AA499E">
        <w:rPr>
          <w:rFonts w:ascii="Times New Roman" w:hAnsi="Times New Roman"/>
          <w:lang w:val="da-DK"/>
        </w:rPr>
        <w:t>kapsel indeholder 50 mg imatinib (som mesilat).</w:t>
      </w:r>
    </w:p>
    <w:p w14:paraId="2F209152" w14:textId="77777777" w:rsidR="001658C2" w:rsidRPr="00AA499E" w:rsidRDefault="001658C2" w:rsidP="001658C2">
      <w:pPr>
        <w:pStyle w:val="KeinLeerraum"/>
        <w:rPr>
          <w:rFonts w:ascii="Times New Roman" w:hAnsi="Times New Roman"/>
          <w:lang w:val="da-DK"/>
        </w:rPr>
      </w:pPr>
    </w:p>
    <w:p w14:paraId="0F73B6A2" w14:textId="77777777" w:rsidR="001658C2" w:rsidRPr="00AA499E" w:rsidRDefault="001658C2" w:rsidP="001658C2">
      <w:pPr>
        <w:pStyle w:val="KeinLeerraum"/>
        <w:rPr>
          <w:rFonts w:ascii="Times New Roman" w:hAnsi="Times New Roman"/>
          <w:u w:val="single"/>
          <w:lang w:val="da-DK"/>
        </w:rPr>
      </w:pPr>
      <w:r w:rsidRPr="00AA499E">
        <w:rPr>
          <w:rFonts w:ascii="Times New Roman" w:hAnsi="Times New Roman"/>
          <w:u w:val="single"/>
          <w:lang w:val="da-DK"/>
        </w:rPr>
        <w:t>Imatinib Actavis 100 mg hårde kapsler</w:t>
      </w:r>
    </w:p>
    <w:p w14:paraId="65320F09" w14:textId="77777777" w:rsidR="006478AD" w:rsidRPr="00AA499E" w:rsidRDefault="001658C2" w:rsidP="001658C2">
      <w:pPr>
        <w:pStyle w:val="KeinLeerraum"/>
        <w:rPr>
          <w:rFonts w:ascii="Times New Roman" w:hAnsi="Times New Roman"/>
          <w:lang w:val="da-DK"/>
        </w:rPr>
      </w:pPr>
      <w:r w:rsidRPr="00AA499E">
        <w:rPr>
          <w:rFonts w:ascii="Times New Roman" w:hAnsi="Times New Roman"/>
          <w:lang w:val="da-DK"/>
        </w:rPr>
        <w:t>Hver hård kapsel indeholder 100 mg imatinib (som mesilat).</w:t>
      </w:r>
    </w:p>
    <w:p w14:paraId="4C77B039" w14:textId="77777777" w:rsidR="001658C2" w:rsidRPr="00AA499E" w:rsidRDefault="001658C2" w:rsidP="001658C2">
      <w:pPr>
        <w:pStyle w:val="KeinLeerraum"/>
        <w:rPr>
          <w:rFonts w:ascii="Times New Roman" w:hAnsi="Times New Roman"/>
          <w:lang w:val="da-DK"/>
        </w:rPr>
      </w:pPr>
    </w:p>
    <w:p w14:paraId="26B06063" w14:textId="77777777" w:rsidR="001658C2" w:rsidRPr="00AA499E" w:rsidRDefault="001658C2" w:rsidP="001658C2">
      <w:pPr>
        <w:pStyle w:val="KeinLeerraum"/>
        <w:rPr>
          <w:rFonts w:ascii="Times New Roman" w:hAnsi="Times New Roman"/>
          <w:u w:val="single"/>
          <w:lang w:val="da-DK"/>
        </w:rPr>
      </w:pPr>
      <w:r w:rsidRPr="00AA499E">
        <w:rPr>
          <w:rFonts w:ascii="Times New Roman" w:hAnsi="Times New Roman"/>
          <w:u w:val="single"/>
          <w:lang w:val="da-DK"/>
        </w:rPr>
        <w:t>Imatinib Actavis 400 mg hårde kapsler</w:t>
      </w:r>
    </w:p>
    <w:p w14:paraId="576E7C19" w14:textId="77777777" w:rsidR="001658C2" w:rsidRPr="00AA499E" w:rsidRDefault="001658C2" w:rsidP="001658C2">
      <w:pPr>
        <w:pStyle w:val="KeinLeerraum"/>
        <w:rPr>
          <w:rFonts w:ascii="Times New Roman" w:hAnsi="Times New Roman"/>
          <w:highlight w:val="lightGray"/>
          <w:lang w:val="da-DK"/>
        </w:rPr>
      </w:pPr>
      <w:r w:rsidRPr="00AA499E">
        <w:rPr>
          <w:rFonts w:ascii="Times New Roman" w:hAnsi="Times New Roman"/>
          <w:lang w:val="da-DK"/>
        </w:rPr>
        <w:t>Hver hård kapsel indeholder 400 mg imatinib (som mesilat).</w:t>
      </w:r>
    </w:p>
    <w:p w14:paraId="449BA585" w14:textId="77777777" w:rsidR="001658C2" w:rsidRPr="00AA499E" w:rsidRDefault="001658C2">
      <w:pPr>
        <w:pStyle w:val="KeinLeerraum"/>
        <w:rPr>
          <w:rFonts w:ascii="Times New Roman" w:hAnsi="Times New Roman"/>
          <w:highlight w:val="lightGray"/>
          <w:lang w:val="da-DK"/>
        </w:rPr>
      </w:pPr>
    </w:p>
    <w:p w14:paraId="2229C26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Alle hjælpestoffer er anført under pkt. 6.1.</w:t>
      </w:r>
    </w:p>
    <w:p w14:paraId="3712954C" w14:textId="77777777" w:rsidR="006478AD" w:rsidRPr="00AA499E" w:rsidRDefault="006478AD">
      <w:pPr>
        <w:autoSpaceDE w:val="0"/>
        <w:autoSpaceDN w:val="0"/>
        <w:adjustRightInd w:val="0"/>
        <w:spacing w:after="0" w:line="240" w:lineRule="auto"/>
        <w:rPr>
          <w:rFonts w:ascii="Times New Roman" w:hAnsi="Times New Roman"/>
          <w:lang w:val="da-DK"/>
        </w:rPr>
      </w:pPr>
    </w:p>
    <w:p w14:paraId="5EF655D5" w14:textId="77777777" w:rsidR="006478AD" w:rsidRPr="00AA499E" w:rsidRDefault="006478AD">
      <w:pPr>
        <w:autoSpaceDE w:val="0"/>
        <w:autoSpaceDN w:val="0"/>
        <w:adjustRightInd w:val="0"/>
        <w:spacing w:after="0" w:line="240" w:lineRule="auto"/>
        <w:rPr>
          <w:rFonts w:ascii="Times New Roman" w:hAnsi="Times New Roman"/>
          <w:lang w:val="da-DK"/>
        </w:rPr>
      </w:pPr>
    </w:p>
    <w:p w14:paraId="2B47A253" w14:textId="77777777" w:rsidR="006478AD" w:rsidRPr="00AA499E" w:rsidRDefault="00616F3C">
      <w:pPr>
        <w:tabs>
          <w:tab w:val="left" w:pos="567"/>
        </w:tabs>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3.</w:t>
      </w:r>
      <w:r w:rsidRPr="00AA499E">
        <w:rPr>
          <w:rFonts w:ascii="Times New Roman" w:hAnsi="Times New Roman"/>
          <w:b/>
          <w:bCs/>
          <w:lang w:val="da-DK"/>
        </w:rPr>
        <w:tab/>
        <w:t>LÆGEMIDDELFORM</w:t>
      </w:r>
    </w:p>
    <w:p w14:paraId="762B0ABD" w14:textId="77777777" w:rsidR="006478AD" w:rsidRPr="00AA499E" w:rsidRDefault="006478AD">
      <w:pPr>
        <w:autoSpaceDE w:val="0"/>
        <w:autoSpaceDN w:val="0"/>
        <w:adjustRightInd w:val="0"/>
        <w:spacing w:after="0" w:line="240" w:lineRule="auto"/>
        <w:rPr>
          <w:rFonts w:ascii="Times New Roman" w:hAnsi="Times New Roman"/>
          <w:highlight w:val="lightGray"/>
          <w:lang w:val="da-DK"/>
        </w:rPr>
      </w:pPr>
    </w:p>
    <w:p w14:paraId="6C47E48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Hård kapsel</w:t>
      </w:r>
      <w:r w:rsidR="009A46E5" w:rsidRPr="00AA499E">
        <w:rPr>
          <w:rFonts w:ascii="Times New Roman" w:hAnsi="Times New Roman"/>
          <w:lang w:val="da-DK"/>
        </w:rPr>
        <w:t xml:space="preserve"> (kapsel)</w:t>
      </w:r>
    </w:p>
    <w:p w14:paraId="1D16F03A" w14:textId="77777777" w:rsidR="006478AD" w:rsidRPr="00AA499E" w:rsidRDefault="006478AD">
      <w:pPr>
        <w:autoSpaceDE w:val="0"/>
        <w:autoSpaceDN w:val="0"/>
        <w:adjustRightInd w:val="0"/>
        <w:spacing w:after="0" w:line="240" w:lineRule="auto"/>
        <w:rPr>
          <w:rFonts w:ascii="Times New Roman" w:hAnsi="Times New Roman"/>
          <w:lang w:val="da-DK"/>
        </w:rPr>
      </w:pPr>
    </w:p>
    <w:p w14:paraId="140AAB2D" w14:textId="77777777" w:rsidR="00FC7537" w:rsidRPr="00AA499E" w:rsidRDefault="001658C2" w:rsidP="001658C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50 mg hårde kapsler</w:t>
      </w:r>
    </w:p>
    <w:p w14:paraId="7855A97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Hård kapsel i størrelse 3 med lysegult overtræk og lysegul kerne, præget med ”50 mg” med sort </w:t>
      </w:r>
      <w:r w:rsidR="00FE3DE2" w:rsidRPr="00AA499E">
        <w:rPr>
          <w:rFonts w:ascii="Times New Roman" w:hAnsi="Times New Roman"/>
          <w:lang w:val="da-DK"/>
        </w:rPr>
        <w:t>tryk</w:t>
      </w:r>
      <w:r w:rsidRPr="00AA499E">
        <w:rPr>
          <w:rFonts w:ascii="Times New Roman" w:hAnsi="Times New Roman"/>
          <w:lang w:val="da-DK"/>
        </w:rPr>
        <w:t>farve.</w:t>
      </w:r>
    </w:p>
    <w:p w14:paraId="095375C8" w14:textId="77777777" w:rsidR="001658C2" w:rsidRPr="00AA499E" w:rsidRDefault="001658C2">
      <w:pPr>
        <w:autoSpaceDE w:val="0"/>
        <w:autoSpaceDN w:val="0"/>
        <w:adjustRightInd w:val="0"/>
        <w:spacing w:after="0" w:line="240" w:lineRule="auto"/>
        <w:rPr>
          <w:rFonts w:ascii="Times New Roman" w:hAnsi="Times New Roman"/>
          <w:lang w:val="da-DK"/>
        </w:rPr>
      </w:pPr>
    </w:p>
    <w:p w14:paraId="61DA1FA5" w14:textId="77777777" w:rsidR="001658C2" w:rsidRPr="00AA499E" w:rsidRDefault="001658C2" w:rsidP="001658C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100 mg hårde kapsler</w:t>
      </w:r>
    </w:p>
    <w:p w14:paraId="07FCDA4E" w14:textId="77777777" w:rsidR="00FC7537" w:rsidRPr="00AA499E" w:rsidRDefault="001658C2" w:rsidP="001658C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Hård kapsel i størrelse 1 med lyseorange overtræk og lyseorange kerne, præget med "100 mg" i sort trykfarve.</w:t>
      </w:r>
    </w:p>
    <w:p w14:paraId="0A4FA241" w14:textId="77777777" w:rsidR="001658C2" w:rsidRPr="00AA499E" w:rsidRDefault="001658C2" w:rsidP="001658C2">
      <w:pPr>
        <w:autoSpaceDE w:val="0"/>
        <w:autoSpaceDN w:val="0"/>
        <w:adjustRightInd w:val="0"/>
        <w:spacing w:after="0" w:line="240" w:lineRule="auto"/>
        <w:rPr>
          <w:rFonts w:ascii="Times New Roman" w:hAnsi="Times New Roman"/>
          <w:lang w:val="da-DK"/>
        </w:rPr>
      </w:pPr>
    </w:p>
    <w:p w14:paraId="2C1048C5" w14:textId="77777777" w:rsidR="001658C2" w:rsidRPr="00AA499E" w:rsidRDefault="001658C2" w:rsidP="001658C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400 mg hårde kapsler</w:t>
      </w:r>
    </w:p>
    <w:p w14:paraId="07C4670A" w14:textId="77777777" w:rsidR="001658C2" w:rsidRPr="00AA499E" w:rsidRDefault="001658C2" w:rsidP="001658C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Hård kapsel i størrelse 00 med  orange, uigennemsigtig overtræk og  kerne, præget med ”400 mg” med sort trykfarve.</w:t>
      </w:r>
    </w:p>
    <w:p w14:paraId="14B1AA53" w14:textId="77777777" w:rsidR="006478AD" w:rsidRPr="00AA499E" w:rsidRDefault="006478AD">
      <w:pPr>
        <w:pStyle w:val="KeinLeerraum"/>
        <w:rPr>
          <w:rFonts w:ascii="Times New Roman" w:hAnsi="Times New Roman"/>
          <w:lang w:val="da-DK"/>
        </w:rPr>
      </w:pPr>
    </w:p>
    <w:p w14:paraId="7EDFF4C3" w14:textId="77777777" w:rsidR="006478AD" w:rsidRPr="00AA499E" w:rsidRDefault="006478AD">
      <w:pPr>
        <w:pStyle w:val="KeinLeerraum"/>
        <w:rPr>
          <w:rFonts w:ascii="Times New Roman" w:hAnsi="Times New Roman"/>
          <w:lang w:val="da-DK"/>
        </w:rPr>
      </w:pPr>
    </w:p>
    <w:p w14:paraId="70BDC909" w14:textId="77777777" w:rsidR="006478AD" w:rsidRPr="00AA499E" w:rsidRDefault="00616F3C">
      <w:pPr>
        <w:tabs>
          <w:tab w:val="left" w:pos="567"/>
        </w:tabs>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w:t>
      </w:r>
      <w:r w:rsidRPr="00AA499E">
        <w:rPr>
          <w:rFonts w:ascii="Times New Roman" w:hAnsi="Times New Roman"/>
          <w:b/>
          <w:bCs/>
          <w:lang w:val="da-DK"/>
        </w:rPr>
        <w:tab/>
        <w:t>KLINISKE OPLYSNINGER</w:t>
      </w:r>
    </w:p>
    <w:p w14:paraId="3BD64333" w14:textId="77777777" w:rsidR="006478AD" w:rsidRPr="00AA499E" w:rsidRDefault="006478AD">
      <w:pPr>
        <w:autoSpaceDE w:val="0"/>
        <w:autoSpaceDN w:val="0"/>
        <w:adjustRightInd w:val="0"/>
        <w:spacing w:after="0" w:line="240" w:lineRule="auto"/>
        <w:rPr>
          <w:rFonts w:ascii="Times New Roman" w:hAnsi="Times New Roman"/>
          <w:lang w:val="da-DK"/>
        </w:rPr>
      </w:pPr>
    </w:p>
    <w:p w14:paraId="25DCC8C8" w14:textId="77777777" w:rsidR="006478AD" w:rsidRPr="00AA499E" w:rsidRDefault="00616F3C">
      <w:pPr>
        <w:tabs>
          <w:tab w:val="left" w:pos="567"/>
        </w:tabs>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4.1</w:t>
      </w:r>
      <w:r w:rsidRPr="00AA499E">
        <w:rPr>
          <w:rFonts w:ascii="Times New Roman" w:hAnsi="Times New Roman"/>
          <w:b/>
          <w:bCs/>
          <w:lang w:val="da-DK"/>
        </w:rPr>
        <w:tab/>
        <w:t>Terapeutiske indikationer</w:t>
      </w:r>
    </w:p>
    <w:p w14:paraId="220F5E8D" w14:textId="77777777" w:rsidR="006478AD" w:rsidRPr="00AA499E" w:rsidRDefault="006478AD">
      <w:pPr>
        <w:tabs>
          <w:tab w:val="left" w:pos="567"/>
        </w:tabs>
        <w:autoSpaceDE w:val="0"/>
        <w:autoSpaceDN w:val="0"/>
        <w:adjustRightInd w:val="0"/>
        <w:spacing w:after="0" w:line="240" w:lineRule="auto"/>
        <w:rPr>
          <w:rFonts w:ascii="Times New Roman" w:hAnsi="Times New Roman"/>
          <w:lang w:val="da-DK"/>
        </w:rPr>
      </w:pPr>
    </w:p>
    <w:p w14:paraId="42AAFC0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er indiceret til behandling af</w:t>
      </w:r>
    </w:p>
    <w:p w14:paraId="3494345F" w14:textId="77777777" w:rsidR="006478AD" w:rsidRPr="00AA499E" w:rsidRDefault="00616F3C" w:rsidP="00063A26">
      <w:pPr>
        <w:numPr>
          <w:ilvl w:val="0"/>
          <w:numId w:val="17"/>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børn med nydiagnosticeret Philadelphiakromosom (bcr-abl) positiv (Ph+) kronisk myeloid leukæmi (CML), for hvilke knoglemarvstransplantation ikke anses for førstevalgsbehandling.</w:t>
      </w:r>
      <w:r w:rsidRPr="00AA499E">
        <w:rPr>
          <w:rFonts w:ascii="Times New Roman" w:hAnsi="Times New Roman"/>
          <w:lang w:val="da-DK"/>
        </w:rPr>
        <w:noBreakHyphen/>
      </w:r>
    </w:p>
    <w:p w14:paraId="34A9FC73" w14:textId="77777777" w:rsidR="006478AD" w:rsidRPr="00AA499E" w:rsidRDefault="00616F3C" w:rsidP="00063A26">
      <w:pPr>
        <w:numPr>
          <w:ilvl w:val="0"/>
          <w:numId w:val="17"/>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børn med Ph+ CML i kronisk fase efter manglende effekt af alfa-interferonbehandling, eller i accelereret fase eller blastkrise.</w:t>
      </w:r>
    </w:p>
    <w:p w14:paraId="78469CBE" w14:textId="77777777" w:rsidR="006478AD" w:rsidRPr="00AA499E" w:rsidRDefault="00616F3C" w:rsidP="00063A26">
      <w:pPr>
        <w:numPr>
          <w:ilvl w:val="0"/>
          <w:numId w:val="17"/>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voksne med Ph+ CML i blastkrise.</w:t>
      </w:r>
    </w:p>
    <w:p w14:paraId="47F8247A" w14:textId="77777777" w:rsidR="009A2464" w:rsidRPr="00AA499E" w:rsidRDefault="009A2464" w:rsidP="00063A26">
      <w:pPr>
        <w:numPr>
          <w:ilvl w:val="0"/>
          <w:numId w:val="17"/>
        </w:numPr>
        <w:autoSpaceDE w:val="0"/>
        <w:autoSpaceDN w:val="0"/>
        <w:adjustRightInd w:val="0"/>
        <w:spacing w:after="0" w:line="225" w:lineRule="exact"/>
        <w:ind w:left="567" w:right="-20" w:hanging="567"/>
        <w:rPr>
          <w:rFonts w:ascii="Times New Roman" w:hAnsi="Times New Roman"/>
          <w:lang w:val="da-DK" w:eastAsia="sv-SE"/>
        </w:rPr>
      </w:pPr>
      <w:r w:rsidRPr="00AA499E">
        <w:rPr>
          <w:rFonts w:ascii="Times New Roman" w:hAnsi="Times New Roman"/>
          <w:spacing w:val="-2"/>
          <w:lang w:val="da-DK" w:eastAsia="sv-SE"/>
        </w:rPr>
        <w:t>v</w:t>
      </w:r>
      <w:r w:rsidRPr="00AA499E">
        <w:rPr>
          <w:rFonts w:ascii="Times New Roman" w:hAnsi="Times New Roman"/>
          <w:lang w:val="da-DK" w:eastAsia="sv-SE"/>
        </w:rPr>
        <w:t>o</w:t>
      </w:r>
      <w:r w:rsidRPr="00AA499E">
        <w:rPr>
          <w:rFonts w:ascii="Times New Roman" w:hAnsi="Times New Roman"/>
          <w:spacing w:val="-2"/>
          <w:lang w:val="da-DK" w:eastAsia="sv-SE"/>
        </w:rPr>
        <w:t>k</w:t>
      </w:r>
      <w:r w:rsidRPr="00AA499E">
        <w:rPr>
          <w:rFonts w:ascii="Times New Roman" w:hAnsi="Times New Roman"/>
          <w:lang w:val="da-DK" w:eastAsia="sv-SE"/>
        </w:rPr>
        <w:t>sne</w:t>
      </w:r>
      <w:r w:rsidRPr="00AA499E">
        <w:rPr>
          <w:rFonts w:ascii="Times New Roman" w:hAnsi="Times New Roman"/>
          <w:spacing w:val="1"/>
          <w:lang w:val="da-DK" w:eastAsia="sv-SE"/>
        </w:rPr>
        <w:t xml:space="preserve"> </w:t>
      </w:r>
      <w:r w:rsidR="001F0F7A" w:rsidRPr="00AA499E">
        <w:rPr>
          <w:rFonts w:ascii="Times New Roman" w:hAnsi="Times New Roman"/>
          <w:spacing w:val="1"/>
          <w:lang w:val="da-DK" w:eastAsia="sv-SE"/>
        </w:rPr>
        <w:t xml:space="preserve">og børn </w:t>
      </w:r>
      <w:r w:rsidRPr="00AA499E">
        <w:rPr>
          <w:rFonts w:ascii="Times New Roman" w:hAnsi="Times New Roman"/>
          <w:spacing w:val="-4"/>
          <w:lang w:val="da-DK" w:eastAsia="sv-SE"/>
        </w:rPr>
        <w:t>m</w:t>
      </w:r>
      <w:r w:rsidRPr="00AA499E">
        <w:rPr>
          <w:rFonts w:ascii="Times New Roman" w:hAnsi="Times New Roman"/>
          <w:lang w:val="da-DK" w:eastAsia="sv-SE"/>
        </w:rPr>
        <w:t>ed n</w:t>
      </w:r>
      <w:r w:rsidRPr="00AA499E">
        <w:rPr>
          <w:rFonts w:ascii="Times New Roman" w:hAnsi="Times New Roman"/>
          <w:spacing w:val="-2"/>
          <w:lang w:val="da-DK" w:eastAsia="sv-SE"/>
        </w:rPr>
        <w:t>y</w:t>
      </w:r>
      <w:r w:rsidRPr="00AA499E">
        <w:rPr>
          <w:rFonts w:ascii="Times New Roman" w:hAnsi="Times New Roman"/>
          <w:lang w:val="da-DK" w:eastAsia="sv-SE"/>
        </w:rPr>
        <w:t>d</w:t>
      </w:r>
      <w:r w:rsidRPr="00AA499E">
        <w:rPr>
          <w:rFonts w:ascii="Times New Roman" w:hAnsi="Times New Roman"/>
          <w:spacing w:val="1"/>
          <w:lang w:val="da-DK" w:eastAsia="sv-SE"/>
        </w:rPr>
        <w:t>i</w:t>
      </w:r>
      <w:r w:rsidRPr="00AA499E">
        <w:rPr>
          <w:rFonts w:ascii="Times New Roman" w:hAnsi="Times New Roman"/>
          <w:lang w:val="da-DK" w:eastAsia="sv-SE"/>
        </w:rPr>
        <w:t>a</w:t>
      </w:r>
      <w:r w:rsidRPr="00AA499E">
        <w:rPr>
          <w:rFonts w:ascii="Times New Roman" w:hAnsi="Times New Roman"/>
          <w:spacing w:val="-2"/>
          <w:lang w:val="da-DK" w:eastAsia="sv-SE"/>
        </w:rPr>
        <w:t>g</w:t>
      </w:r>
      <w:r w:rsidRPr="00AA499E">
        <w:rPr>
          <w:rFonts w:ascii="Times New Roman" w:hAnsi="Times New Roman"/>
          <w:lang w:val="da-DK" w:eastAsia="sv-SE"/>
        </w:rPr>
        <w:t>nos</w:t>
      </w:r>
      <w:r w:rsidRPr="00AA499E">
        <w:rPr>
          <w:rFonts w:ascii="Times New Roman" w:hAnsi="Times New Roman"/>
          <w:spacing w:val="1"/>
          <w:lang w:val="da-DK" w:eastAsia="sv-SE"/>
        </w:rPr>
        <w:t>ti</w:t>
      </w:r>
      <w:r w:rsidRPr="00AA499E">
        <w:rPr>
          <w:rFonts w:ascii="Times New Roman" w:hAnsi="Times New Roman"/>
          <w:lang w:val="da-DK" w:eastAsia="sv-SE"/>
        </w:rPr>
        <w:t>c</w:t>
      </w:r>
      <w:r w:rsidRPr="00AA499E">
        <w:rPr>
          <w:rFonts w:ascii="Times New Roman" w:hAnsi="Times New Roman"/>
          <w:spacing w:val="1"/>
          <w:lang w:val="da-DK" w:eastAsia="sv-SE"/>
        </w:rPr>
        <w:t>er</w:t>
      </w:r>
      <w:r w:rsidRPr="00AA499E">
        <w:rPr>
          <w:rFonts w:ascii="Times New Roman" w:hAnsi="Times New Roman"/>
          <w:lang w:val="da-DK" w:eastAsia="sv-SE"/>
        </w:rPr>
        <w:t>et</w:t>
      </w:r>
      <w:r w:rsidRPr="00AA499E">
        <w:rPr>
          <w:rFonts w:ascii="Times New Roman" w:hAnsi="Times New Roman"/>
          <w:spacing w:val="1"/>
          <w:lang w:val="da-DK" w:eastAsia="sv-SE"/>
        </w:rPr>
        <w:t xml:space="preserve"> </w:t>
      </w:r>
      <w:r w:rsidRPr="00AA499E">
        <w:rPr>
          <w:rFonts w:ascii="Times New Roman" w:hAnsi="Times New Roman"/>
          <w:lang w:val="da-DK" w:eastAsia="sv-SE"/>
        </w:rPr>
        <w:t>Phi</w:t>
      </w:r>
      <w:r w:rsidRPr="00AA499E">
        <w:rPr>
          <w:rFonts w:ascii="Times New Roman" w:hAnsi="Times New Roman"/>
          <w:spacing w:val="2"/>
          <w:lang w:val="da-DK" w:eastAsia="sv-SE"/>
        </w:rPr>
        <w:t>l</w:t>
      </w:r>
      <w:r w:rsidRPr="00AA499E">
        <w:rPr>
          <w:rFonts w:ascii="Times New Roman" w:hAnsi="Times New Roman"/>
          <w:lang w:val="da-DK" w:eastAsia="sv-SE"/>
        </w:rPr>
        <w:t>ad</w:t>
      </w:r>
      <w:r w:rsidRPr="00AA499E">
        <w:rPr>
          <w:rFonts w:ascii="Times New Roman" w:hAnsi="Times New Roman"/>
          <w:spacing w:val="1"/>
          <w:lang w:val="da-DK" w:eastAsia="sv-SE"/>
        </w:rPr>
        <w:t>el</w:t>
      </w:r>
      <w:r w:rsidRPr="00AA499E">
        <w:rPr>
          <w:rFonts w:ascii="Times New Roman" w:hAnsi="Times New Roman"/>
          <w:lang w:val="da-DK" w:eastAsia="sv-SE"/>
        </w:rPr>
        <w:t>ph</w:t>
      </w:r>
      <w:r w:rsidRPr="00AA499E">
        <w:rPr>
          <w:rFonts w:ascii="Times New Roman" w:hAnsi="Times New Roman"/>
          <w:spacing w:val="1"/>
          <w:lang w:val="da-DK" w:eastAsia="sv-SE"/>
        </w:rPr>
        <w:t>i</w:t>
      </w:r>
      <w:r w:rsidRPr="00AA499E">
        <w:rPr>
          <w:rFonts w:ascii="Times New Roman" w:hAnsi="Times New Roman"/>
          <w:spacing w:val="3"/>
          <w:lang w:val="da-DK" w:eastAsia="sv-SE"/>
        </w:rPr>
        <w:t>a</w:t>
      </w:r>
      <w:r w:rsidRPr="00AA499E">
        <w:rPr>
          <w:rFonts w:ascii="Times New Roman" w:hAnsi="Times New Roman"/>
          <w:spacing w:val="-4"/>
          <w:lang w:val="da-DK" w:eastAsia="sv-SE"/>
        </w:rPr>
        <w:t>-</w:t>
      </w:r>
      <w:r w:rsidRPr="00AA499E">
        <w:rPr>
          <w:rFonts w:ascii="Times New Roman" w:hAnsi="Times New Roman"/>
          <w:spacing w:val="-2"/>
          <w:lang w:val="da-DK" w:eastAsia="sv-SE"/>
        </w:rPr>
        <w:t>k</w:t>
      </w:r>
      <w:r w:rsidRPr="00AA499E">
        <w:rPr>
          <w:rFonts w:ascii="Times New Roman" w:hAnsi="Times New Roman"/>
          <w:spacing w:val="1"/>
          <w:lang w:val="da-DK" w:eastAsia="sv-SE"/>
        </w:rPr>
        <w:t>r</w:t>
      </w:r>
      <w:r w:rsidRPr="00AA499E">
        <w:rPr>
          <w:rFonts w:ascii="Times New Roman" w:hAnsi="Times New Roman"/>
          <w:lang w:val="da-DK" w:eastAsia="sv-SE"/>
        </w:rPr>
        <w:t>o</w:t>
      </w:r>
      <w:r w:rsidRPr="00AA499E">
        <w:rPr>
          <w:rFonts w:ascii="Times New Roman" w:hAnsi="Times New Roman"/>
          <w:spacing w:val="-4"/>
          <w:lang w:val="da-DK" w:eastAsia="sv-SE"/>
        </w:rPr>
        <w:t>m</w:t>
      </w:r>
      <w:r w:rsidRPr="00AA499E">
        <w:rPr>
          <w:rFonts w:ascii="Times New Roman" w:hAnsi="Times New Roman"/>
          <w:lang w:val="da-DK" w:eastAsia="sv-SE"/>
        </w:rPr>
        <w:t>oso</w:t>
      </w:r>
      <w:r w:rsidRPr="00AA499E">
        <w:rPr>
          <w:rFonts w:ascii="Times New Roman" w:hAnsi="Times New Roman"/>
          <w:spacing w:val="-3"/>
          <w:lang w:val="da-DK" w:eastAsia="sv-SE"/>
        </w:rPr>
        <w:t>m</w:t>
      </w:r>
      <w:r w:rsidRPr="00AA499E">
        <w:rPr>
          <w:rFonts w:ascii="Times New Roman" w:hAnsi="Times New Roman"/>
          <w:spacing w:val="-4"/>
          <w:lang w:val="da-DK" w:eastAsia="sv-SE"/>
        </w:rPr>
        <w:t>-</w:t>
      </w:r>
      <w:r w:rsidRPr="00AA499E">
        <w:rPr>
          <w:rFonts w:ascii="Times New Roman" w:hAnsi="Times New Roman"/>
          <w:lang w:val="da-DK" w:eastAsia="sv-SE"/>
        </w:rPr>
        <w:t>pos</w:t>
      </w:r>
      <w:r w:rsidRPr="00AA499E">
        <w:rPr>
          <w:rFonts w:ascii="Times New Roman" w:hAnsi="Times New Roman"/>
          <w:spacing w:val="1"/>
          <w:lang w:val="da-DK" w:eastAsia="sv-SE"/>
        </w:rPr>
        <w:t>iti</w:t>
      </w:r>
      <w:r w:rsidRPr="00AA499E">
        <w:rPr>
          <w:rFonts w:ascii="Times New Roman" w:hAnsi="Times New Roman"/>
          <w:lang w:val="da-DK" w:eastAsia="sv-SE"/>
        </w:rPr>
        <w:t>v</w:t>
      </w:r>
      <w:r w:rsidRPr="00AA499E">
        <w:rPr>
          <w:rFonts w:ascii="Times New Roman" w:hAnsi="Times New Roman"/>
          <w:spacing w:val="-2"/>
          <w:lang w:val="da-DK" w:eastAsia="sv-SE"/>
        </w:rPr>
        <w:t xml:space="preserve"> </w:t>
      </w:r>
      <w:r w:rsidRPr="00AA499E">
        <w:rPr>
          <w:rFonts w:ascii="Times New Roman" w:hAnsi="Times New Roman"/>
          <w:lang w:val="da-DK" w:eastAsia="sv-SE"/>
        </w:rPr>
        <w:t>a</w:t>
      </w:r>
      <w:r w:rsidRPr="00AA499E">
        <w:rPr>
          <w:rFonts w:ascii="Times New Roman" w:hAnsi="Times New Roman"/>
          <w:spacing w:val="-2"/>
          <w:lang w:val="da-DK" w:eastAsia="sv-SE"/>
        </w:rPr>
        <w:t>k</w:t>
      </w:r>
      <w:r w:rsidRPr="00AA499E">
        <w:rPr>
          <w:rFonts w:ascii="Times New Roman" w:hAnsi="Times New Roman"/>
          <w:lang w:val="da-DK" w:eastAsia="sv-SE"/>
        </w:rPr>
        <w:t>ut</w:t>
      </w:r>
      <w:r w:rsidRPr="00AA499E">
        <w:rPr>
          <w:rFonts w:ascii="Times New Roman" w:hAnsi="Times New Roman"/>
          <w:spacing w:val="1"/>
          <w:lang w:val="da-DK" w:eastAsia="sv-SE"/>
        </w:rPr>
        <w:t xml:space="preserve"> l</w:t>
      </w:r>
      <w:r w:rsidRPr="00AA499E">
        <w:rPr>
          <w:rFonts w:ascii="Times New Roman" w:hAnsi="Times New Roman"/>
          <w:spacing w:val="-2"/>
          <w:lang w:val="da-DK" w:eastAsia="sv-SE"/>
        </w:rPr>
        <w:t>y</w:t>
      </w:r>
      <w:r w:rsidRPr="00AA499E">
        <w:rPr>
          <w:rFonts w:ascii="Times New Roman" w:hAnsi="Times New Roman"/>
          <w:spacing w:val="-4"/>
          <w:lang w:val="da-DK" w:eastAsia="sv-SE"/>
        </w:rPr>
        <w:t>m</w:t>
      </w:r>
      <w:r w:rsidRPr="00AA499E">
        <w:rPr>
          <w:rFonts w:ascii="Times New Roman" w:hAnsi="Times New Roman"/>
          <w:spacing w:val="1"/>
          <w:lang w:val="da-DK" w:eastAsia="sv-SE"/>
        </w:rPr>
        <w:t>f</w:t>
      </w:r>
      <w:r w:rsidRPr="00AA499E">
        <w:rPr>
          <w:rFonts w:ascii="Times New Roman" w:hAnsi="Times New Roman"/>
          <w:lang w:val="da-DK" w:eastAsia="sv-SE"/>
        </w:rPr>
        <w:t>ob</w:t>
      </w:r>
      <w:r w:rsidRPr="00AA499E">
        <w:rPr>
          <w:rFonts w:ascii="Times New Roman" w:hAnsi="Times New Roman"/>
          <w:spacing w:val="1"/>
          <w:lang w:val="da-DK" w:eastAsia="sv-SE"/>
        </w:rPr>
        <w:t>l</w:t>
      </w:r>
      <w:r w:rsidRPr="00AA499E">
        <w:rPr>
          <w:rFonts w:ascii="Times New Roman" w:hAnsi="Times New Roman"/>
          <w:lang w:val="da-DK" w:eastAsia="sv-SE"/>
        </w:rPr>
        <w:t>a</w:t>
      </w:r>
      <w:r w:rsidRPr="00AA499E">
        <w:rPr>
          <w:rFonts w:ascii="Times New Roman" w:hAnsi="Times New Roman"/>
          <w:spacing w:val="1"/>
          <w:lang w:val="da-DK" w:eastAsia="sv-SE"/>
        </w:rPr>
        <w:t>st</w:t>
      </w:r>
      <w:r w:rsidRPr="00AA499E">
        <w:rPr>
          <w:rFonts w:ascii="Times New Roman" w:hAnsi="Times New Roman"/>
          <w:spacing w:val="-1"/>
          <w:lang w:val="da-DK" w:eastAsia="sv-SE"/>
        </w:rPr>
        <w:t>æ</w:t>
      </w:r>
      <w:r w:rsidRPr="00AA499E">
        <w:rPr>
          <w:rFonts w:ascii="Times New Roman" w:hAnsi="Times New Roman"/>
          <w:lang w:val="da-DK" w:eastAsia="sv-SE"/>
        </w:rPr>
        <w:t>r</w:t>
      </w:r>
    </w:p>
    <w:p w14:paraId="159C351D" w14:textId="77777777" w:rsidR="009A2464" w:rsidRPr="008F3048" w:rsidRDefault="009A2464" w:rsidP="00063A26">
      <w:pPr>
        <w:autoSpaceDE w:val="0"/>
        <w:autoSpaceDN w:val="0"/>
        <w:adjustRightInd w:val="0"/>
        <w:spacing w:after="0" w:line="241" w:lineRule="exact"/>
        <w:ind w:right="-20" w:firstLine="567"/>
        <w:rPr>
          <w:rFonts w:ascii="Times New Roman" w:hAnsi="Times New Roman"/>
          <w:lang w:val="sv-SE" w:eastAsia="sv-SE"/>
        </w:rPr>
      </w:pPr>
      <w:r w:rsidRPr="008F3048">
        <w:rPr>
          <w:rFonts w:ascii="Times New Roman" w:hAnsi="Times New Roman"/>
          <w:spacing w:val="1"/>
          <w:lang w:val="sv-SE" w:eastAsia="sv-SE"/>
        </w:rPr>
        <w:t>l</w:t>
      </w:r>
      <w:r w:rsidRPr="008F3048">
        <w:rPr>
          <w:rFonts w:ascii="Times New Roman" w:hAnsi="Times New Roman"/>
          <w:lang w:val="sv-SE" w:eastAsia="sv-SE"/>
        </w:rPr>
        <w:t>eu</w:t>
      </w:r>
      <w:r w:rsidRPr="008F3048">
        <w:rPr>
          <w:rFonts w:ascii="Times New Roman" w:hAnsi="Times New Roman"/>
          <w:spacing w:val="-2"/>
          <w:lang w:val="sv-SE" w:eastAsia="sv-SE"/>
        </w:rPr>
        <w:t>k</w:t>
      </w:r>
      <w:r w:rsidRPr="008F3048">
        <w:rPr>
          <w:rFonts w:ascii="Times New Roman" w:hAnsi="Times New Roman"/>
          <w:spacing w:val="-1"/>
          <w:lang w:val="sv-SE" w:eastAsia="sv-SE"/>
        </w:rPr>
        <w:t>æ</w:t>
      </w:r>
      <w:r w:rsidRPr="008F3048">
        <w:rPr>
          <w:rFonts w:ascii="Times New Roman" w:hAnsi="Times New Roman"/>
          <w:spacing w:val="-4"/>
          <w:lang w:val="sv-SE" w:eastAsia="sv-SE"/>
        </w:rPr>
        <w:t>m</w:t>
      </w:r>
      <w:r w:rsidRPr="008F3048">
        <w:rPr>
          <w:rFonts w:ascii="Times New Roman" w:hAnsi="Times New Roman"/>
          <w:lang w:val="sv-SE" w:eastAsia="sv-SE"/>
        </w:rPr>
        <w:t>i</w:t>
      </w:r>
      <w:r w:rsidRPr="008F3048">
        <w:rPr>
          <w:rFonts w:ascii="Times New Roman" w:hAnsi="Times New Roman"/>
          <w:spacing w:val="1"/>
          <w:lang w:val="sv-SE" w:eastAsia="sv-SE"/>
        </w:rPr>
        <w:t xml:space="preserve"> (</w:t>
      </w:r>
      <w:r w:rsidRPr="008F3048">
        <w:rPr>
          <w:rFonts w:ascii="Times New Roman" w:hAnsi="Times New Roman"/>
          <w:lang w:val="sv-SE" w:eastAsia="sv-SE"/>
        </w:rPr>
        <w:t xml:space="preserve">Ph+ </w:t>
      </w:r>
      <w:r w:rsidRPr="008F3048">
        <w:rPr>
          <w:rFonts w:ascii="Times New Roman" w:hAnsi="Times New Roman"/>
          <w:spacing w:val="-1"/>
          <w:lang w:val="sv-SE" w:eastAsia="sv-SE"/>
        </w:rPr>
        <w:t>A</w:t>
      </w:r>
      <w:r w:rsidRPr="008F3048">
        <w:rPr>
          <w:rFonts w:ascii="Times New Roman" w:hAnsi="Times New Roman"/>
          <w:lang w:val="sv-SE" w:eastAsia="sv-SE"/>
        </w:rPr>
        <w:t>L</w:t>
      </w:r>
      <w:r w:rsidRPr="008F3048">
        <w:rPr>
          <w:rFonts w:ascii="Times New Roman" w:hAnsi="Times New Roman"/>
          <w:spacing w:val="-1"/>
          <w:lang w:val="sv-SE" w:eastAsia="sv-SE"/>
        </w:rPr>
        <w:t>L</w:t>
      </w:r>
      <w:r w:rsidRPr="008F3048">
        <w:rPr>
          <w:rFonts w:ascii="Times New Roman" w:hAnsi="Times New Roman"/>
          <w:lang w:val="sv-SE" w:eastAsia="sv-SE"/>
        </w:rPr>
        <w:t>)</w:t>
      </w:r>
      <w:r w:rsidRPr="008F3048">
        <w:rPr>
          <w:rFonts w:ascii="Times New Roman" w:hAnsi="Times New Roman"/>
          <w:spacing w:val="1"/>
          <w:lang w:val="sv-SE" w:eastAsia="sv-SE"/>
        </w:rPr>
        <w:t xml:space="preserve"> i</w:t>
      </w:r>
      <w:r w:rsidRPr="008F3048">
        <w:rPr>
          <w:rFonts w:ascii="Times New Roman" w:hAnsi="Times New Roman"/>
          <w:lang w:val="sv-SE" w:eastAsia="sv-SE"/>
        </w:rPr>
        <w:t>n</w:t>
      </w:r>
      <w:r w:rsidRPr="008F3048">
        <w:rPr>
          <w:rFonts w:ascii="Times New Roman" w:hAnsi="Times New Roman"/>
          <w:spacing w:val="1"/>
          <w:lang w:val="sv-SE" w:eastAsia="sv-SE"/>
        </w:rPr>
        <w:t>t</w:t>
      </w:r>
      <w:r w:rsidRPr="008F3048">
        <w:rPr>
          <w:rFonts w:ascii="Times New Roman" w:hAnsi="Times New Roman"/>
          <w:lang w:val="sv-SE" w:eastAsia="sv-SE"/>
        </w:rPr>
        <w:t>e</w:t>
      </w:r>
      <w:r w:rsidRPr="008F3048">
        <w:rPr>
          <w:rFonts w:ascii="Times New Roman" w:hAnsi="Times New Roman"/>
          <w:spacing w:val="-2"/>
          <w:lang w:val="sv-SE" w:eastAsia="sv-SE"/>
        </w:rPr>
        <w:t>g</w:t>
      </w:r>
      <w:r w:rsidRPr="008F3048">
        <w:rPr>
          <w:rFonts w:ascii="Times New Roman" w:hAnsi="Times New Roman"/>
          <w:spacing w:val="1"/>
          <w:lang w:val="sv-SE" w:eastAsia="sv-SE"/>
        </w:rPr>
        <w:t>r</w:t>
      </w:r>
      <w:r w:rsidRPr="008F3048">
        <w:rPr>
          <w:rFonts w:ascii="Times New Roman" w:hAnsi="Times New Roman"/>
          <w:lang w:val="sv-SE" w:eastAsia="sv-SE"/>
        </w:rPr>
        <w:t>e</w:t>
      </w:r>
      <w:r w:rsidRPr="008F3048">
        <w:rPr>
          <w:rFonts w:ascii="Times New Roman" w:hAnsi="Times New Roman"/>
          <w:spacing w:val="1"/>
          <w:lang w:val="sv-SE" w:eastAsia="sv-SE"/>
        </w:rPr>
        <w:t>r</w:t>
      </w:r>
      <w:r w:rsidRPr="008F3048">
        <w:rPr>
          <w:rFonts w:ascii="Times New Roman" w:hAnsi="Times New Roman"/>
          <w:lang w:val="sv-SE" w:eastAsia="sv-SE"/>
        </w:rPr>
        <w:t>et</w:t>
      </w:r>
      <w:r w:rsidRPr="008F3048">
        <w:rPr>
          <w:rFonts w:ascii="Times New Roman" w:hAnsi="Times New Roman"/>
          <w:spacing w:val="1"/>
          <w:lang w:val="sv-SE" w:eastAsia="sv-SE"/>
        </w:rPr>
        <w:t xml:space="preserve"> </w:t>
      </w:r>
      <w:r w:rsidRPr="008F3048">
        <w:rPr>
          <w:rFonts w:ascii="Times New Roman" w:hAnsi="Times New Roman"/>
          <w:spacing w:val="-4"/>
          <w:lang w:val="sv-SE" w:eastAsia="sv-SE"/>
        </w:rPr>
        <w:t>m</w:t>
      </w:r>
      <w:r w:rsidRPr="008F3048">
        <w:rPr>
          <w:rFonts w:ascii="Times New Roman" w:hAnsi="Times New Roman"/>
          <w:lang w:val="sv-SE" w:eastAsia="sv-SE"/>
        </w:rPr>
        <w:t xml:space="preserve">ed </w:t>
      </w:r>
      <w:r w:rsidRPr="008F3048">
        <w:rPr>
          <w:rFonts w:ascii="Times New Roman" w:hAnsi="Times New Roman"/>
          <w:spacing w:val="-2"/>
          <w:lang w:val="sv-SE" w:eastAsia="sv-SE"/>
        </w:rPr>
        <w:t>k</w:t>
      </w:r>
      <w:r w:rsidRPr="008F3048">
        <w:rPr>
          <w:rFonts w:ascii="Times New Roman" w:hAnsi="Times New Roman"/>
          <w:lang w:val="sv-SE" w:eastAsia="sv-SE"/>
        </w:rPr>
        <w:t>e</w:t>
      </w:r>
      <w:r w:rsidRPr="008F3048">
        <w:rPr>
          <w:rFonts w:ascii="Times New Roman" w:hAnsi="Times New Roman"/>
          <w:spacing w:val="-3"/>
          <w:lang w:val="sv-SE" w:eastAsia="sv-SE"/>
        </w:rPr>
        <w:t>m</w:t>
      </w:r>
      <w:r w:rsidRPr="008F3048">
        <w:rPr>
          <w:rFonts w:ascii="Times New Roman" w:hAnsi="Times New Roman"/>
          <w:lang w:val="sv-SE" w:eastAsia="sv-SE"/>
        </w:rPr>
        <w:t>o</w:t>
      </w:r>
      <w:r w:rsidRPr="008F3048">
        <w:rPr>
          <w:rFonts w:ascii="Times New Roman" w:hAnsi="Times New Roman"/>
          <w:spacing w:val="1"/>
          <w:lang w:val="sv-SE" w:eastAsia="sv-SE"/>
        </w:rPr>
        <w:t>t</w:t>
      </w:r>
      <w:r w:rsidRPr="008F3048">
        <w:rPr>
          <w:rFonts w:ascii="Times New Roman" w:hAnsi="Times New Roman"/>
          <w:lang w:val="sv-SE" w:eastAsia="sv-SE"/>
        </w:rPr>
        <w:t>e</w:t>
      </w:r>
      <w:r w:rsidRPr="008F3048">
        <w:rPr>
          <w:rFonts w:ascii="Times New Roman" w:hAnsi="Times New Roman"/>
          <w:spacing w:val="1"/>
          <w:lang w:val="sv-SE" w:eastAsia="sv-SE"/>
        </w:rPr>
        <w:t>r</w:t>
      </w:r>
      <w:r w:rsidRPr="008F3048">
        <w:rPr>
          <w:rFonts w:ascii="Times New Roman" w:hAnsi="Times New Roman"/>
          <w:lang w:val="sv-SE" w:eastAsia="sv-SE"/>
        </w:rPr>
        <w:t>ap</w:t>
      </w:r>
      <w:r w:rsidRPr="008F3048">
        <w:rPr>
          <w:rFonts w:ascii="Times New Roman" w:hAnsi="Times New Roman"/>
          <w:spacing w:val="1"/>
          <w:lang w:val="sv-SE" w:eastAsia="sv-SE"/>
        </w:rPr>
        <w:t>i</w:t>
      </w:r>
      <w:r w:rsidRPr="008F3048">
        <w:rPr>
          <w:rFonts w:ascii="Times New Roman" w:hAnsi="Times New Roman"/>
          <w:lang w:val="sv-SE" w:eastAsia="sv-SE"/>
        </w:rPr>
        <w:t>.</w:t>
      </w:r>
    </w:p>
    <w:p w14:paraId="24AE5661" w14:textId="77777777" w:rsidR="009A2464" w:rsidRPr="00AA499E" w:rsidRDefault="009A2464" w:rsidP="00063A26">
      <w:pPr>
        <w:numPr>
          <w:ilvl w:val="0"/>
          <w:numId w:val="17"/>
        </w:numPr>
        <w:autoSpaceDE w:val="0"/>
        <w:autoSpaceDN w:val="0"/>
        <w:adjustRightInd w:val="0"/>
        <w:spacing w:before="5" w:after="0" w:line="240" w:lineRule="auto"/>
        <w:ind w:left="567" w:right="-20" w:hanging="567"/>
        <w:rPr>
          <w:rFonts w:ascii="Times New Roman" w:hAnsi="Times New Roman"/>
          <w:lang w:val="da-DK" w:eastAsia="sv-SE"/>
        </w:rPr>
      </w:pPr>
      <w:r w:rsidRPr="00AA499E">
        <w:rPr>
          <w:rFonts w:ascii="Times New Roman" w:hAnsi="Times New Roman"/>
          <w:spacing w:val="-2"/>
          <w:lang w:val="da-DK" w:eastAsia="sv-SE"/>
        </w:rPr>
        <w:t>v</w:t>
      </w:r>
      <w:r w:rsidRPr="00AA499E">
        <w:rPr>
          <w:rFonts w:ascii="Times New Roman" w:hAnsi="Times New Roman"/>
          <w:lang w:val="da-DK" w:eastAsia="sv-SE"/>
        </w:rPr>
        <w:t>o</w:t>
      </w:r>
      <w:r w:rsidRPr="00AA499E">
        <w:rPr>
          <w:rFonts w:ascii="Times New Roman" w:hAnsi="Times New Roman"/>
          <w:spacing w:val="-2"/>
          <w:lang w:val="da-DK" w:eastAsia="sv-SE"/>
        </w:rPr>
        <w:t>k</w:t>
      </w:r>
      <w:r w:rsidRPr="00AA499E">
        <w:rPr>
          <w:rFonts w:ascii="Times New Roman" w:hAnsi="Times New Roman"/>
          <w:lang w:val="da-DK" w:eastAsia="sv-SE"/>
        </w:rPr>
        <w:t>sne</w:t>
      </w:r>
      <w:r w:rsidRPr="00AA499E">
        <w:rPr>
          <w:rFonts w:ascii="Times New Roman" w:hAnsi="Times New Roman"/>
          <w:spacing w:val="1"/>
          <w:lang w:val="da-DK" w:eastAsia="sv-SE"/>
        </w:rPr>
        <w:t xml:space="preserve"> </w:t>
      </w:r>
      <w:r w:rsidRPr="00AA499E">
        <w:rPr>
          <w:rFonts w:ascii="Times New Roman" w:hAnsi="Times New Roman"/>
          <w:lang w:val="da-DK" w:eastAsia="sv-SE"/>
        </w:rPr>
        <w:t>pa</w:t>
      </w:r>
      <w:r w:rsidRPr="00AA499E">
        <w:rPr>
          <w:rFonts w:ascii="Times New Roman" w:hAnsi="Times New Roman"/>
          <w:spacing w:val="1"/>
          <w:lang w:val="da-DK" w:eastAsia="sv-SE"/>
        </w:rPr>
        <w:t>ti</w:t>
      </w:r>
      <w:r w:rsidRPr="00AA499E">
        <w:rPr>
          <w:rFonts w:ascii="Times New Roman" w:hAnsi="Times New Roman"/>
          <w:lang w:val="da-DK" w:eastAsia="sv-SE"/>
        </w:rPr>
        <w:t>en</w:t>
      </w:r>
      <w:r w:rsidRPr="00AA499E">
        <w:rPr>
          <w:rFonts w:ascii="Times New Roman" w:hAnsi="Times New Roman"/>
          <w:spacing w:val="1"/>
          <w:lang w:val="da-DK" w:eastAsia="sv-SE"/>
        </w:rPr>
        <w:t>t</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 xml:space="preserve">ed Ph+ </w:t>
      </w:r>
      <w:r w:rsidRPr="00AA499E">
        <w:rPr>
          <w:rFonts w:ascii="Times New Roman" w:hAnsi="Times New Roman"/>
          <w:spacing w:val="-1"/>
          <w:lang w:val="da-DK" w:eastAsia="sv-SE"/>
        </w:rPr>
        <w:t>A</w:t>
      </w:r>
      <w:r w:rsidRPr="00AA499E">
        <w:rPr>
          <w:rFonts w:ascii="Times New Roman" w:hAnsi="Times New Roman"/>
          <w:lang w:val="da-DK" w:eastAsia="sv-SE"/>
        </w:rPr>
        <w:t>LL</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 xml:space="preserve">ed </w:t>
      </w:r>
      <w:r w:rsidRPr="00AA499E">
        <w:rPr>
          <w:rFonts w:ascii="Times New Roman" w:hAnsi="Times New Roman"/>
          <w:spacing w:val="1"/>
          <w:lang w:val="da-DK" w:eastAsia="sv-SE"/>
        </w:rPr>
        <w:t>til</w:t>
      </w:r>
      <w:r w:rsidRPr="00AA499E">
        <w:rPr>
          <w:rFonts w:ascii="Times New Roman" w:hAnsi="Times New Roman"/>
          <w:lang w:val="da-DK" w:eastAsia="sv-SE"/>
        </w:rPr>
        <w:t>ba</w:t>
      </w:r>
      <w:r w:rsidRPr="00AA499E">
        <w:rPr>
          <w:rFonts w:ascii="Times New Roman" w:hAnsi="Times New Roman"/>
          <w:spacing w:val="-2"/>
          <w:lang w:val="da-DK" w:eastAsia="sv-SE"/>
        </w:rPr>
        <w:t>g</w:t>
      </w:r>
      <w:r w:rsidRPr="00AA499E">
        <w:rPr>
          <w:rFonts w:ascii="Times New Roman" w:hAnsi="Times New Roman"/>
          <w:lang w:val="da-DK" w:eastAsia="sv-SE"/>
        </w:rPr>
        <w:t>e</w:t>
      </w:r>
      <w:r w:rsidRPr="00AA499E">
        <w:rPr>
          <w:rFonts w:ascii="Times New Roman" w:hAnsi="Times New Roman"/>
          <w:spacing w:val="1"/>
          <w:lang w:val="da-DK" w:eastAsia="sv-SE"/>
        </w:rPr>
        <w:t>f</w:t>
      </w:r>
      <w:r w:rsidRPr="00AA499E">
        <w:rPr>
          <w:rFonts w:ascii="Times New Roman" w:hAnsi="Times New Roman"/>
          <w:lang w:val="da-DK" w:eastAsia="sv-SE"/>
        </w:rPr>
        <w:t>a</w:t>
      </w:r>
      <w:r w:rsidRPr="00AA499E">
        <w:rPr>
          <w:rFonts w:ascii="Times New Roman" w:hAnsi="Times New Roman"/>
          <w:spacing w:val="1"/>
          <w:lang w:val="da-DK" w:eastAsia="sv-SE"/>
        </w:rPr>
        <w:t>l</w:t>
      </w:r>
      <w:r w:rsidRPr="00AA499E">
        <w:rPr>
          <w:rFonts w:ascii="Times New Roman" w:hAnsi="Times New Roman"/>
          <w:lang w:val="da-DK" w:eastAsia="sv-SE"/>
        </w:rPr>
        <w:t>d e</w:t>
      </w:r>
      <w:r w:rsidRPr="00AA499E">
        <w:rPr>
          <w:rFonts w:ascii="Times New Roman" w:hAnsi="Times New Roman"/>
          <w:spacing w:val="1"/>
          <w:lang w:val="da-DK" w:eastAsia="sv-SE"/>
        </w:rPr>
        <w:t>ll</w:t>
      </w:r>
      <w:r w:rsidRPr="00AA499E">
        <w:rPr>
          <w:rFonts w:ascii="Times New Roman" w:hAnsi="Times New Roman"/>
          <w:lang w:val="da-DK" w:eastAsia="sv-SE"/>
        </w:rPr>
        <w:t>er</w:t>
      </w:r>
      <w:r w:rsidRPr="00AA499E">
        <w:rPr>
          <w:rFonts w:ascii="Times New Roman" w:hAnsi="Times New Roman"/>
          <w:spacing w:val="1"/>
          <w:lang w:val="da-DK" w:eastAsia="sv-SE"/>
        </w:rPr>
        <w:t xml:space="preserve"> r</w:t>
      </w:r>
      <w:r w:rsidRPr="00AA499E">
        <w:rPr>
          <w:rFonts w:ascii="Times New Roman" w:hAnsi="Times New Roman"/>
          <w:lang w:val="da-DK" w:eastAsia="sv-SE"/>
        </w:rPr>
        <w:t>e</w:t>
      </w:r>
      <w:r w:rsidRPr="00AA499E">
        <w:rPr>
          <w:rFonts w:ascii="Times New Roman" w:hAnsi="Times New Roman"/>
          <w:spacing w:val="1"/>
          <w:lang w:val="da-DK" w:eastAsia="sv-SE"/>
        </w:rPr>
        <w:t>fr</w:t>
      </w:r>
      <w:r w:rsidRPr="00AA499E">
        <w:rPr>
          <w:rFonts w:ascii="Times New Roman" w:hAnsi="Times New Roman"/>
          <w:lang w:val="da-DK" w:eastAsia="sv-SE"/>
        </w:rPr>
        <w:t>a</w:t>
      </w:r>
      <w:r w:rsidRPr="00AA499E">
        <w:rPr>
          <w:rFonts w:ascii="Times New Roman" w:hAnsi="Times New Roman"/>
          <w:spacing w:val="-2"/>
          <w:lang w:val="da-DK" w:eastAsia="sv-SE"/>
        </w:rPr>
        <w:t>k</w:t>
      </w:r>
      <w:r w:rsidRPr="00AA499E">
        <w:rPr>
          <w:rFonts w:ascii="Times New Roman" w:hAnsi="Times New Roman"/>
          <w:spacing w:val="1"/>
          <w:lang w:val="da-DK" w:eastAsia="sv-SE"/>
        </w:rPr>
        <w:t>t</w:t>
      </w:r>
      <w:r w:rsidRPr="00AA499E">
        <w:rPr>
          <w:rFonts w:ascii="Times New Roman" w:hAnsi="Times New Roman"/>
          <w:spacing w:val="-1"/>
          <w:lang w:val="da-DK" w:eastAsia="sv-SE"/>
        </w:rPr>
        <w:t>æ</w:t>
      </w:r>
      <w:r w:rsidRPr="00AA499E">
        <w:rPr>
          <w:rFonts w:ascii="Times New Roman" w:hAnsi="Times New Roman"/>
          <w:lang w:val="da-DK" w:eastAsia="sv-SE"/>
        </w:rPr>
        <w:t>r</w:t>
      </w:r>
      <w:r w:rsidRPr="00AA499E">
        <w:rPr>
          <w:rFonts w:ascii="Times New Roman" w:hAnsi="Times New Roman"/>
          <w:spacing w:val="1"/>
          <w:lang w:val="da-DK" w:eastAsia="sv-SE"/>
        </w:rPr>
        <w:t xml:space="preserve"> </w:t>
      </w:r>
      <w:r w:rsidRPr="00AA499E">
        <w:rPr>
          <w:rFonts w:ascii="Times New Roman" w:hAnsi="Times New Roman"/>
          <w:lang w:val="da-DK" w:eastAsia="sv-SE"/>
        </w:rPr>
        <w:t>s</w:t>
      </w:r>
      <w:r w:rsidRPr="00AA499E">
        <w:rPr>
          <w:rFonts w:ascii="Times New Roman" w:hAnsi="Times New Roman"/>
          <w:spacing w:val="-2"/>
          <w:lang w:val="da-DK" w:eastAsia="sv-SE"/>
        </w:rPr>
        <w:t>yg</w:t>
      </w:r>
      <w:r w:rsidRPr="00AA499E">
        <w:rPr>
          <w:rFonts w:ascii="Times New Roman" w:hAnsi="Times New Roman"/>
          <w:lang w:val="da-DK" w:eastAsia="sv-SE"/>
        </w:rPr>
        <w:t>dom</w:t>
      </w:r>
      <w:r w:rsidRPr="00AA499E">
        <w:rPr>
          <w:rFonts w:ascii="Times New Roman" w:hAnsi="Times New Roman"/>
          <w:spacing w:val="-4"/>
          <w:lang w:val="da-DK" w:eastAsia="sv-SE"/>
        </w:rPr>
        <w:t xml:space="preserve"> </w:t>
      </w:r>
      <w:r w:rsidRPr="00AA499E">
        <w:rPr>
          <w:rFonts w:ascii="Times New Roman" w:hAnsi="Times New Roman"/>
          <w:lang w:val="da-DK" w:eastAsia="sv-SE"/>
        </w:rPr>
        <w:t>som</w:t>
      </w:r>
      <w:r w:rsidRPr="00AA499E">
        <w:rPr>
          <w:rFonts w:ascii="Times New Roman" w:hAnsi="Times New Roman"/>
          <w:spacing w:val="-3"/>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ono</w:t>
      </w:r>
      <w:r w:rsidRPr="00AA499E">
        <w:rPr>
          <w:rFonts w:ascii="Times New Roman" w:hAnsi="Times New Roman"/>
          <w:spacing w:val="1"/>
          <w:lang w:val="da-DK" w:eastAsia="sv-SE"/>
        </w:rPr>
        <w:t>t</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ap</w:t>
      </w:r>
      <w:r w:rsidRPr="00AA499E">
        <w:rPr>
          <w:rFonts w:ascii="Times New Roman" w:hAnsi="Times New Roman"/>
          <w:spacing w:val="1"/>
          <w:lang w:val="da-DK" w:eastAsia="sv-SE"/>
        </w:rPr>
        <w:t>i</w:t>
      </w:r>
      <w:r w:rsidRPr="00AA499E">
        <w:rPr>
          <w:rFonts w:ascii="Times New Roman" w:hAnsi="Times New Roman"/>
          <w:lang w:val="da-DK" w:eastAsia="sv-SE"/>
        </w:rPr>
        <w:t>.</w:t>
      </w:r>
    </w:p>
    <w:p w14:paraId="4F348D98" w14:textId="77777777" w:rsidR="009A2464" w:rsidRPr="00AA499E" w:rsidRDefault="009A2464" w:rsidP="00063A26">
      <w:pPr>
        <w:numPr>
          <w:ilvl w:val="0"/>
          <w:numId w:val="17"/>
        </w:numPr>
        <w:autoSpaceDE w:val="0"/>
        <w:autoSpaceDN w:val="0"/>
        <w:adjustRightInd w:val="0"/>
        <w:spacing w:before="4" w:after="0" w:line="240" w:lineRule="auto"/>
        <w:ind w:left="567" w:right="-20" w:hanging="567"/>
        <w:rPr>
          <w:rFonts w:ascii="Times New Roman" w:hAnsi="Times New Roman"/>
          <w:lang w:val="da-DK" w:eastAsia="sv-SE"/>
        </w:rPr>
      </w:pPr>
      <w:r w:rsidRPr="00AA499E">
        <w:rPr>
          <w:rFonts w:ascii="Times New Roman" w:hAnsi="Times New Roman"/>
          <w:spacing w:val="-2"/>
          <w:lang w:val="da-DK" w:eastAsia="sv-SE"/>
        </w:rPr>
        <w:lastRenderedPageBreak/>
        <w:t>v</w:t>
      </w:r>
      <w:r w:rsidRPr="00AA499E">
        <w:rPr>
          <w:rFonts w:ascii="Times New Roman" w:hAnsi="Times New Roman"/>
          <w:lang w:val="da-DK" w:eastAsia="sv-SE"/>
        </w:rPr>
        <w:t>o</w:t>
      </w:r>
      <w:r w:rsidRPr="00AA499E">
        <w:rPr>
          <w:rFonts w:ascii="Times New Roman" w:hAnsi="Times New Roman"/>
          <w:spacing w:val="-2"/>
          <w:lang w:val="da-DK" w:eastAsia="sv-SE"/>
        </w:rPr>
        <w:t>k</w:t>
      </w:r>
      <w:r w:rsidRPr="00AA499E">
        <w:rPr>
          <w:rFonts w:ascii="Times New Roman" w:hAnsi="Times New Roman"/>
          <w:lang w:val="da-DK" w:eastAsia="sv-SE"/>
        </w:rPr>
        <w:t>sne</w:t>
      </w:r>
      <w:r w:rsidRPr="00AA499E">
        <w:rPr>
          <w:rFonts w:ascii="Times New Roman" w:hAnsi="Times New Roman"/>
          <w:spacing w:val="1"/>
          <w:lang w:val="da-DK" w:eastAsia="sv-SE"/>
        </w:rPr>
        <w:t xml:space="preserve"> </w:t>
      </w:r>
      <w:r w:rsidRPr="00AA499E">
        <w:rPr>
          <w:rFonts w:ascii="Times New Roman" w:hAnsi="Times New Roman"/>
          <w:lang w:val="da-DK" w:eastAsia="sv-SE"/>
        </w:rPr>
        <w:t>pa</w:t>
      </w:r>
      <w:r w:rsidRPr="00AA499E">
        <w:rPr>
          <w:rFonts w:ascii="Times New Roman" w:hAnsi="Times New Roman"/>
          <w:spacing w:val="1"/>
          <w:lang w:val="da-DK" w:eastAsia="sv-SE"/>
        </w:rPr>
        <w:t>ti</w:t>
      </w:r>
      <w:r w:rsidRPr="00AA499E">
        <w:rPr>
          <w:rFonts w:ascii="Times New Roman" w:hAnsi="Times New Roman"/>
          <w:lang w:val="da-DK" w:eastAsia="sv-SE"/>
        </w:rPr>
        <w:t>en</w:t>
      </w:r>
      <w:r w:rsidRPr="00AA499E">
        <w:rPr>
          <w:rFonts w:ascii="Times New Roman" w:hAnsi="Times New Roman"/>
          <w:spacing w:val="1"/>
          <w:lang w:val="da-DK" w:eastAsia="sv-SE"/>
        </w:rPr>
        <w:t>t</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 xml:space="preserve">ed </w:t>
      </w:r>
      <w:r w:rsidRPr="00AA499E">
        <w:rPr>
          <w:rFonts w:ascii="Times New Roman" w:hAnsi="Times New Roman"/>
          <w:spacing w:val="-3"/>
          <w:lang w:val="da-DK" w:eastAsia="sv-SE"/>
        </w:rPr>
        <w:t>m</w:t>
      </w:r>
      <w:r w:rsidRPr="00AA499E">
        <w:rPr>
          <w:rFonts w:ascii="Times New Roman" w:hAnsi="Times New Roman"/>
          <w:spacing w:val="-2"/>
          <w:lang w:val="da-DK" w:eastAsia="sv-SE"/>
        </w:rPr>
        <w:t>y</w:t>
      </w:r>
      <w:r w:rsidRPr="00AA499E">
        <w:rPr>
          <w:rFonts w:ascii="Times New Roman" w:hAnsi="Times New Roman"/>
          <w:lang w:val="da-DK" w:eastAsia="sv-SE"/>
        </w:rPr>
        <w:t>e</w:t>
      </w:r>
      <w:r w:rsidRPr="00AA499E">
        <w:rPr>
          <w:rFonts w:ascii="Times New Roman" w:hAnsi="Times New Roman"/>
          <w:spacing w:val="1"/>
          <w:lang w:val="da-DK" w:eastAsia="sv-SE"/>
        </w:rPr>
        <w:t>l</w:t>
      </w:r>
      <w:r w:rsidRPr="00AA499E">
        <w:rPr>
          <w:rFonts w:ascii="Times New Roman" w:hAnsi="Times New Roman"/>
          <w:lang w:val="da-DK" w:eastAsia="sv-SE"/>
        </w:rPr>
        <w:t>o</w:t>
      </w:r>
      <w:r w:rsidRPr="00AA499E">
        <w:rPr>
          <w:rFonts w:ascii="Times New Roman" w:hAnsi="Times New Roman"/>
          <w:spacing w:val="2"/>
          <w:lang w:val="da-DK" w:eastAsia="sv-SE"/>
        </w:rPr>
        <w:t>d</w:t>
      </w:r>
      <w:r w:rsidRPr="00AA499E">
        <w:rPr>
          <w:rFonts w:ascii="Times New Roman" w:hAnsi="Times New Roman"/>
          <w:spacing w:val="-2"/>
          <w:lang w:val="da-DK" w:eastAsia="sv-SE"/>
        </w:rPr>
        <w:t>y</w:t>
      </w:r>
      <w:r w:rsidRPr="00AA499E">
        <w:rPr>
          <w:rFonts w:ascii="Times New Roman" w:hAnsi="Times New Roman"/>
          <w:lang w:val="da-DK" w:eastAsia="sv-SE"/>
        </w:rPr>
        <w:t>sp</w:t>
      </w:r>
      <w:r w:rsidRPr="00AA499E">
        <w:rPr>
          <w:rFonts w:ascii="Times New Roman" w:hAnsi="Times New Roman"/>
          <w:spacing w:val="1"/>
          <w:lang w:val="da-DK" w:eastAsia="sv-SE"/>
        </w:rPr>
        <w:t>l</w:t>
      </w:r>
      <w:r w:rsidRPr="00AA499E">
        <w:rPr>
          <w:rFonts w:ascii="Times New Roman" w:hAnsi="Times New Roman"/>
          <w:lang w:val="da-DK" w:eastAsia="sv-SE"/>
        </w:rPr>
        <w:t>a</w:t>
      </w:r>
      <w:r w:rsidRPr="00AA499E">
        <w:rPr>
          <w:rFonts w:ascii="Times New Roman" w:hAnsi="Times New Roman"/>
          <w:spacing w:val="1"/>
          <w:lang w:val="da-DK" w:eastAsia="sv-SE"/>
        </w:rPr>
        <w:t>sti</w:t>
      </w:r>
      <w:r w:rsidRPr="00AA499E">
        <w:rPr>
          <w:rFonts w:ascii="Times New Roman" w:hAnsi="Times New Roman"/>
          <w:lang w:val="da-DK" w:eastAsia="sv-SE"/>
        </w:rPr>
        <w:t>sk</w:t>
      </w:r>
      <w:r w:rsidRPr="00AA499E">
        <w:rPr>
          <w:rFonts w:ascii="Times New Roman" w:hAnsi="Times New Roman"/>
          <w:spacing w:val="-2"/>
          <w:lang w:val="da-DK" w:eastAsia="sv-SE"/>
        </w:rPr>
        <w:t xml:space="preserve"> </w:t>
      </w:r>
      <w:r w:rsidRPr="00AA499E">
        <w:rPr>
          <w:rFonts w:ascii="Times New Roman" w:hAnsi="Times New Roman"/>
          <w:lang w:val="da-DK" w:eastAsia="sv-SE"/>
        </w:rPr>
        <w:t>s</w:t>
      </w:r>
      <w:r w:rsidRPr="00AA499E">
        <w:rPr>
          <w:rFonts w:ascii="Times New Roman" w:hAnsi="Times New Roman"/>
          <w:spacing w:val="-2"/>
          <w:lang w:val="da-DK" w:eastAsia="sv-SE"/>
        </w:rPr>
        <w:t>y</w:t>
      </w:r>
      <w:r w:rsidRPr="00AA499E">
        <w:rPr>
          <w:rFonts w:ascii="Times New Roman" w:hAnsi="Times New Roman"/>
          <w:lang w:val="da-DK" w:eastAsia="sv-SE"/>
        </w:rPr>
        <w:t>nd</w:t>
      </w:r>
      <w:r w:rsidRPr="00AA499E">
        <w:rPr>
          <w:rFonts w:ascii="Times New Roman" w:hAnsi="Times New Roman"/>
          <w:spacing w:val="1"/>
          <w:lang w:val="da-DK" w:eastAsia="sv-SE"/>
        </w:rPr>
        <w:t>r</w:t>
      </w:r>
      <w:r w:rsidRPr="00AA499E">
        <w:rPr>
          <w:rFonts w:ascii="Times New Roman" w:hAnsi="Times New Roman"/>
          <w:lang w:val="da-DK" w:eastAsia="sv-SE"/>
        </w:rPr>
        <w:t>o</w:t>
      </w:r>
      <w:r w:rsidRPr="00AA499E">
        <w:rPr>
          <w:rFonts w:ascii="Times New Roman" w:hAnsi="Times New Roman"/>
          <w:spacing w:val="-4"/>
          <w:lang w:val="da-DK" w:eastAsia="sv-SE"/>
        </w:rPr>
        <w:t>m</w:t>
      </w:r>
      <w:r w:rsidRPr="00AA499E">
        <w:rPr>
          <w:rFonts w:ascii="Times New Roman" w:hAnsi="Times New Roman"/>
          <w:spacing w:val="1"/>
          <w:lang w:val="da-DK" w:eastAsia="sv-SE"/>
        </w:rPr>
        <w:t>/</w:t>
      </w:r>
      <w:r w:rsidRPr="00AA499E">
        <w:rPr>
          <w:rFonts w:ascii="Times New Roman" w:hAnsi="Times New Roman"/>
          <w:spacing w:val="-4"/>
          <w:lang w:val="da-DK" w:eastAsia="sv-SE"/>
        </w:rPr>
        <w:t>m</w:t>
      </w:r>
      <w:r w:rsidRPr="00AA499E">
        <w:rPr>
          <w:rFonts w:ascii="Times New Roman" w:hAnsi="Times New Roman"/>
          <w:spacing w:val="-2"/>
          <w:lang w:val="da-DK" w:eastAsia="sv-SE"/>
        </w:rPr>
        <w:t>y</w:t>
      </w:r>
      <w:r w:rsidRPr="00AA499E">
        <w:rPr>
          <w:rFonts w:ascii="Times New Roman" w:hAnsi="Times New Roman"/>
          <w:lang w:val="da-DK" w:eastAsia="sv-SE"/>
        </w:rPr>
        <w:t>e</w:t>
      </w:r>
      <w:r w:rsidRPr="00AA499E">
        <w:rPr>
          <w:rFonts w:ascii="Times New Roman" w:hAnsi="Times New Roman"/>
          <w:spacing w:val="1"/>
          <w:lang w:val="da-DK" w:eastAsia="sv-SE"/>
        </w:rPr>
        <w:t>l</w:t>
      </w:r>
      <w:r w:rsidRPr="00AA499E">
        <w:rPr>
          <w:rFonts w:ascii="Times New Roman" w:hAnsi="Times New Roman"/>
          <w:lang w:val="da-DK" w:eastAsia="sv-SE"/>
        </w:rPr>
        <w:t>op</w:t>
      </w:r>
      <w:r w:rsidRPr="00AA499E">
        <w:rPr>
          <w:rFonts w:ascii="Times New Roman" w:hAnsi="Times New Roman"/>
          <w:spacing w:val="1"/>
          <w:lang w:val="da-DK" w:eastAsia="sv-SE"/>
        </w:rPr>
        <w:t>r</w:t>
      </w:r>
      <w:r w:rsidRPr="00AA499E">
        <w:rPr>
          <w:rFonts w:ascii="Times New Roman" w:hAnsi="Times New Roman"/>
          <w:lang w:val="da-DK" w:eastAsia="sv-SE"/>
        </w:rPr>
        <w:t>o</w:t>
      </w:r>
      <w:r w:rsidRPr="00AA499E">
        <w:rPr>
          <w:rFonts w:ascii="Times New Roman" w:hAnsi="Times New Roman"/>
          <w:spacing w:val="1"/>
          <w:lang w:val="da-DK" w:eastAsia="sv-SE"/>
        </w:rPr>
        <w:t>lif</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a</w:t>
      </w:r>
      <w:r w:rsidRPr="00AA499E">
        <w:rPr>
          <w:rFonts w:ascii="Times New Roman" w:hAnsi="Times New Roman"/>
          <w:spacing w:val="1"/>
          <w:lang w:val="da-DK" w:eastAsia="sv-SE"/>
        </w:rPr>
        <w:t>ti</w:t>
      </w:r>
      <w:r w:rsidRPr="00AA499E">
        <w:rPr>
          <w:rFonts w:ascii="Times New Roman" w:hAnsi="Times New Roman"/>
          <w:spacing w:val="-2"/>
          <w:lang w:val="da-DK" w:eastAsia="sv-SE"/>
        </w:rPr>
        <w:t>v</w:t>
      </w:r>
      <w:r w:rsidRPr="00AA499E">
        <w:rPr>
          <w:rFonts w:ascii="Times New Roman" w:hAnsi="Times New Roman"/>
          <w:lang w:val="da-DK" w:eastAsia="sv-SE"/>
        </w:rPr>
        <w:t xml:space="preserve">e </w:t>
      </w:r>
      <w:r w:rsidRPr="00AA499E">
        <w:rPr>
          <w:rFonts w:ascii="Times New Roman" w:hAnsi="Times New Roman"/>
          <w:spacing w:val="1"/>
          <w:lang w:val="da-DK" w:eastAsia="sv-SE"/>
        </w:rPr>
        <w:t>s</w:t>
      </w:r>
      <w:r w:rsidRPr="00AA499E">
        <w:rPr>
          <w:rFonts w:ascii="Times New Roman" w:hAnsi="Times New Roman"/>
          <w:spacing w:val="-2"/>
          <w:lang w:val="da-DK" w:eastAsia="sv-SE"/>
        </w:rPr>
        <w:t>yg</w:t>
      </w:r>
      <w:r w:rsidRPr="00AA499E">
        <w:rPr>
          <w:rFonts w:ascii="Times New Roman" w:hAnsi="Times New Roman"/>
          <w:lang w:val="da-DK" w:eastAsia="sv-SE"/>
        </w:rPr>
        <w:t>do</w:t>
      </w:r>
      <w:r w:rsidRPr="00AA499E">
        <w:rPr>
          <w:rFonts w:ascii="Times New Roman" w:hAnsi="Times New Roman"/>
          <w:spacing w:val="-4"/>
          <w:lang w:val="da-DK" w:eastAsia="sv-SE"/>
        </w:rPr>
        <w:t>mm</w:t>
      </w:r>
      <w:r w:rsidRPr="00AA499E">
        <w:rPr>
          <w:rFonts w:ascii="Times New Roman" w:hAnsi="Times New Roman"/>
          <w:lang w:val="da-DK" w:eastAsia="sv-SE"/>
        </w:rPr>
        <w:t xml:space="preserve">e </w:t>
      </w:r>
      <w:r w:rsidRPr="00AA499E">
        <w:rPr>
          <w:rFonts w:ascii="Times New Roman" w:hAnsi="Times New Roman"/>
          <w:spacing w:val="1"/>
          <w:lang w:val="da-DK" w:eastAsia="sv-SE"/>
        </w:rPr>
        <w:t>(</w:t>
      </w:r>
      <w:r w:rsidRPr="00AA499E">
        <w:rPr>
          <w:rFonts w:ascii="Times New Roman" w:hAnsi="Times New Roman"/>
          <w:lang w:val="da-DK" w:eastAsia="sv-SE"/>
        </w:rPr>
        <w:t>MD</w:t>
      </w:r>
      <w:r w:rsidRPr="00AA499E">
        <w:rPr>
          <w:rFonts w:ascii="Times New Roman" w:hAnsi="Times New Roman"/>
          <w:spacing w:val="-1"/>
          <w:lang w:val="da-DK" w:eastAsia="sv-SE"/>
        </w:rPr>
        <w:t>S</w:t>
      </w:r>
      <w:r w:rsidRPr="00AA499E">
        <w:rPr>
          <w:rFonts w:ascii="Times New Roman" w:hAnsi="Times New Roman"/>
          <w:spacing w:val="1"/>
          <w:lang w:val="da-DK" w:eastAsia="sv-SE"/>
        </w:rPr>
        <w:t>/</w:t>
      </w:r>
      <w:r w:rsidRPr="00AA499E">
        <w:rPr>
          <w:rFonts w:ascii="Times New Roman" w:hAnsi="Times New Roman"/>
          <w:lang w:val="da-DK" w:eastAsia="sv-SE"/>
        </w:rPr>
        <w:t>MP</w:t>
      </w:r>
      <w:r w:rsidRPr="00AA499E">
        <w:rPr>
          <w:rFonts w:ascii="Times New Roman" w:hAnsi="Times New Roman"/>
          <w:spacing w:val="-1"/>
          <w:lang w:val="da-DK" w:eastAsia="sv-SE"/>
        </w:rPr>
        <w:t>D</w:t>
      </w:r>
      <w:r w:rsidRPr="00AA499E">
        <w:rPr>
          <w:rFonts w:ascii="Times New Roman" w:hAnsi="Times New Roman"/>
          <w:lang w:val="da-DK" w:eastAsia="sv-SE"/>
        </w:rPr>
        <w:t>)</w:t>
      </w:r>
    </w:p>
    <w:p w14:paraId="2E28EF90" w14:textId="77777777" w:rsidR="009A2464" w:rsidRPr="00AA499E" w:rsidRDefault="009A2464" w:rsidP="00063A26">
      <w:pPr>
        <w:autoSpaceDE w:val="0"/>
        <w:autoSpaceDN w:val="0"/>
        <w:adjustRightInd w:val="0"/>
        <w:spacing w:before="5" w:after="0" w:line="240" w:lineRule="auto"/>
        <w:ind w:right="-20" w:firstLine="567"/>
        <w:rPr>
          <w:rFonts w:ascii="Times New Roman" w:hAnsi="Times New Roman"/>
          <w:lang w:val="da-DK" w:eastAsia="sv-SE"/>
        </w:rPr>
      </w:pPr>
      <w:r w:rsidRPr="00AA499E">
        <w:rPr>
          <w:rFonts w:ascii="Times New Roman" w:hAnsi="Times New Roman"/>
          <w:lang w:val="da-DK" w:eastAsia="sv-SE"/>
        </w:rPr>
        <w:t>som</w:t>
      </w:r>
      <w:r w:rsidRPr="00AA499E">
        <w:rPr>
          <w:rFonts w:ascii="Times New Roman" w:hAnsi="Times New Roman"/>
          <w:spacing w:val="-3"/>
          <w:lang w:val="da-DK" w:eastAsia="sv-SE"/>
        </w:rPr>
        <w:t xml:space="preserve"> </w:t>
      </w:r>
      <w:r w:rsidRPr="00AA499E">
        <w:rPr>
          <w:rFonts w:ascii="Times New Roman" w:hAnsi="Times New Roman"/>
          <w:lang w:val="da-DK" w:eastAsia="sv-SE"/>
        </w:rPr>
        <w:t>er</w:t>
      </w:r>
      <w:r w:rsidRPr="00AA499E">
        <w:rPr>
          <w:rFonts w:ascii="Times New Roman" w:hAnsi="Times New Roman"/>
          <w:spacing w:val="1"/>
          <w:lang w:val="da-DK" w:eastAsia="sv-SE"/>
        </w:rPr>
        <w:t xml:space="preserve"> f</w:t>
      </w:r>
      <w:r w:rsidRPr="00AA499E">
        <w:rPr>
          <w:rFonts w:ascii="Times New Roman" w:hAnsi="Times New Roman"/>
          <w:lang w:val="da-DK" w:eastAsia="sv-SE"/>
        </w:rPr>
        <w:t>o</w:t>
      </w:r>
      <w:r w:rsidRPr="00AA499E">
        <w:rPr>
          <w:rFonts w:ascii="Times New Roman" w:hAnsi="Times New Roman"/>
          <w:spacing w:val="1"/>
          <w:lang w:val="da-DK" w:eastAsia="sv-SE"/>
        </w:rPr>
        <w:t>r</w:t>
      </w:r>
      <w:r w:rsidRPr="00AA499E">
        <w:rPr>
          <w:rFonts w:ascii="Times New Roman" w:hAnsi="Times New Roman"/>
          <w:lang w:val="da-DK" w:eastAsia="sv-SE"/>
        </w:rPr>
        <w:t>bundet</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ed p</w:t>
      </w:r>
      <w:r w:rsidRPr="00AA499E">
        <w:rPr>
          <w:rFonts w:ascii="Times New Roman" w:hAnsi="Times New Roman"/>
          <w:spacing w:val="1"/>
          <w:lang w:val="da-DK" w:eastAsia="sv-SE"/>
        </w:rPr>
        <w:t>l</w:t>
      </w:r>
      <w:r w:rsidRPr="00AA499E">
        <w:rPr>
          <w:rFonts w:ascii="Times New Roman" w:hAnsi="Times New Roman"/>
          <w:lang w:val="da-DK" w:eastAsia="sv-SE"/>
        </w:rPr>
        <w:t>a</w:t>
      </w:r>
      <w:r w:rsidRPr="00AA499E">
        <w:rPr>
          <w:rFonts w:ascii="Times New Roman" w:hAnsi="Times New Roman"/>
          <w:spacing w:val="1"/>
          <w:lang w:val="da-DK" w:eastAsia="sv-SE"/>
        </w:rPr>
        <w:t>t</w:t>
      </w:r>
      <w:r w:rsidRPr="00AA499E">
        <w:rPr>
          <w:rFonts w:ascii="Times New Roman" w:hAnsi="Times New Roman"/>
          <w:lang w:val="da-DK" w:eastAsia="sv-SE"/>
        </w:rPr>
        <w:t>e</w:t>
      </w:r>
      <w:r w:rsidRPr="00AA499E">
        <w:rPr>
          <w:rFonts w:ascii="Times New Roman" w:hAnsi="Times New Roman"/>
          <w:spacing w:val="1"/>
          <w:lang w:val="da-DK" w:eastAsia="sv-SE"/>
        </w:rPr>
        <w:t>l</w:t>
      </w:r>
      <w:r w:rsidRPr="00AA499E">
        <w:rPr>
          <w:rFonts w:ascii="Times New Roman" w:hAnsi="Times New Roman"/>
          <w:lang w:val="da-DK" w:eastAsia="sv-SE"/>
        </w:rPr>
        <w:t>e</w:t>
      </w:r>
      <w:r w:rsidRPr="00AA499E">
        <w:rPr>
          <w:rFonts w:ascii="Times New Roman" w:hAnsi="Times New Roman"/>
          <w:spacing w:val="4"/>
          <w:lang w:val="da-DK" w:eastAsia="sv-SE"/>
        </w:rPr>
        <w:t>t</w:t>
      </w:r>
      <w:r w:rsidRPr="00AA499E">
        <w:rPr>
          <w:rFonts w:ascii="Times New Roman" w:hAnsi="Times New Roman"/>
          <w:spacing w:val="-4"/>
          <w:lang w:val="da-DK" w:eastAsia="sv-SE"/>
        </w:rPr>
        <w:t>-</w:t>
      </w:r>
      <w:r w:rsidRPr="00AA499E">
        <w:rPr>
          <w:rFonts w:ascii="Times New Roman" w:hAnsi="Times New Roman"/>
          <w:lang w:val="da-DK" w:eastAsia="sv-SE"/>
        </w:rPr>
        <w:t>de</w:t>
      </w:r>
      <w:r w:rsidRPr="00AA499E">
        <w:rPr>
          <w:rFonts w:ascii="Times New Roman" w:hAnsi="Times New Roman"/>
          <w:spacing w:val="1"/>
          <w:lang w:val="da-DK" w:eastAsia="sv-SE"/>
        </w:rPr>
        <w:t>ri</w:t>
      </w:r>
      <w:r w:rsidRPr="00AA499E">
        <w:rPr>
          <w:rFonts w:ascii="Times New Roman" w:hAnsi="Times New Roman"/>
          <w:spacing w:val="-2"/>
          <w:lang w:val="da-DK" w:eastAsia="sv-SE"/>
        </w:rPr>
        <w:t>v</w:t>
      </w:r>
      <w:r w:rsidRPr="00AA499E">
        <w:rPr>
          <w:rFonts w:ascii="Times New Roman" w:hAnsi="Times New Roman"/>
          <w:lang w:val="da-DK" w:eastAsia="sv-SE"/>
        </w:rPr>
        <w:t xml:space="preserve">ed </w:t>
      </w:r>
      <w:r w:rsidRPr="00AA499E">
        <w:rPr>
          <w:rFonts w:ascii="Times New Roman" w:hAnsi="Times New Roman"/>
          <w:spacing w:val="-2"/>
          <w:lang w:val="da-DK" w:eastAsia="sv-SE"/>
        </w:rPr>
        <w:t>g</w:t>
      </w:r>
      <w:r w:rsidRPr="00AA499E">
        <w:rPr>
          <w:rFonts w:ascii="Times New Roman" w:hAnsi="Times New Roman"/>
          <w:spacing w:val="1"/>
          <w:lang w:val="da-DK" w:eastAsia="sv-SE"/>
        </w:rPr>
        <w:t>r</w:t>
      </w:r>
      <w:r w:rsidRPr="00AA499E">
        <w:rPr>
          <w:rFonts w:ascii="Times New Roman" w:hAnsi="Times New Roman"/>
          <w:lang w:val="da-DK" w:eastAsia="sv-SE"/>
        </w:rPr>
        <w:t>o</w:t>
      </w:r>
      <w:r w:rsidRPr="00AA499E">
        <w:rPr>
          <w:rFonts w:ascii="Times New Roman" w:hAnsi="Times New Roman"/>
          <w:spacing w:val="-1"/>
          <w:lang w:val="da-DK" w:eastAsia="sv-SE"/>
        </w:rPr>
        <w:t>w</w:t>
      </w:r>
      <w:r w:rsidRPr="00AA499E">
        <w:rPr>
          <w:rFonts w:ascii="Times New Roman" w:hAnsi="Times New Roman"/>
          <w:spacing w:val="1"/>
          <w:lang w:val="da-DK" w:eastAsia="sv-SE"/>
        </w:rPr>
        <w:t>t</w:t>
      </w:r>
      <w:r w:rsidRPr="00AA499E">
        <w:rPr>
          <w:rFonts w:ascii="Times New Roman" w:hAnsi="Times New Roman"/>
          <w:lang w:val="da-DK" w:eastAsia="sv-SE"/>
        </w:rPr>
        <w:t xml:space="preserve">h </w:t>
      </w:r>
      <w:r w:rsidRPr="00AA499E">
        <w:rPr>
          <w:rFonts w:ascii="Times New Roman" w:hAnsi="Times New Roman"/>
          <w:spacing w:val="1"/>
          <w:lang w:val="da-DK" w:eastAsia="sv-SE"/>
        </w:rPr>
        <w:t>f</w:t>
      </w:r>
      <w:r w:rsidRPr="00AA499E">
        <w:rPr>
          <w:rFonts w:ascii="Times New Roman" w:hAnsi="Times New Roman"/>
          <w:lang w:val="da-DK" w:eastAsia="sv-SE"/>
        </w:rPr>
        <w:t>a</w:t>
      </w:r>
      <w:r w:rsidRPr="00AA499E">
        <w:rPr>
          <w:rFonts w:ascii="Times New Roman" w:hAnsi="Times New Roman"/>
          <w:spacing w:val="1"/>
          <w:lang w:val="da-DK" w:eastAsia="sv-SE"/>
        </w:rPr>
        <w:t>ct</w:t>
      </w:r>
      <w:r w:rsidRPr="00AA499E">
        <w:rPr>
          <w:rFonts w:ascii="Times New Roman" w:hAnsi="Times New Roman"/>
          <w:lang w:val="da-DK" w:eastAsia="sv-SE"/>
        </w:rPr>
        <w:t>or</w:t>
      </w:r>
      <w:r w:rsidRPr="00AA499E">
        <w:rPr>
          <w:rFonts w:ascii="Times New Roman" w:hAnsi="Times New Roman"/>
          <w:spacing w:val="1"/>
          <w:lang w:val="da-DK" w:eastAsia="sv-SE"/>
        </w:rPr>
        <w:t xml:space="preserve"> r</w:t>
      </w:r>
      <w:r w:rsidRPr="00AA499E">
        <w:rPr>
          <w:rFonts w:ascii="Times New Roman" w:hAnsi="Times New Roman"/>
          <w:lang w:val="da-DK" w:eastAsia="sv-SE"/>
        </w:rPr>
        <w:t>e</w:t>
      </w:r>
      <w:r w:rsidRPr="00AA499E">
        <w:rPr>
          <w:rFonts w:ascii="Times New Roman" w:hAnsi="Times New Roman"/>
          <w:spacing w:val="1"/>
          <w:lang w:val="da-DK" w:eastAsia="sv-SE"/>
        </w:rPr>
        <w:t>c</w:t>
      </w:r>
      <w:r w:rsidRPr="00AA499E">
        <w:rPr>
          <w:rFonts w:ascii="Times New Roman" w:hAnsi="Times New Roman"/>
          <w:lang w:val="da-DK" w:eastAsia="sv-SE"/>
        </w:rPr>
        <w:t>ep</w:t>
      </w:r>
      <w:r w:rsidRPr="00AA499E">
        <w:rPr>
          <w:rFonts w:ascii="Times New Roman" w:hAnsi="Times New Roman"/>
          <w:spacing w:val="1"/>
          <w:lang w:val="da-DK" w:eastAsia="sv-SE"/>
        </w:rPr>
        <w:t>t</w:t>
      </w:r>
      <w:r w:rsidRPr="00AA499E">
        <w:rPr>
          <w:rFonts w:ascii="Times New Roman" w:hAnsi="Times New Roman"/>
          <w:lang w:val="da-DK" w:eastAsia="sv-SE"/>
        </w:rPr>
        <w:t>o</w:t>
      </w:r>
      <w:r w:rsidRPr="00AA499E">
        <w:rPr>
          <w:rFonts w:ascii="Times New Roman" w:hAnsi="Times New Roman"/>
          <w:spacing w:val="4"/>
          <w:lang w:val="da-DK" w:eastAsia="sv-SE"/>
        </w:rPr>
        <w:t>r</w:t>
      </w:r>
      <w:r w:rsidRPr="00AA499E">
        <w:rPr>
          <w:rFonts w:ascii="Times New Roman" w:hAnsi="Times New Roman"/>
          <w:spacing w:val="-4"/>
          <w:lang w:val="da-DK" w:eastAsia="sv-SE"/>
        </w:rPr>
        <w:t>-</w:t>
      </w:r>
      <w:r w:rsidRPr="00AA499E">
        <w:rPr>
          <w:rFonts w:ascii="Times New Roman" w:hAnsi="Times New Roman"/>
          <w:lang w:val="da-DK" w:eastAsia="sv-SE"/>
        </w:rPr>
        <w:t>o</w:t>
      </w:r>
      <w:r w:rsidRPr="00AA499E">
        <w:rPr>
          <w:rFonts w:ascii="Times New Roman" w:hAnsi="Times New Roman"/>
          <w:spacing w:val="-4"/>
          <w:lang w:val="da-DK" w:eastAsia="sv-SE"/>
        </w:rPr>
        <w:t>m</w:t>
      </w:r>
      <w:r w:rsidRPr="00AA499E">
        <w:rPr>
          <w:rFonts w:ascii="Times New Roman" w:hAnsi="Times New Roman"/>
          <w:spacing w:val="1"/>
          <w:lang w:val="da-DK" w:eastAsia="sv-SE"/>
        </w:rPr>
        <w:t>l</w:t>
      </w:r>
      <w:r w:rsidRPr="00AA499E">
        <w:rPr>
          <w:rFonts w:ascii="Times New Roman" w:hAnsi="Times New Roman"/>
          <w:lang w:val="da-DK" w:eastAsia="sv-SE"/>
        </w:rPr>
        <w:t>e</w:t>
      </w:r>
      <w:r w:rsidRPr="00AA499E">
        <w:rPr>
          <w:rFonts w:ascii="Times New Roman" w:hAnsi="Times New Roman"/>
          <w:spacing w:val="4"/>
          <w:lang w:val="da-DK" w:eastAsia="sv-SE"/>
        </w:rPr>
        <w:t>j</w:t>
      </w:r>
      <w:r w:rsidRPr="00AA499E">
        <w:rPr>
          <w:rFonts w:ascii="Times New Roman" w:hAnsi="Times New Roman"/>
          <w:spacing w:val="1"/>
          <w:lang w:val="da-DK" w:eastAsia="sv-SE"/>
        </w:rPr>
        <w:t>ri</w:t>
      </w:r>
      <w:r w:rsidRPr="00AA499E">
        <w:rPr>
          <w:rFonts w:ascii="Times New Roman" w:hAnsi="Times New Roman"/>
          <w:lang w:val="da-DK" w:eastAsia="sv-SE"/>
        </w:rPr>
        <w:t>ng</w:t>
      </w:r>
      <w:r w:rsidRPr="00AA499E">
        <w:rPr>
          <w:rFonts w:ascii="Times New Roman" w:hAnsi="Times New Roman"/>
          <w:spacing w:val="-2"/>
          <w:lang w:val="da-DK" w:eastAsia="sv-SE"/>
        </w:rPr>
        <w:t xml:space="preserve"> </w:t>
      </w:r>
      <w:r w:rsidRPr="00AA499E">
        <w:rPr>
          <w:rFonts w:ascii="Times New Roman" w:hAnsi="Times New Roman"/>
          <w:spacing w:val="1"/>
          <w:lang w:val="da-DK" w:eastAsia="sv-SE"/>
        </w:rPr>
        <w:t>(</w:t>
      </w:r>
      <w:r w:rsidRPr="00AA499E">
        <w:rPr>
          <w:rFonts w:ascii="Times New Roman" w:hAnsi="Times New Roman"/>
          <w:lang w:val="da-DK" w:eastAsia="sv-SE"/>
        </w:rPr>
        <w:t>P</w:t>
      </w:r>
      <w:r w:rsidRPr="00AA499E">
        <w:rPr>
          <w:rFonts w:ascii="Times New Roman" w:hAnsi="Times New Roman"/>
          <w:spacing w:val="-1"/>
          <w:lang w:val="da-DK" w:eastAsia="sv-SE"/>
        </w:rPr>
        <w:t>DG</w:t>
      </w:r>
      <w:r w:rsidRPr="00AA499E">
        <w:rPr>
          <w:rFonts w:ascii="Times New Roman" w:hAnsi="Times New Roman"/>
          <w:lang w:val="da-DK" w:eastAsia="sv-SE"/>
        </w:rPr>
        <w:t>FR</w:t>
      </w:r>
      <w:r w:rsidRPr="00AA499E">
        <w:rPr>
          <w:rFonts w:ascii="Times New Roman" w:hAnsi="Times New Roman"/>
          <w:spacing w:val="-4"/>
          <w:lang w:val="da-DK" w:eastAsia="sv-SE"/>
        </w:rPr>
        <w:t>-</w:t>
      </w:r>
      <w:r w:rsidRPr="00AA499E">
        <w:rPr>
          <w:rFonts w:ascii="Times New Roman" w:hAnsi="Times New Roman"/>
          <w:lang w:val="da-DK" w:eastAsia="sv-SE"/>
        </w:rPr>
        <w:t>o</w:t>
      </w:r>
      <w:r w:rsidRPr="00AA499E">
        <w:rPr>
          <w:rFonts w:ascii="Times New Roman" w:hAnsi="Times New Roman"/>
          <w:spacing w:val="-4"/>
          <w:lang w:val="da-DK" w:eastAsia="sv-SE"/>
        </w:rPr>
        <w:t>m</w:t>
      </w:r>
      <w:r w:rsidRPr="00AA499E">
        <w:rPr>
          <w:rFonts w:ascii="Times New Roman" w:hAnsi="Times New Roman"/>
          <w:spacing w:val="1"/>
          <w:lang w:val="da-DK" w:eastAsia="sv-SE"/>
        </w:rPr>
        <w:t>l</w:t>
      </w:r>
      <w:r w:rsidRPr="00AA499E">
        <w:rPr>
          <w:rFonts w:ascii="Times New Roman" w:hAnsi="Times New Roman"/>
          <w:lang w:val="da-DK" w:eastAsia="sv-SE"/>
        </w:rPr>
        <w:t>e</w:t>
      </w:r>
      <w:r w:rsidRPr="00AA499E">
        <w:rPr>
          <w:rFonts w:ascii="Times New Roman" w:hAnsi="Times New Roman"/>
          <w:spacing w:val="4"/>
          <w:lang w:val="da-DK" w:eastAsia="sv-SE"/>
        </w:rPr>
        <w:t>j</w:t>
      </w:r>
      <w:r w:rsidRPr="00AA499E">
        <w:rPr>
          <w:rFonts w:ascii="Times New Roman" w:hAnsi="Times New Roman"/>
          <w:spacing w:val="1"/>
          <w:lang w:val="da-DK" w:eastAsia="sv-SE"/>
        </w:rPr>
        <w:t>ri</w:t>
      </w:r>
      <w:r w:rsidRPr="00AA499E">
        <w:rPr>
          <w:rFonts w:ascii="Times New Roman" w:hAnsi="Times New Roman"/>
          <w:lang w:val="da-DK" w:eastAsia="sv-SE"/>
        </w:rPr>
        <w:t>n</w:t>
      </w:r>
      <w:r w:rsidRPr="00AA499E">
        <w:rPr>
          <w:rFonts w:ascii="Times New Roman" w:hAnsi="Times New Roman"/>
          <w:spacing w:val="-2"/>
          <w:lang w:val="da-DK" w:eastAsia="sv-SE"/>
        </w:rPr>
        <w:t>g</w:t>
      </w:r>
      <w:r w:rsidRPr="00AA499E">
        <w:rPr>
          <w:rFonts w:ascii="Times New Roman" w:hAnsi="Times New Roman"/>
          <w:spacing w:val="1"/>
          <w:lang w:val="da-DK" w:eastAsia="sv-SE"/>
        </w:rPr>
        <w:t>)</w:t>
      </w:r>
      <w:r w:rsidRPr="00AA499E">
        <w:rPr>
          <w:rFonts w:ascii="Times New Roman" w:hAnsi="Times New Roman"/>
          <w:lang w:val="da-DK" w:eastAsia="sv-SE"/>
        </w:rPr>
        <w:t>.</w:t>
      </w:r>
    </w:p>
    <w:p w14:paraId="737B3E00" w14:textId="77777777" w:rsidR="009A2464" w:rsidRPr="00AA499E" w:rsidRDefault="009A2464" w:rsidP="00063A26">
      <w:pPr>
        <w:numPr>
          <w:ilvl w:val="0"/>
          <w:numId w:val="17"/>
        </w:numPr>
        <w:autoSpaceDE w:val="0"/>
        <w:autoSpaceDN w:val="0"/>
        <w:adjustRightInd w:val="0"/>
        <w:spacing w:before="5" w:after="0" w:line="243" w:lineRule="auto"/>
        <w:ind w:left="567" w:right="332" w:hanging="567"/>
        <w:rPr>
          <w:rFonts w:ascii="Times New Roman" w:hAnsi="Times New Roman"/>
          <w:lang w:val="da-DK" w:eastAsia="sv-SE"/>
        </w:rPr>
      </w:pPr>
      <w:r w:rsidRPr="00AA499E">
        <w:rPr>
          <w:rFonts w:ascii="Times New Roman" w:hAnsi="Times New Roman"/>
          <w:spacing w:val="-2"/>
          <w:lang w:val="da-DK" w:eastAsia="sv-SE"/>
        </w:rPr>
        <w:t>v</w:t>
      </w:r>
      <w:r w:rsidRPr="00AA499E">
        <w:rPr>
          <w:rFonts w:ascii="Times New Roman" w:hAnsi="Times New Roman"/>
          <w:lang w:val="da-DK" w:eastAsia="sv-SE"/>
        </w:rPr>
        <w:t>o</w:t>
      </w:r>
      <w:r w:rsidRPr="00AA499E">
        <w:rPr>
          <w:rFonts w:ascii="Times New Roman" w:hAnsi="Times New Roman"/>
          <w:spacing w:val="-2"/>
          <w:lang w:val="da-DK" w:eastAsia="sv-SE"/>
        </w:rPr>
        <w:t>k</w:t>
      </w:r>
      <w:r w:rsidRPr="00AA499E">
        <w:rPr>
          <w:rFonts w:ascii="Times New Roman" w:hAnsi="Times New Roman"/>
          <w:lang w:val="da-DK" w:eastAsia="sv-SE"/>
        </w:rPr>
        <w:t>sne</w:t>
      </w:r>
      <w:r w:rsidRPr="00AA499E">
        <w:rPr>
          <w:rFonts w:ascii="Times New Roman" w:hAnsi="Times New Roman"/>
          <w:spacing w:val="1"/>
          <w:lang w:val="da-DK" w:eastAsia="sv-SE"/>
        </w:rPr>
        <w:t xml:space="preserve"> </w:t>
      </w:r>
      <w:r w:rsidRPr="00AA499E">
        <w:rPr>
          <w:rFonts w:ascii="Times New Roman" w:hAnsi="Times New Roman"/>
          <w:lang w:val="da-DK" w:eastAsia="sv-SE"/>
        </w:rPr>
        <w:t>pa</w:t>
      </w:r>
      <w:r w:rsidRPr="00AA499E">
        <w:rPr>
          <w:rFonts w:ascii="Times New Roman" w:hAnsi="Times New Roman"/>
          <w:spacing w:val="1"/>
          <w:lang w:val="da-DK" w:eastAsia="sv-SE"/>
        </w:rPr>
        <w:t>ti</w:t>
      </w:r>
      <w:r w:rsidRPr="00AA499E">
        <w:rPr>
          <w:rFonts w:ascii="Times New Roman" w:hAnsi="Times New Roman"/>
          <w:lang w:val="da-DK" w:eastAsia="sv-SE"/>
        </w:rPr>
        <w:t>en</w:t>
      </w:r>
      <w:r w:rsidRPr="00AA499E">
        <w:rPr>
          <w:rFonts w:ascii="Times New Roman" w:hAnsi="Times New Roman"/>
          <w:spacing w:val="1"/>
          <w:lang w:val="da-DK" w:eastAsia="sv-SE"/>
        </w:rPr>
        <w:t>t</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 xml:space="preserve">ed </w:t>
      </w:r>
      <w:r w:rsidRPr="00AA499E">
        <w:rPr>
          <w:rFonts w:ascii="Times New Roman" w:hAnsi="Times New Roman"/>
          <w:spacing w:val="1"/>
          <w:lang w:val="da-DK" w:eastAsia="sv-SE"/>
        </w:rPr>
        <w:t>r</w:t>
      </w:r>
      <w:r w:rsidRPr="00AA499E">
        <w:rPr>
          <w:rFonts w:ascii="Times New Roman" w:hAnsi="Times New Roman"/>
          <w:lang w:val="da-DK" w:eastAsia="sv-SE"/>
        </w:rPr>
        <w:t>e</w:t>
      </w:r>
      <w:r w:rsidRPr="00AA499E">
        <w:rPr>
          <w:rFonts w:ascii="Times New Roman" w:hAnsi="Times New Roman"/>
          <w:spacing w:val="1"/>
          <w:lang w:val="da-DK" w:eastAsia="sv-SE"/>
        </w:rPr>
        <w:t>fr</w:t>
      </w:r>
      <w:r w:rsidRPr="00AA499E">
        <w:rPr>
          <w:rFonts w:ascii="Times New Roman" w:hAnsi="Times New Roman"/>
          <w:lang w:val="da-DK" w:eastAsia="sv-SE"/>
        </w:rPr>
        <w:t>a</w:t>
      </w:r>
      <w:r w:rsidRPr="00AA499E">
        <w:rPr>
          <w:rFonts w:ascii="Times New Roman" w:hAnsi="Times New Roman"/>
          <w:spacing w:val="-2"/>
          <w:lang w:val="da-DK" w:eastAsia="sv-SE"/>
        </w:rPr>
        <w:t>k</w:t>
      </w:r>
      <w:r w:rsidRPr="00AA499E">
        <w:rPr>
          <w:rFonts w:ascii="Times New Roman" w:hAnsi="Times New Roman"/>
          <w:spacing w:val="1"/>
          <w:lang w:val="da-DK" w:eastAsia="sv-SE"/>
        </w:rPr>
        <w:t>t</w:t>
      </w:r>
      <w:r w:rsidRPr="00AA499E">
        <w:rPr>
          <w:rFonts w:ascii="Times New Roman" w:hAnsi="Times New Roman"/>
          <w:spacing w:val="-1"/>
          <w:lang w:val="da-DK" w:eastAsia="sv-SE"/>
        </w:rPr>
        <w:t>æ</w:t>
      </w:r>
      <w:r w:rsidRPr="00AA499E">
        <w:rPr>
          <w:rFonts w:ascii="Times New Roman" w:hAnsi="Times New Roman"/>
          <w:spacing w:val="1"/>
          <w:lang w:val="da-DK" w:eastAsia="sv-SE"/>
        </w:rPr>
        <w:t>r</w:t>
      </w:r>
      <w:r w:rsidRPr="00AA499E">
        <w:rPr>
          <w:rFonts w:ascii="Times New Roman" w:hAnsi="Times New Roman"/>
          <w:lang w:val="da-DK" w:eastAsia="sv-SE"/>
        </w:rPr>
        <w:t>t</w:t>
      </w:r>
      <w:r w:rsidRPr="00AA499E">
        <w:rPr>
          <w:rFonts w:ascii="Times New Roman" w:hAnsi="Times New Roman"/>
          <w:spacing w:val="1"/>
          <w:lang w:val="da-DK" w:eastAsia="sv-SE"/>
        </w:rPr>
        <w:t xml:space="preserve"> </w:t>
      </w:r>
      <w:r w:rsidRPr="00AA499E">
        <w:rPr>
          <w:rFonts w:ascii="Times New Roman" w:hAnsi="Times New Roman"/>
          <w:lang w:val="da-DK" w:eastAsia="sv-SE"/>
        </w:rPr>
        <w:t>h</w:t>
      </w:r>
      <w:r w:rsidRPr="00AA499E">
        <w:rPr>
          <w:rFonts w:ascii="Times New Roman" w:hAnsi="Times New Roman"/>
          <w:spacing w:val="-2"/>
          <w:lang w:val="da-DK" w:eastAsia="sv-SE"/>
        </w:rPr>
        <w:t>y</w:t>
      </w:r>
      <w:r w:rsidRPr="00AA499E">
        <w:rPr>
          <w:rFonts w:ascii="Times New Roman" w:hAnsi="Times New Roman"/>
          <w:lang w:val="da-DK" w:eastAsia="sv-SE"/>
        </w:rPr>
        <w:t>pe</w:t>
      </w:r>
      <w:r w:rsidRPr="00AA499E">
        <w:rPr>
          <w:rFonts w:ascii="Times New Roman" w:hAnsi="Times New Roman"/>
          <w:spacing w:val="1"/>
          <w:lang w:val="da-DK" w:eastAsia="sv-SE"/>
        </w:rPr>
        <w:t>r</w:t>
      </w:r>
      <w:r w:rsidRPr="00AA499E">
        <w:rPr>
          <w:rFonts w:ascii="Times New Roman" w:hAnsi="Times New Roman"/>
          <w:lang w:val="da-DK" w:eastAsia="sv-SE"/>
        </w:rPr>
        <w:t>eo</w:t>
      </w:r>
      <w:r w:rsidRPr="00AA499E">
        <w:rPr>
          <w:rFonts w:ascii="Times New Roman" w:hAnsi="Times New Roman"/>
          <w:spacing w:val="1"/>
          <w:lang w:val="da-DK" w:eastAsia="sv-SE"/>
        </w:rPr>
        <w:t>si</w:t>
      </w:r>
      <w:r w:rsidRPr="00AA499E">
        <w:rPr>
          <w:rFonts w:ascii="Times New Roman" w:hAnsi="Times New Roman"/>
          <w:lang w:val="da-DK" w:eastAsia="sv-SE"/>
        </w:rPr>
        <w:t>n</w:t>
      </w:r>
      <w:r w:rsidRPr="00AA499E">
        <w:rPr>
          <w:rFonts w:ascii="Times New Roman" w:hAnsi="Times New Roman"/>
          <w:spacing w:val="1"/>
          <w:lang w:val="da-DK" w:eastAsia="sv-SE"/>
        </w:rPr>
        <w:t>i</w:t>
      </w:r>
      <w:r w:rsidRPr="00AA499E">
        <w:rPr>
          <w:rFonts w:ascii="Times New Roman" w:hAnsi="Times New Roman"/>
          <w:lang w:val="da-DK" w:eastAsia="sv-SE"/>
        </w:rPr>
        <w:t>ph</w:t>
      </w:r>
      <w:r w:rsidRPr="00AA499E">
        <w:rPr>
          <w:rFonts w:ascii="Times New Roman" w:hAnsi="Times New Roman"/>
          <w:spacing w:val="1"/>
          <w:lang w:val="da-DK" w:eastAsia="sv-SE"/>
        </w:rPr>
        <w:t>i</w:t>
      </w:r>
      <w:r w:rsidRPr="00AA499E">
        <w:rPr>
          <w:rFonts w:ascii="Times New Roman" w:hAnsi="Times New Roman"/>
          <w:lang w:val="da-DK" w:eastAsia="sv-SE"/>
        </w:rPr>
        <w:t>l</w:t>
      </w:r>
      <w:r w:rsidRPr="00AA499E">
        <w:rPr>
          <w:rFonts w:ascii="Times New Roman" w:hAnsi="Times New Roman"/>
          <w:spacing w:val="1"/>
          <w:lang w:val="da-DK" w:eastAsia="sv-SE"/>
        </w:rPr>
        <w:t xml:space="preserve"> </w:t>
      </w:r>
      <w:r w:rsidRPr="00AA499E">
        <w:rPr>
          <w:rFonts w:ascii="Times New Roman" w:hAnsi="Times New Roman"/>
          <w:lang w:val="da-DK" w:eastAsia="sv-SE"/>
        </w:rPr>
        <w:t>s</w:t>
      </w:r>
      <w:r w:rsidRPr="00AA499E">
        <w:rPr>
          <w:rFonts w:ascii="Times New Roman" w:hAnsi="Times New Roman"/>
          <w:spacing w:val="-2"/>
          <w:lang w:val="da-DK" w:eastAsia="sv-SE"/>
        </w:rPr>
        <w:t>y</w:t>
      </w:r>
      <w:r w:rsidRPr="00AA499E">
        <w:rPr>
          <w:rFonts w:ascii="Times New Roman" w:hAnsi="Times New Roman"/>
          <w:lang w:val="da-DK" w:eastAsia="sv-SE"/>
        </w:rPr>
        <w:t>nd</w:t>
      </w:r>
      <w:r w:rsidRPr="00AA499E">
        <w:rPr>
          <w:rFonts w:ascii="Times New Roman" w:hAnsi="Times New Roman"/>
          <w:spacing w:val="1"/>
          <w:lang w:val="da-DK" w:eastAsia="sv-SE"/>
        </w:rPr>
        <w:t>r</w:t>
      </w:r>
      <w:r w:rsidRPr="00AA499E">
        <w:rPr>
          <w:rFonts w:ascii="Times New Roman" w:hAnsi="Times New Roman"/>
          <w:lang w:val="da-DK" w:eastAsia="sv-SE"/>
        </w:rPr>
        <w:t>om</w:t>
      </w:r>
      <w:r w:rsidRPr="00AA499E">
        <w:rPr>
          <w:rFonts w:ascii="Times New Roman" w:hAnsi="Times New Roman"/>
          <w:spacing w:val="-4"/>
          <w:lang w:val="da-DK" w:eastAsia="sv-SE"/>
        </w:rPr>
        <w:t xml:space="preserve"> </w:t>
      </w:r>
      <w:r w:rsidRPr="00AA499E">
        <w:rPr>
          <w:rFonts w:ascii="Times New Roman" w:hAnsi="Times New Roman"/>
          <w:spacing w:val="1"/>
          <w:lang w:val="da-DK" w:eastAsia="sv-SE"/>
        </w:rPr>
        <w:t>(</w:t>
      </w:r>
      <w:r w:rsidRPr="00AA499E">
        <w:rPr>
          <w:rFonts w:ascii="Times New Roman" w:hAnsi="Times New Roman"/>
          <w:spacing w:val="-1"/>
          <w:lang w:val="da-DK" w:eastAsia="sv-SE"/>
        </w:rPr>
        <w:t>H</w:t>
      </w:r>
      <w:r w:rsidRPr="00AA499E">
        <w:rPr>
          <w:rFonts w:ascii="Times New Roman" w:hAnsi="Times New Roman"/>
          <w:lang w:val="da-DK" w:eastAsia="sv-SE"/>
        </w:rPr>
        <w:t>E</w:t>
      </w:r>
      <w:r w:rsidRPr="00AA499E">
        <w:rPr>
          <w:rFonts w:ascii="Times New Roman" w:hAnsi="Times New Roman"/>
          <w:spacing w:val="-1"/>
          <w:lang w:val="da-DK" w:eastAsia="sv-SE"/>
        </w:rPr>
        <w:t>S</w:t>
      </w:r>
      <w:r w:rsidRPr="00AA499E">
        <w:rPr>
          <w:rFonts w:ascii="Times New Roman" w:hAnsi="Times New Roman"/>
          <w:lang w:val="da-DK" w:eastAsia="sv-SE"/>
        </w:rPr>
        <w:t>)</w:t>
      </w:r>
      <w:r w:rsidRPr="00AA499E">
        <w:rPr>
          <w:rFonts w:ascii="Times New Roman" w:hAnsi="Times New Roman"/>
          <w:spacing w:val="1"/>
          <w:lang w:val="da-DK" w:eastAsia="sv-SE"/>
        </w:rPr>
        <w:t xml:space="preserve"> </w:t>
      </w:r>
      <w:r w:rsidRPr="00AA499E">
        <w:rPr>
          <w:rFonts w:ascii="Times New Roman" w:hAnsi="Times New Roman"/>
          <w:lang w:val="da-DK" w:eastAsia="sv-SE"/>
        </w:rPr>
        <w:t>o</w:t>
      </w:r>
      <w:r w:rsidRPr="00AA499E">
        <w:rPr>
          <w:rFonts w:ascii="Times New Roman" w:hAnsi="Times New Roman"/>
          <w:spacing w:val="-2"/>
          <w:lang w:val="da-DK" w:eastAsia="sv-SE"/>
        </w:rPr>
        <w:t>g</w:t>
      </w:r>
      <w:r w:rsidRPr="00AA499E">
        <w:rPr>
          <w:rFonts w:ascii="Times New Roman" w:hAnsi="Times New Roman"/>
          <w:spacing w:val="1"/>
          <w:lang w:val="da-DK" w:eastAsia="sv-SE"/>
        </w:rPr>
        <w:t>/</w:t>
      </w:r>
      <w:r w:rsidRPr="00AA499E">
        <w:rPr>
          <w:rFonts w:ascii="Times New Roman" w:hAnsi="Times New Roman"/>
          <w:lang w:val="da-DK" w:eastAsia="sv-SE"/>
        </w:rPr>
        <w:t>e</w:t>
      </w:r>
      <w:r w:rsidRPr="00AA499E">
        <w:rPr>
          <w:rFonts w:ascii="Times New Roman" w:hAnsi="Times New Roman"/>
          <w:spacing w:val="1"/>
          <w:lang w:val="da-DK" w:eastAsia="sv-SE"/>
        </w:rPr>
        <w:t>ll</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2"/>
          <w:lang w:val="da-DK" w:eastAsia="sv-SE"/>
        </w:rPr>
        <w:t>k</w:t>
      </w:r>
      <w:r w:rsidRPr="00AA499E">
        <w:rPr>
          <w:rFonts w:ascii="Times New Roman" w:hAnsi="Times New Roman"/>
          <w:spacing w:val="1"/>
          <w:lang w:val="da-DK" w:eastAsia="sv-SE"/>
        </w:rPr>
        <w:t>r</w:t>
      </w:r>
      <w:r w:rsidRPr="00AA499E">
        <w:rPr>
          <w:rFonts w:ascii="Times New Roman" w:hAnsi="Times New Roman"/>
          <w:lang w:val="da-DK" w:eastAsia="sv-SE"/>
        </w:rPr>
        <w:t>on</w:t>
      </w:r>
      <w:r w:rsidRPr="00AA499E">
        <w:rPr>
          <w:rFonts w:ascii="Times New Roman" w:hAnsi="Times New Roman"/>
          <w:spacing w:val="1"/>
          <w:lang w:val="da-DK" w:eastAsia="sv-SE"/>
        </w:rPr>
        <w:t>i</w:t>
      </w:r>
      <w:r w:rsidRPr="00AA499E">
        <w:rPr>
          <w:rFonts w:ascii="Times New Roman" w:hAnsi="Times New Roman"/>
          <w:lang w:val="da-DK" w:eastAsia="sv-SE"/>
        </w:rPr>
        <w:t>sk</w:t>
      </w:r>
      <w:r w:rsidRPr="00AA499E">
        <w:rPr>
          <w:rFonts w:ascii="Times New Roman" w:hAnsi="Times New Roman"/>
          <w:spacing w:val="-2"/>
          <w:lang w:val="da-DK" w:eastAsia="sv-SE"/>
        </w:rPr>
        <w:t xml:space="preserve"> </w:t>
      </w:r>
      <w:r w:rsidRPr="00AA499E">
        <w:rPr>
          <w:rFonts w:ascii="Times New Roman" w:hAnsi="Times New Roman"/>
          <w:lang w:val="da-DK" w:eastAsia="sv-SE"/>
        </w:rPr>
        <w:t>eo</w:t>
      </w:r>
      <w:r w:rsidRPr="00AA499E">
        <w:rPr>
          <w:rFonts w:ascii="Times New Roman" w:hAnsi="Times New Roman"/>
          <w:spacing w:val="1"/>
          <w:lang w:val="da-DK" w:eastAsia="sv-SE"/>
        </w:rPr>
        <w:t>si</w:t>
      </w:r>
      <w:r w:rsidRPr="00AA499E">
        <w:rPr>
          <w:rFonts w:ascii="Times New Roman" w:hAnsi="Times New Roman"/>
          <w:lang w:val="da-DK" w:eastAsia="sv-SE"/>
        </w:rPr>
        <w:t>no</w:t>
      </w:r>
      <w:r w:rsidRPr="00AA499E">
        <w:rPr>
          <w:rFonts w:ascii="Times New Roman" w:hAnsi="Times New Roman"/>
          <w:spacing w:val="1"/>
          <w:lang w:val="da-DK" w:eastAsia="sv-SE"/>
        </w:rPr>
        <w:t>fi</w:t>
      </w:r>
      <w:r w:rsidRPr="00AA499E">
        <w:rPr>
          <w:rFonts w:ascii="Times New Roman" w:hAnsi="Times New Roman"/>
          <w:lang w:val="da-DK" w:eastAsia="sv-SE"/>
        </w:rPr>
        <w:t xml:space="preserve">l </w:t>
      </w:r>
      <w:r w:rsidRPr="00AA499E">
        <w:rPr>
          <w:rFonts w:ascii="Times New Roman" w:hAnsi="Times New Roman"/>
          <w:spacing w:val="1"/>
          <w:lang w:val="da-DK" w:eastAsia="sv-SE"/>
        </w:rPr>
        <w:t>l</w:t>
      </w:r>
      <w:r w:rsidRPr="00AA499E">
        <w:rPr>
          <w:rFonts w:ascii="Times New Roman" w:hAnsi="Times New Roman"/>
          <w:lang w:val="da-DK" w:eastAsia="sv-SE"/>
        </w:rPr>
        <w:t>eu</w:t>
      </w:r>
      <w:r w:rsidRPr="00AA499E">
        <w:rPr>
          <w:rFonts w:ascii="Times New Roman" w:hAnsi="Times New Roman"/>
          <w:spacing w:val="-2"/>
          <w:lang w:val="da-DK" w:eastAsia="sv-SE"/>
        </w:rPr>
        <w:t>k</w:t>
      </w:r>
      <w:r w:rsidRPr="00AA499E">
        <w:rPr>
          <w:rFonts w:ascii="Times New Roman" w:hAnsi="Times New Roman"/>
          <w:spacing w:val="-1"/>
          <w:lang w:val="da-DK" w:eastAsia="sv-SE"/>
        </w:rPr>
        <w:t>æ</w:t>
      </w:r>
      <w:r w:rsidRPr="00AA499E">
        <w:rPr>
          <w:rFonts w:ascii="Times New Roman" w:hAnsi="Times New Roman"/>
          <w:spacing w:val="-4"/>
          <w:lang w:val="da-DK" w:eastAsia="sv-SE"/>
        </w:rPr>
        <w:t>m</w:t>
      </w:r>
      <w:r w:rsidRPr="00AA499E">
        <w:rPr>
          <w:rFonts w:ascii="Times New Roman" w:hAnsi="Times New Roman"/>
          <w:lang w:val="da-DK" w:eastAsia="sv-SE"/>
        </w:rPr>
        <w:t>i</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C</w:t>
      </w:r>
      <w:r w:rsidRPr="00AA499E">
        <w:rPr>
          <w:rFonts w:ascii="Times New Roman" w:hAnsi="Times New Roman"/>
          <w:lang w:val="da-DK" w:eastAsia="sv-SE"/>
        </w:rPr>
        <w:t>E</w:t>
      </w:r>
      <w:r w:rsidRPr="00AA499E">
        <w:rPr>
          <w:rFonts w:ascii="Times New Roman" w:hAnsi="Times New Roman"/>
          <w:spacing w:val="-1"/>
          <w:lang w:val="da-DK" w:eastAsia="sv-SE"/>
        </w:rPr>
        <w:t>L</w:t>
      </w:r>
      <w:r w:rsidRPr="00AA499E">
        <w:rPr>
          <w:rFonts w:ascii="Times New Roman" w:hAnsi="Times New Roman"/>
          <w:lang w:val="da-DK" w:eastAsia="sv-SE"/>
        </w:rPr>
        <w:t>)</w:t>
      </w:r>
      <w:r w:rsidRPr="00AA499E">
        <w:rPr>
          <w:rFonts w:ascii="Times New Roman" w:hAnsi="Times New Roman"/>
          <w:spacing w:val="1"/>
          <w:lang w:val="da-DK" w:eastAsia="sv-SE"/>
        </w:rPr>
        <w:t xml:space="preserve"> </w:t>
      </w:r>
      <w:r w:rsidRPr="00AA499E">
        <w:rPr>
          <w:rFonts w:ascii="Times New Roman" w:hAnsi="Times New Roman"/>
          <w:lang w:val="da-DK" w:eastAsia="sv-SE"/>
        </w:rPr>
        <w:t xml:space="preserve">uden </w:t>
      </w:r>
      <w:r w:rsidRPr="00AA499E">
        <w:rPr>
          <w:rFonts w:ascii="Times New Roman" w:hAnsi="Times New Roman"/>
          <w:spacing w:val="1"/>
          <w:lang w:val="da-DK" w:eastAsia="sv-SE"/>
        </w:rPr>
        <w:t>F</w:t>
      </w:r>
      <w:r w:rsidRPr="00AA499E">
        <w:rPr>
          <w:rFonts w:ascii="Times New Roman" w:hAnsi="Times New Roman"/>
          <w:spacing w:val="-4"/>
          <w:lang w:val="da-DK" w:eastAsia="sv-SE"/>
        </w:rPr>
        <w:t>I</w:t>
      </w:r>
      <w:r w:rsidRPr="00AA499E">
        <w:rPr>
          <w:rFonts w:ascii="Times New Roman" w:hAnsi="Times New Roman"/>
          <w:lang w:val="da-DK" w:eastAsia="sv-SE"/>
        </w:rPr>
        <w:t>P1</w:t>
      </w:r>
      <w:r w:rsidRPr="00AA499E">
        <w:rPr>
          <w:rFonts w:ascii="Times New Roman" w:hAnsi="Times New Roman"/>
          <w:spacing w:val="-1"/>
          <w:lang w:val="da-DK" w:eastAsia="sv-SE"/>
        </w:rPr>
        <w:t>L</w:t>
      </w:r>
      <w:r w:rsidRPr="00AA499E">
        <w:rPr>
          <w:rFonts w:ascii="Times New Roman" w:hAnsi="Times New Roman"/>
          <w:lang w:val="da-DK" w:eastAsia="sv-SE"/>
        </w:rPr>
        <w:t>1</w:t>
      </w:r>
      <w:r w:rsidRPr="00AA499E">
        <w:rPr>
          <w:rFonts w:ascii="Times New Roman" w:hAnsi="Times New Roman"/>
          <w:spacing w:val="-4"/>
          <w:lang w:val="da-DK" w:eastAsia="sv-SE"/>
        </w:rPr>
        <w:t>-</w:t>
      </w:r>
      <w:r w:rsidRPr="00AA499E">
        <w:rPr>
          <w:rFonts w:ascii="Times New Roman" w:hAnsi="Times New Roman"/>
          <w:lang w:val="da-DK" w:eastAsia="sv-SE"/>
        </w:rPr>
        <w:t>P</w:t>
      </w:r>
      <w:r w:rsidRPr="00AA499E">
        <w:rPr>
          <w:rFonts w:ascii="Times New Roman" w:hAnsi="Times New Roman"/>
          <w:spacing w:val="-1"/>
          <w:lang w:val="da-DK" w:eastAsia="sv-SE"/>
        </w:rPr>
        <w:t>DG</w:t>
      </w:r>
      <w:r w:rsidRPr="00AA499E">
        <w:rPr>
          <w:rFonts w:ascii="Times New Roman" w:hAnsi="Times New Roman"/>
          <w:lang w:val="da-DK" w:eastAsia="sv-SE"/>
        </w:rPr>
        <w:t>F</w:t>
      </w:r>
      <w:r w:rsidRPr="00AA499E">
        <w:rPr>
          <w:rFonts w:ascii="Times New Roman" w:hAnsi="Times New Roman"/>
          <w:spacing w:val="-1"/>
          <w:lang w:val="da-DK" w:eastAsia="sv-SE"/>
        </w:rPr>
        <w:t>R</w:t>
      </w:r>
      <w:r w:rsidRPr="00AA499E">
        <w:rPr>
          <w:rFonts w:ascii="Times New Roman" w:hAnsi="Times New Roman"/>
          <w:spacing w:val="-3"/>
          <w:lang w:val="da-DK" w:eastAsia="sv-SE"/>
        </w:rPr>
        <w:t></w:t>
      </w:r>
      <w:r w:rsidRPr="00AA499E">
        <w:rPr>
          <w:rFonts w:ascii="Times New Roman" w:hAnsi="Times New Roman"/>
          <w:spacing w:val="-4"/>
          <w:lang w:val="da-DK" w:eastAsia="sv-SE"/>
        </w:rPr>
        <w:t>-</w:t>
      </w:r>
      <w:r w:rsidRPr="00AA499E">
        <w:rPr>
          <w:rFonts w:ascii="Times New Roman" w:hAnsi="Times New Roman"/>
          <w:lang w:val="da-DK" w:eastAsia="sv-SE"/>
        </w:rPr>
        <w:t>o</w:t>
      </w:r>
      <w:r w:rsidRPr="00AA499E">
        <w:rPr>
          <w:rFonts w:ascii="Times New Roman" w:hAnsi="Times New Roman"/>
          <w:spacing w:val="-4"/>
          <w:lang w:val="da-DK" w:eastAsia="sv-SE"/>
        </w:rPr>
        <w:t>m</w:t>
      </w:r>
      <w:r w:rsidRPr="00AA499E">
        <w:rPr>
          <w:rFonts w:ascii="Times New Roman" w:hAnsi="Times New Roman"/>
          <w:spacing w:val="1"/>
          <w:lang w:val="da-DK" w:eastAsia="sv-SE"/>
        </w:rPr>
        <w:t>l</w:t>
      </w:r>
      <w:r w:rsidRPr="00AA499E">
        <w:rPr>
          <w:rFonts w:ascii="Times New Roman" w:hAnsi="Times New Roman"/>
          <w:lang w:val="da-DK" w:eastAsia="sv-SE"/>
        </w:rPr>
        <w:t>e</w:t>
      </w:r>
      <w:r w:rsidRPr="00AA499E">
        <w:rPr>
          <w:rFonts w:ascii="Times New Roman" w:hAnsi="Times New Roman"/>
          <w:spacing w:val="4"/>
          <w:lang w:val="da-DK" w:eastAsia="sv-SE"/>
        </w:rPr>
        <w:t>j</w:t>
      </w:r>
      <w:r w:rsidRPr="00AA499E">
        <w:rPr>
          <w:rFonts w:ascii="Times New Roman" w:hAnsi="Times New Roman"/>
          <w:spacing w:val="1"/>
          <w:lang w:val="da-DK" w:eastAsia="sv-SE"/>
        </w:rPr>
        <w:t>ri</w:t>
      </w:r>
      <w:r w:rsidRPr="00AA499E">
        <w:rPr>
          <w:rFonts w:ascii="Times New Roman" w:hAnsi="Times New Roman"/>
          <w:lang w:val="da-DK" w:eastAsia="sv-SE"/>
        </w:rPr>
        <w:t>n</w:t>
      </w:r>
      <w:r w:rsidRPr="00AA499E">
        <w:rPr>
          <w:rFonts w:ascii="Times New Roman" w:hAnsi="Times New Roman"/>
          <w:spacing w:val="-1"/>
          <w:lang w:val="da-DK" w:eastAsia="sv-SE"/>
        </w:rPr>
        <w:t>g</w:t>
      </w:r>
      <w:r w:rsidRPr="00AA499E">
        <w:rPr>
          <w:rFonts w:ascii="Times New Roman" w:hAnsi="Times New Roman"/>
          <w:lang w:val="da-DK" w:eastAsia="sv-SE"/>
        </w:rPr>
        <w:t>.</w:t>
      </w:r>
    </w:p>
    <w:p w14:paraId="5A068C45" w14:textId="77777777" w:rsidR="009A2464" w:rsidRPr="00AA499E" w:rsidRDefault="009A2464">
      <w:pPr>
        <w:tabs>
          <w:tab w:val="left" w:pos="567"/>
        </w:tabs>
        <w:autoSpaceDE w:val="0"/>
        <w:autoSpaceDN w:val="0"/>
        <w:adjustRightInd w:val="0"/>
        <w:spacing w:after="0" w:line="240" w:lineRule="auto"/>
        <w:ind w:left="567" w:hanging="567"/>
        <w:rPr>
          <w:rFonts w:ascii="Times New Roman" w:hAnsi="Times New Roman"/>
          <w:lang w:val="da-DK"/>
        </w:rPr>
      </w:pPr>
    </w:p>
    <w:p w14:paraId="48402016" w14:textId="77777777" w:rsidR="006478AD" w:rsidRPr="00AA499E" w:rsidRDefault="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Imatinibs </w:t>
      </w:r>
      <w:r w:rsidR="00616F3C" w:rsidRPr="00AA499E">
        <w:rPr>
          <w:rFonts w:ascii="Times New Roman" w:hAnsi="Times New Roman"/>
          <w:lang w:val="da-DK"/>
        </w:rPr>
        <w:t>effekt på resultatet af knoglemarvstransplantation er ikke blevet bestemt.</w:t>
      </w:r>
    </w:p>
    <w:p w14:paraId="5F1BD0D8" w14:textId="77777777" w:rsidR="006F493D" w:rsidRPr="00AA499E" w:rsidRDefault="006F493D">
      <w:pPr>
        <w:autoSpaceDE w:val="0"/>
        <w:autoSpaceDN w:val="0"/>
        <w:adjustRightInd w:val="0"/>
        <w:spacing w:after="0" w:line="240" w:lineRule="auto"/>
        <w:rPr>
          <w:rFonts w:ascii="Times New Roman" w:hAnsi="Times New Roman"/>
          <w:lang w:val="da-DK"/>
        </w:rPr>
      </w:pPr>
    </w:p>
    <w:p w14:paraId="4927DB0A" w14:textId="77777777" w:rsidR="006F493D" w:rsidRPr="00AA499E" w:rsidRDefault="006F493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er indiceret til</w:t>
      </w:r>
    </w:p>
    <w:p w14:paraId="190AF00B" w14:textId="77777777" w:rsidR="006F493D" w:rsidRPr="00AA499E" w:rsidRDefault="006F493D" w:rsidP="00063A26">
      <w:pPr>
        <w:numPr>
          <w:ilvl w:val="0"/>
          <w:numId w:val="7"/>
        </w:numPr>
        <w:autoSpaceDE w:val="0"/>
        <w:autoSpaceDN w:val="0"/>
        <w:adjustRightInd w:val="0"/>
        <w:spacing w:after="0" w:line="225" w:lineRule="exact"/>
        <w:ind w:left="567" w:right="-20" w:hanging="567"/>
        <w:rPr>
          <w:rFonts w:ascii="Times New Roman" w:hAnsi="Times New Roman"/>
          <w:lang w:val="da-DK" w:eastAsia="sv-SE"/>
        </w:rPr>
      </w:pPr>
      <w:r w:rsidRPr="00AA499E">
        <w:rPr>
          <w:rFonts w:ascii="Times New Roman" w:hAnsi="Times New Roman"/>
          <w:lang w:val="da-DK" w:eastAsia="sv-SE"/>
        </w:rPr>
        <w:t>beh</w:t>
      </w:r>
      <w:r w:rsidRPr="00AA499E">
        <w:rPr>
          <w:rFonts w:ascii="Times New Roman" w:hAnsi="Times New Roman"/>
          <w:spacing w:val="1"/>
          <w:lang w:val="da-DK" w:eastAsia="sv-SE"/>
        </w:rPr>
        <w:t>a</w:t>
      </w:r>
      <w:r w:rsidRPr="00AA499E">
        <w:rPr>
          <w:rFonts w:ascii="Times New Roman" w:hAnsi="Times New Roman"/>
          <w:lang w:val="da-DK" w:eastAsia="sv-SE"/>
        </w:rPr>
        <w:t>nd</w:t>
      </w:r>
      <w:r w:rsidRPr="00AA499E">
        <w:rPr>
          <w:rFonts w:ascii="Times New Roman" w:hAnsi="Times New Roman"/>
          <w:spacing w:val="1"/>
          <w:lang w:val="da-DK" w:eastAsia="sv-SE"/>
        </w:rPr>
        <w:t>li</w:t>
      </w:r>
      <w:r w:rsidRPr="00AA499E">
        <w:rPr>
          <w:rFonts w:ascii="Times New Roman" w:hAnsi="Times New Roman"/>
          <w:lang w:val="da-DK" w:eastAsia="sv-SE"/>
        </w:rPr>
        <w:t>ng</w:t>
      </w:r>
      <w:r w:rsidRPr="00AA499E">
        <w:rPr>
          <w:rFonts w:ascii="Times New Roman" w:hAnsi="Times New Roman"/>
          <w:spacing w:val="-2"/>
          <w:lang w:val="da-DK" w:eastAsia="sv-SE"/>
        </w:rPr>
        <w:t xml:space="preserve"> </w:t>
      </w:r>
      <w:r w:rsidRPr="00AA499E">
        <w:rPr>
          <w:rFonts w:ascii="Times New Roman" w:hAnsi="Times New Roman"/>
          <w:lang w:val="da-DK" w:eastAsia="sv-SE"/>
        </w:rPr>
        <w:t>af</w:t>
      </w:r>
      <w:r w:rsidRPr="00AA499E">
        <w:rPr>
          <w:rFonts w:ascii="Times New Roman" w:hAnsi="Times New Roman"/>
          <w:spacing w:val="1"/>
          <w:lang w:val="da-DK" w:eastAsia="sv-SE"/>
        </w:rPr>
        <w:t xml:space="preserve"> </w:t>
      </w:r>
      <w:r w:rsidRPr="00AA499E">
        <w:rPr>
          <w:rFonts w:ascii="Times New Roman" w:hAnsi="Times New Roman"/>
          <w:spacing w:val="-2"/>
          <w:lang w:val="da-DK" w:eastAsia="sv-SE"/>
        </w:rPr>
        <w:t>v</w:t>
      </w:r>
      <w:r w:rsidRPr="00AA499E">
        <w:rPr>
          <w:rFonts w:ascii="Times New Roman" w:hAnsi="Times New Roman"/>
          <w:lang w:val="da-DK" w:eastAsia="sv-SE"/>
        </w:rPr>
        <w:t>o</w:t>
      </w:r>
      <w:r w:rsidRPr="00AA499E">
        <w:rPr>
          <w:rFonts w:ascii="Times New Roman" w:hAnsi="Times New Roman"/>
          <w:spacing w:val="-2"/>
          <w:lang w:val="da-DK" w:eastAsia="sv-SE"/>
        </w:rPr>
        <w:t>k</w:t>
      </w:r>
      <w:r w:rsidRPr="00AA499E">
        <w:rPr>
          <w:rFonts w:ascii="Times New Roman" w:hAnsi="Times New Roman"/>
          <w:lang w:val="da-DK" w:eastAsia="sv-SE"/>
        </w:rPr>
        <w:t>sne</w:t>
      </w:r>
      <w:r w:rsidRPr="00AA499E">
        <w:rPr>
          <w:rFonts w:ascii="Times New Roman" w:hAnsi="Times New Roman"/>
          <w:spacing w:val="1"/>
          <w:lang w:val="da-DK" w:eastAsia="sv-SE"/>
        </w:rPr>
        <w:t xml:space="preserve"> </w:t>
      </w:r>
      <w:r w:rsidRPr="00AA499E">
        <w:rPr>
          <w:rFonts w:ascii="Times New Roman" w:hAnsi="Times New Roman"/>
          <w:lang w:val="da-DK" w:eastAsia="sv-SE"/>
        </w:rPr>
        <w:t>pa</w:t>
      </w:r>
      <w:r w:rsidRPr="00AA499E">
        <w:rPr>
          <w:rFonts w:ascii="Times New Roman" w:hAnsi="Times New Roman"/>
          <w:spacing w:val="1"/>
          <w:lang w:val="da-DK" w:eastAsia="sv-SE"/>
        </w:rPr>
        <w:t>ti</w:t>
      </w:r>
      <w:r w:rsidRPr="00AA499E">
        <w:rPr>
          <w:rFonts w:ascii="Times New Roman" w:hAnsi="Times New Roman"/>
          <w:lang w:val="da-DK" w:eastAsia="sv-SE"/>
        </w:rPr>
        <w:t>en</w:t>
      </w:r>
      <w:r w:rsidRPr="00AA499E">
        <w:rPr>
          <w:rFonts w:ascii="Times New Roman" w:hAnsi="Times New Roman"/>
          <w:spacing w:val="1"/>
          <w:lang w:val="da-DK" w:eastAsia="sv-SE"/>
        </w:rPr>
        <w:t>t</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 xml:space="preserve">ed </w:t>
      </w:r>
      <w:r w:rsidRPr="00AA499E">
        <w:rPr>
          <w:rFonts w:ascii="Times New Roman" w:hAnsi="Times New Roman"/>
          <w:spacing w:val="1"/>
          <w:lang w:val="da-DK" w:eastAsia="sv-SE"/>
        </w:rPr>
        <w:t>i</w:t>
      </w:r>
      <w:r w:rsidRPr="00AA499E">
        <w:rPr>
          <w:rFonts w:ascii="Times New Roman" w:hAnsi="Times New Roman"/>
          <w:lang w:val="da-DK" w:eastAsia="sv-SE"/>
        </w:rPr>
        <w:t>nope</w:t>
      </w:r>
      <w:r w:rsidRPr="00AA499E">
        <w:rPr>
          <w:rFonts w:ascii="Times New Roman" w:hAnsi="Times New Roman"/>
          <w:spacing w:val="1"/>
          <w:lang w:val="da-DK" w:eastAsia="sv-SE"/>
        </w:rPr>
        <w:t>r</w:t>
      </w:r>
      <w:r w:rsidRPr="00AA499E">
        <w:rPr>
          <w:rFonts w:ascii="Times New Roman" w:hAnsi="Times New Roman"/>
          <w:lang w:val="da-DK" w:eastAsia="sv-SE"/>
        </w:rPr>
        <w:t>ab</w:t>
      </w:r>
      <w:r w:rsidRPr="00AA499E">
        <w:rPr>
          <w:rFonts w:ascii="Times New Roman" w:hAnsi="Times New Roman"/>
          <w:spacing w:val="1"/>
          <w:lang w:val="da-DK" w:eastAsia="sv-SE"/>
        </w:rPr>
        <w:t>e</w:t>
      </w:r>
      <w:r w:rsidRPr="00AA499E">
        <w:rPr>
          <w:rFonts w:ascii="Times New Roman" w:hAnsi="Times New Roman"/>
          <w:lang w:val="da-DK" w:eastAsia="sv-SE"/>
        </w:rPr>
        <w:t>l</w:t>
      </w:r>
      <w:r w:rsidRPr="00AA499E">
        <w:rPr>
          <w:rFonts w:ascii="Times New Roman" w:hAnsi="Times New Roman"/>
          <w:spacing w:val="1"/>
          <w:lang w:val="da-DK" w:eastAsia="sv-SE"/>
        </w:rPr>
        <w:t xml:space="preserve"> </w:t>
      </w:r>
      <w:r w:rsidRPr="00AA499E">
        <w:rPr>
          <w:rFonts w:ascii="Times New Roman" w:hAnsi="Times New Roman"/>
          <w:lang w:val="da-DK" w:eastAsia="sv-SE"/>
        </w:rPr>
        <w:t>de</w:t>
      </w:r>
      <w:r w:rsidRPr="00AA499E">
        <w:rPr>
          <w:rFonts w:ascii="Times New Roman" w:hAnsi="Times New Roman"/>
          <w:spacing w:val="1"/>
          <w:lang w:val="da-DK" w:eastAsia="sv-SE"/>
        </w:rPr>
        <w:t>r</w:t>
      </w:r>
      <w:r w:rsidRPr="00AA499E">
        <w:rPr>
          <w:rFonts w:ascii="Times New Roman" w:hAnsi="Times New Roman"/>
          <w:spacing w:val="-4"/>
          <w:lang w:val="da-DK" w:eastAsia="sv-SE"/>
        </w:rPr>
        <w:t>m</w:t>
      </w:r>
      <w:r w:rsidRPr="00AA499E">
        <w:rPr>
          <w:rFonts w:ascii="Times New Roman" w:hAnsi="Times New Roman"/>
          <w:lang w:val="da-DK" w:eastAsia="sv-SE"/>
        </w:rPr>
        <w:t>a</w:t>
      </w:r>
      <w:r w:rsidRPr="00AA499E">
        <w:rPr>
          <w:rFonts w:ascii="Times New Roman" w:hAnsi="Times New Roman"/>
          <w:spacing w:val="1"/>
          <w:lang w:val="da-DK" w:eastAsia="sv-SE"/>
        </w:rPr>
        <w:t>t</w:t>
      </w:r>
      <w:r w:rsidRPr="00AA499E">
        <w:rPr>
          <w:rFonts w:ascii="Times New Roman" w:hAnsi="Times New Roman"/>
          <w:lang w:val="da-DK" w:eastAsia="sv-SE"/>
        </w:rPr>
        <w:t>o</w:t>
      </w:r>
      <w:r w:rsidRPr="00AA499E">
        <w:rPr>
          <w:rFonts w:ascii="Times New Roman" w:hAnsi="Times New Roman"/>
          <w:spacing w:val="1"/>
          <w:lang w:val="da-DK" w:eastAsia="sv-SE"/>
        </w:rPr>
        <w:t>fi</w:t>
      </w:r>
      <w:r w:rsidRPr="00AA499E">
        <w:rPr>
          <w:rFonts w:ascii="Times New Roman" w:hAnsi="Times New Roman"/>
          <w:lang w:val="da-DK" w:eastAsia="sv-SE"/>
        </w:rPr>
        <w:t>b</w:t>
      </w:r>
      <w:r w:rsidRPr="00AA499E">
        <w:rPr>
          <w:rFonts w:ascii="Times New Roman" w:hAnsi="Times New Roman"/>
          <w:spacing w:val="1"/>
          <w:lang w:val="da-DK" w:eastAsia="sv-SE"/>
        </w:rPr>
        <w:t>r</w:t>
      </w:r>
      <w:r w:rsidRPr="00AA499E">
        <w:rPr>
          <w:rFonts w:ascii="Times New Roman" w:hAnsi="Times New Roman"/>
          <w:lang w:val="da-DK" w:eastAsia="sv-SE"/>
        </w:rPr>
        <w:t>os</w:t>
      </w:r>
      <w:r w:rsidRPr="00AA499E">
        <w:rPr>
          <w:rFonts w:ascii="Times New Roman" w:hAnsi="Times New Roman"/>
          <w:spacing w:val="1"/>
          <w:lang w:val="da-DK" w:eastAsia="sv-SE"/>
        </w:rPr>
        <w:t>ar</w:t>
      </w:r>
      <w:r w:rsidRPr="00AA499E">
        <w:rPr>
          <w:rFonts w:ascii="Times New Roman" w:hAnsi="Times New Roman"/>
          <w:spacing w:val="-2"/>
          <w:lang w:val="da-DK" w:eastAsia="sv-SE"/>
        </w:rPr>
        <w:t>k</w:t>
      </w:r>
      <w:r w:rsidRPr="00AA499E">
        <w:rPr>
          <w:rFonts w:ascii="Times New Roman" w:hAnsi="Times New Roman"/>
          <w:lang w:val="da-DK" w:eastAsia="sv-SE"/>
        </w:rPr>
        <w:t>om</w:t>
      </w:r>
      <w:r w:rsidRPr="00AA499E">
        <w:rPr>
          <w:rFonts w:ascii="Times New Roman" w:hAnsi="Times New Roman"/>
          <w:spacing w:val="-4"/>
          <w:lang w:val="da-DK" w:eastAsia="sv-SE"/>
        </w:rPr>
        <w:t xml:space="preserve"> </w:t>
      </w:r>
      <w:r w:rsidRPr="00AA499E">
        <w:rPr>
          <w:rFonts w:ascii="Times New Roman" w:hAnsi="Times New Roman"/>
          <w:lang w:val="da-DK" w:eastAsia="sv-SE"/>
        </w:rPr>
        <w:t>p</w:t>
      </w:r>
      <w:r w:rsidRPr="00AA499E">
        <w:rPr>
          <w:rFonts w:ascii="Times New Roman" w:hAnsi="Times New Roman"/>
          <w:spacing w:val="1"/>
          <w:lang w:val="da-DK" w:eastAsia="sv-SE"/>
        </w:rPr>
        <w:t>r</w:t>
      </w:r>
      <w:r w:rsidRPr="00AA499E">
        <w:rPr>
          <w:rFonts w:ascii="Times New Roman" w:hAnsi="Times New Roman"/>
          <w:lang w:val="da-DK" w:eastAsia="sv-SE"/>
        </w:rPr>
        <w:t>o</w:t>
      </w:r>
      <w:r w:rsidRPr="00AA499E">
        <w:rPr>
          <w:rFonts w:ascii="Times New Roman" w:hAnsi="Times New Roman"/>
          <w:spacing w:val="1"/>
          <w:lang w:val="da-DK" w:eastAsia="sv-SE"/>
        </w:rPr>
        <w:t>t</w:t>
      </w:r>
      <w:r w:rsidRPr="00AA499E">
        <w:rPr>
          <w:rFonts w:ascii="Times New Roman" w:hAnsi="Times New Roman"/>
          <w:lang w:val="da-DK" w:eastAsia="sv-SE"/>
        </w:rPr>
        <w:t>ube</w:t>
      </w:r>
      <w:r w:rsidRPr="00AA499E">
        <w:rPr>
          <w:rFonts w:ascii="Times New Roman" w:hAnsi="Times New Roman"/>
          <w:spacing w:val="1"/>
          <w:lang w:val="da-DK" w:eastAsia="sv-SE"/>
        </w:rPr>
        <w:t>r</w:t>
      </w:r>
      <w:r w:rsidRPr="00AA499E">
        <w:rPr>
          <w:rFonts w:ascii="Times New Roman" w:hAnsi="Times New Roman"/>
          <w:lang w:val="da-DK" w:eastAsia="sv-SE"/>
        </w:rPr>
        <w:t>ans</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D</w:t>
      </w:r>
      <w:r w:rsidRPr="00AA499E">
        <w:rPr>
          <w:rFonts w:ascii="Times New Roman" w:hAnsi="Times New Roman"/>
          <w:lang w:val="da-DK" w:eastAsia="sv-SE"/>
        </w:rPr>
        <w:t>F</w:t>
      </w:r>
      <w:r w:rsidRPr="00AA499E">
        <w:rPr>
          <w:rFonts w:ascii="Times New Roman" w:hAnsi="Times New Roman"/>
          <w:spacing w:val="-1"/>
          <w:lang w:val="da-DK" w:eastAsia="sv-SE"/>
        </w:rPr>
        <w:t>S</w:t>
      </w:r>
      <w:r w:rsidRPr="00AA499E">
        <w:rPr>
          <w:rFonts w:ascii="Times New Roman" w:hAnsi="Times New Roman"/>
          <w:lang w:val="da-DK" w:eastAsia="sv-SE"/>
        </w:rPr>
        <w:t>P) og</w:t>
      </w:r>
    </w:p>
    <w:p w14:paraId="53A78E91" w14:textId="77777777" w:rsidR="006F493D" w:rsidRPr="00AA499E" w:rsidRDefault="006F493D" w:rsidP="00063A26">
      <w:pPr>
        <w:autoSpaceDE w:val="0"/>
        <w:autoSpaceDN w:val="0"/>
        <w:adjustRightInd w:val="0"/>
        <w:spacing w:before="6" w:after="0" w:line="240" w:lineRule="auto"/>
        <w:ind w:left="567" w:right="-20"/>
        <w:rPr>
          <w:rFonts w:ascii="Times New Roman" w:hAnsi="Times New Roman"/>
          <w:lang w:val="da-DK" w:eastAsia="sv-SE"/>
        </w:rPr>
      </w:pPr>
      <w:r w:rsidRPr="00AA499E">
        <w:rPr>
          <w:rFonts w:ascii="Times New Roman" w:hAnsi="Times New Roman"/>
          <w:spacing w:val="-2"/>
          <w:lang w:val="da-DK" w:eastAsia="sv-SE"/>
        </w:rPr>
        <w:t>v</w:t>
      </w:r>
      <w:r w:rsidRPr="00AA499E">
        <w:rPr>
          <w:rFonts w:ascii="Times New Roman" w:hAnsi="Times New Roman"/>
          <w:lang w:val="da-DK" w:eastAsia="sv-SE"/>
        </w:rPr>
        <w:t>o</w:t>
      </w:r>
      <w:r w:rsidRPr="00AA499E">
        <w:rPr>
          <w:rFonts w:ascii="Times New Roman" w:hAnsi="Times New Roman"/>
          <w:spacing w:val="-2"/>
          <w:lang w:val="da-DK" w:eastAsia="sv-SE"/>
        </w:rPr>
        <w:t>k</w:t>
      </w:r>
      <w:r w:rsidRPr="00AA499E">
        <w:rPr>
          <w:rFonts w:ascii="Times New Roman" w:hAnsi="Times New Roman"/>
          <w:lang w:val="da-DK" w:eastAsia="sv-SE"/>
        </w:rPr>
        <w:t>sne</w:t>
      </w:r>
      <w:r w:rsidRPr="00AA499E">
        <w:rPr>
          <w:rFonts w:ascii="Times New Roman" w:hAnsi="Times New Roman"/>
          <w:spacing w:val="1"/>
          <w:lang w:val="da-DK" w:eastAsia="sv-SE"/>
        </w:rPr>
        <w:t xml:space="preserve"> </w:t>
      </w:r>
      <w:r w:rsidRPr="00AA499E">
        <w:rPr>
          <w:rFonts w:ascii="Times New Roman" w:hAnsi="Times New Roman"/>
          <w:lang w:val="da-DK" w:eastAsia="sv-SE"/>
        </w:rPr>
        <w:t>pa</w:t>
      </w:r>
      <w:r w:rsidRPr="00AA499E">
        <w:rPr>
          <w:rFonts w:ascii="Times New Roman" w:hAnsi="Times New Roman"/>
          <w:spacing w:val="1"/>
          <w:lang w:val="da-DK" w:eastAsia="sv-SE"/>
        </w:rPr>
        <w:t>ti</w:t>
      </w:r>
      <w:r w:rsidRPr="00AA499E">
        <w:rPr>
          <w:rFonts w:ascii="Times New Roman" w:hAnsi="Times New Roman"/>
          <w:lang w:val="da-DK" w:eastAsia="sv-SE"/>
        </w:rPr>
        <w:t>en</w:t>
      </w:r>
      <w:r w:rsidRPr="00AA499E">
        <w:rPr>
          <w:rFonts w:ascii="Times New Roman" w:hAnsi="Times New Roman"/>
          <w:spacing w:val="1"/>
          <w:lang w:val="da-DK" w:eastAsia="sv-SE"/>
        </w:rPr>
        <w:t>t</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 xml:space="preserve">ed </w:t>
      </w:r>
      <w:r w:rsidRPr="00AA499E">
        <w:rPr>
          <w:rFonts w:ascii="Times New Roman" w:hAnsi="Times New Roman"/>
          <w:spacing w:val="1"/>
          <w:lang w:val="da-DK" w:eastAsia="sv-SE"/>
        </w:rPr>
        <w:t>r</w:t>
      </w:r>
      <w:r w:rsidRPr="00AA499E">
        <w:rPr>
          <w:rFonts w:ascii="Times New Roman" w:hAnsi="Times New Roman"/>
          <w:lang w:val="da-DK" w:eastAsia="sv-SE"/>
        </w:rPr>
        <w:t>e</w:t>
      </w:r>
      <w:r w:rsidRPr="00AA499E">
        <w:rPr>
          <w:rFonts w:ascii="Times New Roman" w:hAnsi="Times New Roman"/>
          <w:spacing w:val="1"/>
          <w:lang w:val="da-DK" w:eastAsia="sv-SE"/>
        </w:rPr>
        <w:t>si</w:t>
      </w:r>
      <w:r w:rsidRPr="00AA499E">
        <w:rPr>
          <w:rFonts w:ascii="Times New Roman" w:hAnsi="Times New Roman"/>
          <w:lang w:val="da-DK" w:eastAsia="sv-SE"/>
        </w:rPr>
        <w:t>d</w:t>
      </w:r>
      <w:r w:rsidRPr="00AA499E">
        <w:rPr>
          <w:rFonts w:ascii="Times New Roman" w:hAnsi="Times New Roman"/>
          <w:spacing w:val="1"/>
          <w:lang w:val="da-DK" w:eastAsia="sv-SE"/>
        </w:rPr>
        <w:t>i</w:t>
      </w:r>
      <w:r w:rsidRPr="00AA499E">
        <w:rPr>
          <w:rFonts w:ascii="Times New Roman" w:hAnsi="Times New Roman"/>
          <w:spacing w:val="-2"/>
          <w:lang w:val="da-DK" w:eastAsia="sv-SE"/>
        </w:rPr>
        <w:t>v</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ende</w:t>
      </w:r>
      <w:r w:rsidRPr="00AA499E">
        <w:rPr>
          <w:rFonts w:ascii="Times New Roman" w:hAnsi="Times New Roman"/>
          <w:spacing w:val="1"/>
          <w:lang w:val="da-DK" w:eastAsia="sv-SE"/>
        </w:rPr>
        <w:t xml:space="preserve"> </w:t>
      </w:r>
      <w:r w:rsidRPr="00AA499E">
        <w:rPr>
          <w:rFonts w:ascii="Times New Roman" w:hAnsi="Times New Roman"/>
          <w:lang w:val="da-DK" w:eastAsia="sv-SE"/>
        </w:rPr>
        <w:t>o</w:t>
      </w:r>
      <w:r w:rsidRPr="00AA499E">
        <w:rPr>
          <w:rFonts w:ascii="Times New Roman" w:hAnsi="Times New Roman"/>
          <w:spacing w:val="-2"/>
          <w:lang w:val="da-DK" w:eastAsia="sv-SE"/>
        </w:rPr>
        <w:t>g</w:t>
      </w:r>
      <w:r w:rsidRPr="00AA499E">
        <w:rPr>
          <w:rFonts w:ascii="Times New Roman" w:hAnsi="Times New Roman"/>
          <w:spacing w:val="1"/>
          <w:lang w:val="da-DK" w:eastAsia="sv-SE"/>
        </w:rPr>
        <w:t>/</w:t>
      </w:r>
      <w:r w:rsidRPr="00AA499E">
        <w:rPr>
          <w:rFonts w:ascii="Times New Roman" w:hAnsi="Times New Roman"/>
          <w:lang w:val="da-DK" w:eastAsia="sv-SE"/>
        </w:rPr>
        <w:t>e</w:t>
      </w:r>
      <w:r w:rsidRPr="00AA499E">
        <w:rPr>
          <w:rFonts w:ascii="Times New Roman" w:hAnsi="Times New Roman"/>
          <w:spacing w:val="1"/>
          <w:lang w:val="da-DK" w:eastAsia="sv-SE"/>
        </w:rPr>
        <w:t>ll</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e</w:t>
      </w:r>
      <w:r w:rsidRPr="00AA499E">
        <w:rPr>
          <w:rFonts w:ascii="Times New Roman" w:hAnsi="Times New Roman"/>
          <w:spacing w:val="1"/>
          <w:lang w:val="da-DK" w:eastAsia="sv-SE"/>
        </w:rPr>
        <w:t>t</w:t>
      </w:r>
      <w:r w:rsidRPr="00AA499E">
        <w:rPr>
          <w:rFonts w:ascii="Times New Roman" w:hAnsi="Times New Roman"/>
          <w:lang w:val="da-DK" w:eastAsia="sv-SE"/>
        </w:rPr>
        <w:t>a</w:t>
      </w:r>
      <w:r w:rsidRPr="00AA499E">
        <w:rPr>
          <w:rFonts w:ascii="Times New Roman" w:hAnsi="Times New Roman"/>
          <w:spacing w:val="1"/>
          <w:lang w:val="da-DK" w:eastAsia="sv-SE"/>
        </w:rPr>
        <w:t>st</w:t>
      </w:r>
      <w:r w:rsidRPr="00AA499E">
        <w:rPr>
          <w:rFonts w:ascii="Times New Roman" w:hAnsi="Times New Roman"/>
          <w:lang w:val="da-DK" w:eastAsia="sv-SE"/>
        </w:rPr>
        <w:t>a</w:t>
      </w:r>
      <w:r w:rsidRPr="00AA499E">
        <w:rPr>
          <w:rFonts w:ascii="Times New Roman" w:hAnsi="Times New Roman"/>
          <w:spacing w:val="1"/>
          <w:lang w:val="da-DK" w:eastAsia="sv-SE"/>
        </w:rPr>
        <w:t>s</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ende</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D</w:t>
      </w:r>
      <w:r w:rsidRPr="00AA499E">
        <w:rPr>
          <w:rFonts w:ascii="Times New Roman" w:hAnsi="Times New Roman"/>
          <w:lang w:val="da-DK" w:eastAsia="sv-SE"/>
        </w:rPr>
        <w:t>F</w:t>
      </w:r>
      <w:r w:rsidRPr="00AA499E">
        <w:rPr>
          <w:rFonts w:ascii="Times New Roman" w:hAnsi="Times New Roman"/>
          <w:spacing w:val="-1"/>
          <w:lang w:val="da-DK" w:eastAsia="sv-SE"/>
        </w:rPr>
        <w:t>S</w:t>
      </w:r>
      <w:r w:rsidRPr="00AA499E">
        <w:rPr>
          <w:rFonts w:ascii="Times New Roman" w:hAnsi="Times New Roman"/>
          <w:lang w:val="da-DK" w:eastAsia="sv-SE"/>
        </w:rPr>
        <w:t>P som</w:t>
      </w:r>
      <w:r w:rsidRPr="00AA499E">
        <w:rPr>
          <w:rFonts w:ascii="Times New Roman" w:hAnsi="Times New Roman"/>
          <w:spacing w:val="-3"/>
          <w:lang w:val="da-DK" w:eastAsia="sv-SE"/>
        </w:rPr>
        <w:t xml:space="preserve"> </w:t>
      </w:r>
      <w:r w:rsidRPr="00AA499E">
        <w:rPr>
          <w:rFonts w:ascii="Times New Roman" w:hAnsi="Times New Roman"/>
          <w:spacing w:val="1"/>
          <w:lang w:val="da-DK" w:eastAsia="sv-SE"/>
        </w:rPr>
        <w:t>i</w:t>
      </w:r>
      <w:r w:rsidRPr="00AA499E">
        <w:rPr>
          <w:rFonts w:ascii="Times New Roman" w:hAnsi="Times New Roman"/>
          <w:spacing w:val="-2"/>
          <w:lang w:val="da-DK" w:eastAsia="sv-SE"/>
        </w:rPr>
        <w:t>kk</w:t>
      </w:r>
      <w:r w:rsidRPr="00AA499E">
        <w:rPr>
          <w:rFonts w:ascii="Times New Roman" w:hAnsi="Times New Roman"/>
          <w:lang w:val="da-DK" w:eastAsia="sv-SE"/>
        </w:rPr>
        <w:t>e er</w:t>
      </w:r>
      <w:r w:rsidRPr="00AA499E">
        <w:rPr>
          <w:rFonts w:ascii="Times New Roman" w:hAnsi="Times New Roman"/>
          <w:spacing w:val="1"/>
          <w:lang w:val="da-DK" w:eastAsia="sv-SE"/>
        </w:rPr>
        <w:t xml:space="preserve"> til</w:t>
      </w:r>
      <w:r w:rsidRPr="00AA499E">
        <w:rPr>
          <w:rFonts w:ascii="Times New Roman" w:hAnsi="Times New Roman"/>
          <w:spacing w:val="-2"/>
          <w:lang w:val="da-DK" w:eastAsia="sv-SE"/>
        </w:rPr>
        <w:t>g</w:t>
      </w:r>
      <w:r w:rsidRPr="00AA499E">
        <w:rPr>
          <w:rFonts w:ascii="Times New Roman" w:hAnsi="Times New Roman"/>
          <w:spacing w:val="-1"/>
          <w:lang w:val="da-DK" w:eastAsia="sv-SE"/>
        </w:rPr>
        <w:t>æ</w:t>
      </w:r>
      <w:r w:rsidRPr="00AA499E">
        <w:rPr>
          <w:rFonts w:ascii="Times New Roman" w:hAnsi="Times New Roman"/>
          <w:lang w:val="da-DK" w:eastAsia="sv-SE"/>
        </w:rPr>
        <w:t>n</w:t>
      </w:r>
      <w:r w:rsidRPr="00AA499E">
        <w:rPr>
          <w:rFonts w:ascii="Times New Roman" w:hAnsi="Times New Roman"/>
          <w:spacing w:val="-2"/>
          <w:lang w:val="da-DK" w:eastAsia="sv-SE"/>
        </w:rPr>
        <w:t>g</w:t>
      </w:r>
      <w:r w:rsidRPr="00AA499E">
        <w:rPr>
          <w:rFonts w:ascii="Times New Roman" w:hAnsi="Times New Roman"/>
          <w:lang w:val="da-DK" w:eastAsia="sv-SE"/>
        </w:rPr>
        <w:t>e</w:t>
      </w:r>
      <w:r w:rsidRPr="00AA499E">
        <w:rPr>
          <w:rFonts w:ascii="Times New Roman" w:hAnsi="Times New Roman"/>
          <w:spacing w:val="1"/>
          <w:lang w:val="da-DK" w:eastAsia="sv-SE"/>
        </w:rPr>
        <w:t>li</w:t>
      </w:r>
      <w:r w:rsidRPr="00AA499E">
        <w:rPr>
          <w:rFonts w:ascii="Times New Roman" w:hAnsi="Times New Roman"/>
          <w:lang w:val="da-DK" w:eastAsia="sv-SE"/>
        </w:rPr>
        <w:t>g</w:t>
      </w:r>
      <w:r w:rsidRPr="00AA499E">
        <w:rPr>
          <w:rFonts w:ascii="Times New Roman" w:hAnsi="Times New Roman"/>
          <w:spacing w:val="-2"/>
          <w:lang w:val="da-DK" w:eastAsia="sv-SE"/>
        </w:rPr>
        <w:t xml:space="preserve"> </w:t>
      </w:r>
      <w:r w:rsidRPr="00AA499E">
        <w:rPr>
          <w:rFonts w:ascii="Times New Roman" w:hAnsi="Times New Roman"/>
          <w:spacing w:val="1"/>
          <w:lang w:val="da-DK" w:eastAsia="sv-SE"/>
        </w:rPr>
        <w:t>f</w:t>
      </w:r>
      <w:r w:rsidRPr="00AA499E">
        <w:rPr>
          <w:rFonts w:ascii="Times New Roman" w:hAnsi="Times New Roman"/>
          <w:lang w:val="da-DK" w:eastAsia="sv-SE"/>
        </w:rPr>
        <w:t>or</w:t>
      </w:r>
    </w:p>
    <w:p w14:paraId="5E152FD5" w14:textId="77777777" w:rsidR="006F493D" w:rsidRPr="00AA499E" w:rsidRDefault="006F493D" w:rsidP="00063A26">
      <w:pPr>
        <w:autoSpaceDE w:val="0"/>
        <w:autoSpaceDN w:val="0"/>
        <w:adjustRightInd w:val="0"/>
        <w:spacing w:after="0" w:line="241" w:lineRule="exact"/>
        <w:ind w:left="567" w:right="-20"/>
        <w:rPr>
          <w:rFonts w:ascii="Times New Roman" w:hAnsi="Times New Roman"/>
          <w:lang w:val="da-DK" w:eastAsia="sv-SE"/>
        </w:rPr>
      </w:pPr>
      <w:r w:rsidRPr="00AA499E">
        <w:rPr>
          <w:rFonts w:ascii="Times New Roman" w:hAnsi="Times New Roman"/>
          <w:spacing w:val="-2"/>
          <w:lang w:val="da-DK" w:eastAsia="sv-SE"/>
        </w:rPr>
        <w:t>k</w:t>
      </w:r>
      <w:r w:rsidRPr="00AA499E">
        <w:rPr>
          <w:rFonts w:ascii="Times New Roman" w:hAnsi="Times New Roman"/>
          <w:spacing w:val="1"/>
          <w:lang w:val="da-DK" w:eastAsia="sv-SE"/>
        </w:rPr>
        <w:t>ir</w:t>
      </w:r>
      <w:r w:rsidRPr="00AA499E">
        <w:rPr>
          <w:rFonts w:ascii="Times New Roman" w:hAnsi="Times New Roman"/>
          <w:lang w:val="da-DK" w:eastAsia="sv-SE"/>
        </w:rPr>
        <w:t>u</w:t>
      </w:r>
      <w:r w:rsidRPr="00AA499E">
        <w:rPr>
          <w:rFonts w:ascii="Times New Roman" w:hAnsi="Times New Roman"/>
          <w:spacing w:val="1"/>
          <w:lang w:val="da-DK" w:eastAsia="sv-SE"/>
        </w:rPr>
        <w:t>r</w:t>
      </w:r>
      <w:r w:rsidRPr="00AA499E">
        <w:rPr>
          <w:rFonts w:ascii="Times New Roman" w:hAnsi="Times New Roman"/>
          <w:spacing w:val="-2"/>
          <w:lang w:val="da-DK" w:eastAsia="sv-SE"/>
        </w:rPr>
        <w:t>g</w:t>
      </w:r>
      <w:r w:rsidRPr="00AA499E">
        <w:rPr>
          <w:rFonts w:ascii="Times New Roman" w:hAnsi="Times New Roman"/>
          <w:spacing w:val="1"/>
          <w:lang w:val="da-DK" w:eastAsia="sv-SE"/>
        </w:rPr>
        <w:t>i</w:t>
      </w:r>
      <w:r w:rsidRPr="00AA499E">
        <w:rPr>
          <w:rFonts w:ascii="Times New Roman" w:hAnsi="Times New Roman"/>
          <w:lang w:val="da-DK" w:eastAsia="sv-SE"/>
        </w:rPr>
        <w:t>.</w:t>
      </w:r>
    </w:p>
    <w:p w14:paraId="6DD8F271" w14:textId="77777777" w:rsidR="006F493D" w:rsidRPr="00AA499E" w:rsidRDefault="006F493D">
      <w:pPr>
        <w:autoSpaceDE w:val="0"/>
        <w:autoSpaceDN w:val="0"/>
        <w:adjustRightInd w:val="0"/>
        <w:spacing w:after="0" w:line="240" w:lineRule="auto"/>
        <w:rPr>
          <w:rFonts w:ascii="Times New Roman" w:hAnsi="Times New Roman"/>
          <w:lang w:val="da-DK"/>
        </w:rPr>
      </w:pPr>
    </w:p>
    <w:p w14:paraId="36D9C0C1" w14:textId="77777777" w:rsidR="006F493D" w:rsidRPr="00AA499E" w:rsidRDefault="001A1C88" w:rsidP="006F493D">
      <w:pPr>
        <w:tabs>
          <w:tab w:val="left" w:pos="0"/>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Imatinibs </w:t>
      </w:r>
      <w:r w:rsidR="00616F3C" w:rsidRPr="00AA499E">
        <w:rPr>
          <w:rFonts w:ascii="Times New Roman" w:hAnsi="Times New Roman"/>
          <w:lang w:val="da-DK"/>
        </w:rPr>
        <w:t>effekt er hos voksne og børn er baseret på generelle hæmatologiske og cytogene responsrater og progressionsfri overlevelse ved CML</w:t>
      </w:r>
      <w:r w:rsidR="009F32E2" w:rsidRPr="00AA499E">
        <w:rPr>
          <w:rFonts w:ascii="Times New Roman" w:hAnsi="Times New Roman"/>
          <w:lang w:val="da-DK"/>
        </w:rPr>
        <w:t>,</w:t>
      </w:r>
      <w:r w:rsidR="006F493D" w:rsidRPr="00AA499E">
        <w:rPr>
          <w:rFonts w:ascii="Times New Roman" w:hAnsi="Times New Roman"/>
          <w:lang w:val="da-DK" w:eastAsia="sv-SE"/>
        </w:rPr>
        <w:t xml:space="preserve"> </w:t>
      </w:r>
      <w:r w:rsidR="006F493D" w:rsidRPr="00AA499E">
        <w:rPr>
          <w:rFonts w:ascii="Times New Roman" w:hAnsi="Times New Roman"/>
          <w:lang w:val="da-DK"/>
        </w:rPr>
        <w:t>på hæmatologiske og cytogenetiske responsrater ved Ph+ ALL, MDS/MPD, på hæmatologiske responsrater ved HES/CEL, på objektive responsrater hos voksne med inoperabel og/eller metastaserende DFSP</w:t>
      </w:r>
      <w:r w:rsidR="009F32E2" w:rsidRPr="00AA499E">
        <w:rPr>
          <w:rFonts w:ascii="Times New Roman" w:hAnsi="Times New Roman"/>
          <w:lang w:val="da-DK"/>
        </w:rPr>
        <w:t>.</w:t>
      </w:r>
      <w:r w:rsidR="006F493D" w:rsidRPr="00AA499E">
        <w:rPr>
          <w:rFonts w:ascii="Times New Roman" w:hAnsi="Times New Roman"/>
          <w:lang w:val="da-DK"/>
        </w:rPr>
        <w:t xml:space="preserve"> Der er </w:t>
      </w:r>
      <w:r w:rsidR="00E925D7" w:rsidRPr="00AA499E">
        <w:rPr>
          <w:rFonts w:ascii="Times New Roman" w:hAnsi="Times New Roman"/>
          <w:lang w:val="da-DK"/>
        </w:rPr>
        <w:t xml:space="preserve">meget </w:t>
      </w:r>
      <w:r w:rsidR="006F493D" w:rsidRPr="00AA499E">
        <w:rPr>
          <w:rFonts w:ascii="Times New Roman" w:hAnsi="Times New Roman"/>
          <w:lang w:val="da-DK"/>
        </w:rPr>
        <w:t xml:space="preserve">begrænset erfaring med </w:t>
      </w:r>
      <w:r w:rsidR="009F32E2" w:rsidRPr="00AA499E">
        <w:rPr>
          <w:rFonts w:ascii="Times New Roman" w:hAnsi="Times New Roman"/>
          <w:lang w:val="da-DK"/>
        </w:rPr>
        <w:t xml:space="preserve">imatinib </w:t>
      </w:r>
      <w:r w:rsidR="006F493D" w:rsidRPr="00AA499E">
        <w:rPr>
          <w:rFonts w:ascii="Times New Roman" w:hAnsi="Times New Roman"/>
          <w:lang w:val="da-DK"/>
        </w:rPr>
        <w:t>hos patienter med MDS/MPD forbundet med PDGFR- omlejring (se pkt 5.1)</w:t>
      </w:r>
      <w:r w:rsidR="009F32E2" w:rsidRPr="00AA499E">
        <w:rPr>
          <w:rFonts w:ascii="Times New Roman" w:hAnsi="Times New Roman"/>
          <w:lang w:val="da-DK"/>
        </w:rPr>
        <w:t>.</w:t>
      </w:r>
      <w:r w:rsidR="00F22486" w:rsidRPr="00AA499E">
        <w:rPr>
          <w:rFonts w:ascii="Times New Roman" w:hAnsi="Times New Roman"/>
          <w:lang w:val="da-DK"/>
        </w:rPr>
        <w:t xml:space="preserve"> </w:t>
      </w:r>
      <w:r w:rsidR="009F32E2" w:rsidRPr="00AA499E">
        <w:rPr>
          <w:rFonts w:ascii="Times New Roman" w:hAnsi="Times New Roman"/>
          <w:lang w:val="da-DK"/>
        </w:rPr>
        <w:t>D</w:t>
      </w:r>
      <w:r w:rsidR="006F493D" w:rsidRPr="00AA499E">
        <w:rPr>
          <w:rFonts w:ascii="Times New Roman" w:hAnsi="Times New Roman"/>
          <w:lang w:val="da-DK"/>
        </w:rPr>
        <w:t>er ikke gennemført kontrollerede undersøgelser, der har vist klinisk bedring eller øget overlevelse</w:t>
      </w:r>
    </w:p>
    <w:p w14:paraId="5AC46E93" w14:textId="77777777" w:rsidR="006F493D" w:rsidRPr="00AA499E" w:rsidRDefault="006F493D" w:rsidP="006F493D">
      <w:pPr>
        <w:tabs>
          <w:tab w:val="left" w:pos="0"/>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ved disse sygdomme.</w:t>
      </w:r>
    </w:p>
    <w:p w14:paraId="3CD2DBAA" w14:textId="77777777" w:rsidR="006478AD" w:rsidRPr="00AA499E" w:rsidRDefault="006478AD" w:rsidP="00063A26">
      <w:pPr>
        <w:tabs>
          <w:tab w:val="left" w:pos="0"/>
        </w:tabs>
        <w:autoSpaceDE w:val="0"/>
        <w:autoSpaceDN w:val="0"/>
        <w:adjustRightInd w:val="0"/>
        <w:spacing w:after="0" w:line="240" w:lineRule="auto"/>
        <w:rPr>
          <w:rFonts w:ascii="Times New Roman" w:hAnsi="Times New Roman"/>
          <w:lang w:val="da-DK"/>
        </w:rPr>
      </w:pPr>
    </w:p>
    <w:p w14:paraId="0041CF9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4.2</w:t>
      </w:r>
      <w:r w:rsidRPr="00AA499E">
        <w:rPr>
          <w:rFonts w:ascii="Times New Roman" w:hAnsi="Times New Roman"/>
          <w:b/>
          <w:bCs/>
          <w:lang w:val="da-DK"/>
        </w:rPr>
        <w:tab/>
        <w:t>Dosering og administration</w:t>
      </w:r>
    </w:p>
    <w:p w14:paraId="77C4BA19" w14:textId="77777777" w:rsidR="006478AD" w:rsidRPr="00AA499E" w:rsidRDefault="006478AD">
      <w:pPr>
        <w:autoSpaceDE w:val="0"/>
        <w:autoSpaceDN w:val="0"/>
        <w:adjustRightInd w:val="0"/>
        <w:spacing w:after="0" w:line="240" w:lineRule="auto"/>
        <w:rPr>
          <w:rFonts w:ascii="Times New Roman" w:hAnsi="Times New Roman"/>
          <w:lang w:val="da-DK"/>
        </w:rPr>
      </w:pPr>
    </w:p>
    <w:p w14:paraId="51245BC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Behandlingen bør initieres af en læge med erfaring i behandling af patienter med maligne hæmatologiske lidelser</w:t>
      </w:r>
      <w:r w:rsidR="00F22486" w:rsidRPr="00AA499E">
        <w:rPr>
          <w:rFonts w:ascii="Times New Roman" w:hAnsi="Times New Roman"/>
          <w:lang w:val="da-DK"/>
        </w:rPr>
        <w:t xml:space="preserve"> og maligne sarkomer eller som passende.</w:t>
      </w:r>
    </w:p>
    <w:p w14:paraId="7AE1AB8B" w14:textId="77777777" w:rsidR="006478AD" w:rsidRPr="00AA499E" w:rsidRDefault="006478AD">
      <w:pPr>
        <w:autoSpaceDE w:val="0"/>
        <w:autoSpaceDN w:val="0"/>
        <w:adjustRightInd w:val="0"/>
        <w:spacing w:after="0" w:line="240" w:lineRule="auto"/>
        <w:rPr>
          <w:rFonts w:ascii="Times New Roman" w:hAnsi="Times New Roman"/>
          <w:lang w:val="da-DK"/>
        </w:rPr>
      </w:pPr>
    </w:p>
    <w:p w14:paraId="3E7EF3EC"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Dosering</w:t>
      </w:r>
    </w:p>
    <w:p w14:paraId="27608B76" w14:textId="77777777" w:rsidR="006478AD" w:rsidRPr="00AA499E" w:rsidRDefault="006478AD">
      <w:pPr>
        <w:autoSpaceDE w:val="0"/>
        <w:autoSpaceDN w:val="0"/>
        <w:adjustRightInd w:val="0"/>
        <w:spacing w:after="0" w:line="240" w:lineRule="auto"/>
        <w:rPr>
          <w:rFonts w:ascii="Times New Roman" w:hAnsi="Times New Roman"/>
          <w:u w:val="single"/>
          <w:lang w:val="da-DK"/>
        </w:rPr>
      </w:pPr>
    </w:p>
    <w:p w14:paraId="3DD308D5" w14:textId="77777777" w:rsidR="006478AD" w:rsidRPr="00AA499E" w:rsidRDefault="00616F3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Dosering ved CML hos voksne patienter</w:t>
      </w:r>
    </w:p>
    <w:p w14:paraId="64069A7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anbefalede dosis af imatinib er 600 mg/dag til </w:t>
      </w:r>
      <w:r w:rsidR="00F22486" w:rsidRPr="00AA499E">
        <w:rPr>
          <w:rFonts w:ascii="Times New Roman" w:hAnsi="Times New Roman"/>
          <w:lang w:val="da-DK"/>
        </w:rPr>
        <w:t xml:space="preserve">voksne </w:t>
      </w:r>
      <w:r w:rsidRPr="00AA499E">
        <w:rPr>
          <w:rFonts w:ascii="Times New Roman" w:hAnsi="Times New Roman"/>
          <w:lang w:val="da-DK"/>
        </w:rPr>
        <w:t>patienter i blasttkrise. Blastkrise defineres som ≥ 30 % blaster i blod eller knoglemarv eller ekstramedullær sygdom ud over hepatosplenomegali.</w:t>
      </w:r>
    </w:p>
    <w:p w14:paraId="6C616F58" w14:textId="77777777" w:rsidR="006478AD" w:rsidRPr="00AA499E" w:rsidRDefault="006478AD">
      <w:pPr>
        <w:autoSpaceDE w:val="0"/>
        <w:autoSpaceDN w:val="0"/>
        <w:adjustRightInd w:val="0"/>
        <w:spacing w:after="0" w:line="240" w:lineRule="auto"/>
        <w:rPr>
          <w:rFonts w:ascii="Times New Roman" w:hAnsi="Times New Roman"/>
          <w:lang w:val="da-DK"/>
        </w:rPr>
      </w:pPr>
    </w:p>
    <w:p w14:paraId="70F97D2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Behandlingsvarighed: I kliniske undersøgelser fortsattes behandling med imatinib indtil sygdomsprogression. Effekt af seponering af behandling efter opnåelse af komplet cytogenetisk respons er ikke undersøgt.</w:t>
      </w:r>
    </w:p>
    <w:p w14:paraId="2E440B14" w14:textId="77777777" w:rsidR="006478AD" w:rsidRPr="00AA499E" w:rsidRDefault="006478AD">
      <w:pPr>
        <w:autoSpaceDE w:val="0"/>
        <w:autoSpaceDN w:val="0"/>
        <w:adjustRightInd w:val="0"/>
        <w:spacing w:after="0" w:line="240" w:lineRule="auto"/>
        <w:rPr>
          <w:rFonts w:ascii="Times New Roman" w:hAnsi="Times New Roman"/>
          <w:lang w:val="da-DK"/>
        </w:rPr>
      </w:pPr>
    </w:p>
    <w:p w14:paraId="0369CF1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Dosisøgninger fra 600 mg til maksimalt 800 mg (som 400 mg to gange dagligt) til patienter med blastkrise kan, hvis der ikke opstår svære bivirkninger og svær ikke-leukæmirelateret neutropeni eller trombocytopeni, overvejes i følgende tilfælde: Sygdomsprogression (til enhver tid), udeblivende tilfredsstillende hæmatologisk respons efter mindst 3 måneders behandling, udeblivende opnåelse af cytogenetisk respons efter 12 måneders behandling, samt hvis tidligere hæmatologisk og/eller cytogenetisk respons ikke genopnås. Patienterne bør, på baggrund af risikoen for øget bivirkningsincidens ved højere doser, monitoreres tæt efter dosistitrering.</w:t>
      </w:r>
    </w:p>
    <w:p w14:paraId="0D3B6501" w14:textId="77777777" w:rsidR="006478AD" w:rsidRPr="00AA499E" w:rsidRDefault="006478AD">
      <w:pPr>
        <w:autoSpaceDE w:val="0"/>
        <w:autoSpaceDN w:val="0"/>
        <w:adjustRightInd w:val="0"/>
        <w:spacing w:after="0" w:line="240" w:lineRule="auto"/>
        <w:rPr>
          <w:rFonts w:ascii="Times New Roman" w:hAnsi="Times New Roman"/>
          <w:lang w:val="da-DK"/>
        </w:rPr>
      </w:pPr>
    </w:p>
    <w:p w14:paraId="3A9E8632" w14:textId="77777777" w:rsidR="00DC1FA9" w:rsidRPr="00AA499E" w:rsidRDefault="00616F3C" w:rsidP="00DC1FA9">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 xml:space="preserve">Dosering ved CML hos </w:t>
      </w:r>
      <w:r w:rsidR="00DC1FA9" w:rsidRPr="00AA499E">
        <w:rPr>
          <w:rFonts w:ascii="Times New Roman" w:hAnsi="Times New Roman"/>
          <w:i/>
          <w:u w:val="single"/>
          <w:lang w:val="da-DK"/>
        </w:rPr>
        <w:t>pædiatrisk population</w:t>
      </w:r>
    </w:p>
    <w:p w14:paraId="6E8EF3C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Dosering til børn </w:t>
      </w:r>
      <w:r w:rsidR="009A46E5" w:rsidRPr="00AA499E">
        <w:rPr>
          <w:rFonts w:ascii="Times New Roman" w:hAnsi="Times New Roman"/>
          <w:lang w:val="da-DK"/>
        </w:rPr>
        <w:t xml:space="preserve">og unge </w:t>
      </w:r>
      <w:r w:rsidRPr="00AA499E">
        <w:rPr>
          <w:rFonts w:ascii="Times New Roman" w:hAnsi="Times New Roman"/>
          <w:lang w:val="da-DK"/>
        </w:rPr>
        <w:t>bør baseres på legemsoverfladeareal (mg/m</w:t>
      </w:r>
      <w:r w:rsidRPr="00AA499E">
        <w:rPr>
          <w:rFonts w:ascii="Times New Roman" w:hAnsi="Times New Roman"/>
          <w:vertAlign w:val="superscript"/>
          <w:lang w:val="da-DK"/>
        </w:rPr>
        <w:t>2</w:t>
      </w:r>
      <w:r w:rsidRPr="00AA499E">
        <w:rPr>
          <w:rFonts w:ascii="Times New Roman" w:hAnsi="Times New Roman"/>
          <w:lang w:val="da-DK"/>
        </w:rPr>
        <w:t>). Der anbefales en dosering på 340 mg/m</w:t>
      </w:r>
      <w:r w:rsidRPr="00AA499E">
        <w:rPr>
          <w:rFonts w:ascii="Times New Roman" w:hAnsi="Times New Roman"/>
          <w:vertAlign w:val="superscript"/>
          <w:lang w:val="da-DK"/>
        </w:rPr>
        <w:t>2</w:t>
      </w:r>
      <w:r w:rsidRPr="00AA499E">
        <w:rPr>
          <w:rFonts w:ascii="Times New Roman" w:hAnsi="Times New Roman"/>
          <w:lang w:val="da-DK"/>
        </w:rPr>
        <w:t xml:space="preserve"> daglig til børn med CML i kronisk fase og i fremskredne faser (må ikke overskride en total dosering på 800 mg). Behandlingen kan gives én gang daglig eller alternativt deles i to - én dosis om morgenen og én om aftenen. De aktuelle dosisanbefalinger er baseret på et lille antal pædiatriske patienter (se pkt. 5.1 og 5.2). Der er ingen erfaringer med behandling af børn under 2 år.</w:t>
      </w:r>
    </w:p>
    <w:p w14:paraId="7D2BA575" w14:textId="77777777" w:rsidR="006478AD" w:rsidRPr="00AA499E" w:rsidRDefault="006478AD">
      <w:pPr>
        <w:autoSpaceDE w:val="0"/>
        <w:autoSpaceDN w:val="0"/>
        <w:adjustRightInd w:val="0"/>
        <w:spacing w:after="0" w:line="240" w:lineRule="auto"/>
        <w:rPr>
          <w:rFonts w:ascii="Times New Roman" w:hAnsi="Times New Roman"/>
          <w:lang w:val="da-DK"/>
        </w:rPr>
      </w:pPr>
    </w:p>
    <w:p w14:paraId="0E777D4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Dosisøgning fra 340 mg/m</w:t>
      </w:r>
      <w:r w:rsidRPr="00AA499E">
        <w:rPr>
          <w:rFonts w:ascii="Times New Roman" w:hAnsi="Times New Roman"/>
          <w:vertAlign w:val="superscript"/>
          <w:lang w:val="da-DK"/>
        </w:rPr>
        <w:t>2</w:t>
      </w:r>
      <w:r w:rsidRPr="00AA499E">
        <w:rPr>
          <w:rFonts w:ascii="Times New Roman" w:hAnsi="Times New Roman"/>
          <w:lang w:val="da-DK"/>
        </w:rPr>
        <w:t xml:space="preserve"> daglig til 570 mg/m</w:t>
      </w:r>
      <w:r w:rsidRPr="00AA499E">
        <w:rPr>
          <w:rFonts w:ascii="Times New Roman" w:hAnsi="Times New Roman"/>
          <w:vertAlign w:val="superscript"/>
          <w:lang w:val="da-DK"/>
        </w:rPr>
        <w:t>2</w:t>
      </w:r>
      <w:r w:rsidRPr="00AA499E">
        <w:rPr>
          <w:rFonts w:ascii="Times New Roman" w:hAnsi="Times New Roman"/>
          <w:lang w:val="da-DK"/>
        </w:rPr>
        <w:t xml:space="preserve"> daglig (uden at overstige total dosis på 800 mg) kan overvejes hos børn ved fravær af alvorlige bivirkninger og svær ikke-leukæmirelateret neutropeni eller trombocytopeni ved følgende omstændigheder: Sygdomsprogression (til enhver tid), udeblivende tilfredsstillende hæmatologisk respons efter mindst 3 måneders behandling, udeblivende opnåelse af cytogenetisk respons efter 12 måneders behandling, samt hvis tidligere hæmatologisk og/eller cytogenetisk respons ikke genopnås. Patienterne bør, på baggrund af risikoen for øget bivirkningsincidens ved højere doser, monitoreres tæt efter dosistitrering.</w:t>
      </w:r>
    </w:p>
    <w:p w14:paraId="190EE04C" w14:textId="77777777" w:rsidR="00F22486" w:rsidRPr="00AA499E" w:rsidRDefault="00F22486">
      <w:pPr>
        <w:autoSpaceDE w:val="0"/>
        <w:autoSpaceDN w:val="0"/>
        <w:adjustRightInd w:val="0"/>
        <w:spacing w:after="0" w:line="240" w:lineRule="auto"/>
        <w:rPr>
          <w:rFonts w:ascii="Times New Roman" w:hAnsi="Times New Roman"/>
          <w:lang w:val="da-DK"/>
        </w:rPr>
      </w:pPr>
    </w:p>
    <w:p w14:paraId="6ABF779B" w14:textId="77777777" w:rsidR="00F22486" w:rsidRPr="00AA499E" w:rsidRDefault="00F22486" w:rsidP="00F22486">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 xml:space="preserve">Dosering </w:t>
      </w:r>
      <w:r w:rsidR="00923620" w:rsidRPr="00AA499E">
        <w:rPr>
          <w:rFonts w:ascii="Times New Roman" w:hAnsi="Times New Roman"/>
          <w:i/>
          <w:u w:val="single"/>
          <w:lang w:val="da-DK"/>
        </w:rPr>
        <w:t>ved Ph+ ALL</w:t>
      </w:r>
      <w:r w:rsidR="001F0F7A" w:rsidRPr="00AA499E">
        <w:rPr>
          <w:rFonts w:ascii="Times New Roman" w:hAnsi="Times New Roman"/>
          <w:i/>
          <w:u w:val="single"/>
          <w:lang w:val="da-DK"/>
        </w:rPr>
        <w:t xml:space="preserve"> hos voksne patienter</w:t>
      </w:r>
    </w:p>
    <w:p w14:paraId="4E5C77C2" w14:textId="77777777" w:rsidR="00F22486" w:rsidRPr="00AA499E" w:rsidRDefault="00F22486" w:rsidP="00F2248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anbefalede dosis af imatinib er 600 mg/dag til voksne patienter med Ph+ ALL. Gennem alle faser af omsorgen bør behandlingen overvåges af hæmatologiske eksperter, som er ansvarlige for denne sygdom. </w:t>
      </w:r>
    </w:p>
    <w:p w14:paraId="4C6B3062" w14:textId="77777777" w:rsidR="002C2EB9" w:rsidRPr="00AA499E" w:rsidRDefault="002C2EB9" w:rsidP="00F22486">
      <w:pPr>
        <w:autoSpaceDE w:val="0"/>
        <w:autoSpaceDN w:val="0"/>
        <w:adjustRightInd w:val="0"/>
        <w:spacing w:after="0" w:line="240" w:lineRule="auto"/>
        <w:rPr>
          <w:rFonts w:ascii="Times New Roman" w:hAnsi="Times New Roman"/>
          <w:lang w:val="da-DK"/>
        </w:rPr>
      </w:pPr>
    </w:p>
    <w:p w14:paraId="472BF073" w14:textId="77777777" w:rsidR="00F22486" w:rsidRPr="00AA499E" w:rsidRDefault="00F22486" w:rsidP="00F2248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Behandlingsskema: Eksisterende data har vist, at </w:t>
      </w:r>
      <w:r w:rsidR="001A1C88" w:rsidRPr="00AA499E">
        <w:rPr>
          <w:rFonts w:ascii="Times New Roman" w:hAnsi="Times New Roman"/>
          <w:lang w:val="da-DK"/>
        </w:rPr>
        <w:t xml:space="preserve">imatinib </w:t>
      </w:r>
      <w:r w:rsidRPr="00AA499E">
        <w:rPr>
          <w:rFonts w:ascii="Times New Roman" w:hAnsi="Times New Roman"/>
          <w:lang w:val="da-DK"/>
        </w:rPr>
        <w:t xml:space="preserve">er effektiv og sikker ved administration af 600 mg/dag i kombination med kemoterapi i induktionsfasen, i konsoliderings- og vedligeholdelsesfaser af kemoterapi (se pkt. 5.1) brugt i behandlingen af voksne patienter med nydiagnosticeret Ph+ALL. Varigheden af behandling med </w:t>
      </w:r>
      <w:r w:rsidR="001A1C88" w:rsidRPr="00AA499E">
        <w:rPr>
          <w:rFonts w:ascii="Times New Roman" w:hAnsi="Times New Roman"/>
          <w:lang w:val="da-DK"/>
        </w:rPr>
        <w:t xml:space="preserve">imatinib </w:t>
      </w:r>
      <w:r w:rsidRPr="00AA499E">
        <w:rPr>
          <w:rFonts w:ascii="Times New Roman" w:hAnsi="Times New Roman"/>
          <w:lang w:val="da-DK"/>
        </w:rPr>
        <w:t xml:space="preserve">kan variere med det valgte behandlingsprogram, men generelt har længere eksponering for </w:t>
      </w:r>
      <w:r w:rsidR="001A1C88" w:rsidRPr="00AA499E">
        <w:rPr>
          <w:rFonts w:ascii="Times New Roman" w:hAnsi="Times New Roman"/>
          <w:lang w:val="da-DK"/>
        </w:rPr>
        <w:t xml:space="preserve">imatinib </w:t>
      </w:r>
      <w:r w:rsidRPr="00AA499E">
        <w:rPr>
          <w:rFonts w:ascii="Times New Roman" w:hAnsi="Times New Roman"/>
          <w:lang w:val="da-DK"/>
        </w:rPr>
        <w:t>givet de bedste resultater.</w:t>
      </w:r>
    </w:p>
    <w:p w14:paraId="7BB4453D" w14:textId="77777777" w:rsidR="006478AD" w:rsidRPr="00AA499E" w:rsidRDefault="006478AD">
      <w:pPr>
        <w:autoSpaceDE w:val="0"/>
        <w:autoSpaceDN w:val="0"/>
        <w:adjustRightInd w:val="0"/>
        <w:spacing w:after="0" w:line="240" w:lineRule="auto"/>
        <w:rPr>
          <w:rFonts w:ascii="Times New Roman" w:hAnsi="Times New Roman"/>
          <w:lang w:val="da-DK"/>
        </w:rPr>
      </w:pPr>
    </w:p>
    <w:p w14:paraId="4DD130B7" w14:textId="77777777" w:rsidR="001A1C88" w:rsidRPr="00AA499E" w:rsidRDefault="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monoterapi med 600 mg/dag er sikker og effektiv hos voksne patienter med recidiverende eller refraktiv Ph+ALL, og kan gives indtil der sker sygdomsprogression.</w:t>
      </w:r>
    </w:p>
    <w:p w14:paraId="6D46CA8C" w14:textId="77777777" w:rsidR="001F0F7A" w:rsidRPr="00AA499E" w:rsidRDefault="001F0F7A" w:rsidP="001F0F7A">
      <w:pPr>
        <w:autoSpaceDE w:val="0"/>
        <w:autoSpaceDN w:val="0"/>
        <w:adjustRightInd w:val="0"/>
        <w:spacing w:after="0" w:line="240" w:lineRule="auto"/>
        <w:rPr>
          <w:rFonts w:ascii="Times New Roman" w:hAnsi="Times New Roman"/>
          <w:u w:val="single"/>
          <w:lang w:val="da-DK"/>
        </w:rPr>
      </w:pPr>
    </w:p>
    <w:p w14:paraId="4FD5568B" w14:textId="77777777" w:rsidR="001F0F7A" w:rsidRPr="00AA499E" w:rsidRDefault="001F0F7A" w:rsidP="001F0F7A">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Dosering ved Ph+ ALL hos børn</w:t>
      </w:r>
    </w:p>
    <w:p w14:paraId="4665EBBC" w14:textId="77777777" w:rsidR="001F0F7A" w:rsidRPr="00AA499E" w:rsidRDefault="001F0F7A" w:rsidP="001F0F7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Dosering hos børn bør baseres på legemsoverflade (mg/m</w:t>
      </w:r>
      <w:r w:rsidRPr="00AA499E">
        <w:rPr>
          <w:rFonts w:ascii="Times New Roman" w:hAnsi="Times New Roman"/>
          <w:vertAlign w:val="superscript"/>
          <w:lang w:val="da-DK"/>
        </w:rPr>
        <w:t>2</w:t>
      </w:r>
      <w:r w:rsidRPr="00AA499E">
        <w:rPr>
          <w:rFonts w:ascii="Times New Roman" w:hAnsi="Times New Roman"/>
          <w:lang w:val="da-DK"/>
        </w:rPr>
        <w:t>). Der anbefales en dosis på 340 mg/m</w:t>
      </w:r>
      <w:r w:rsidRPr="00AA499E">
        <w:rPr>
          <w:rFonts w:ascii="Times New Roman" w:hAnsi="Times New Roman"/>
          <w:vertAlign w:val="superscript"/>
          <w:lang w:val="da-DK"/>
        </w:rPr>
        <w:t>2</w:t>
      </w:r>
      <w:r w:rsidRPr="00AA499E">
        <w:rPr>
          <w:rFonts w:ascii="Times New Roman" w:hAnsi="Times New Roman"/>
          <w:lang w:val="da-DK"/>
        </w:rPr>
        <w:t xml:space="preserve"> daglig til børn med Ph+ ALL (totaldosis på 600 mg må ikke overskrides).</w:t>
      </w:r>
    </w:p>
    <w:p w14:paraId="4F1171F3" w14:textId="77777777" w:rsidR="001A1C88" w:rsidRPr="00AA499E" w:rsidRDefault="001A1C88">
      <w:pPr>
        <w:autoSpaceDE w:val="0"/>
        <w:autoSpaceDN w:val="0"/>
        <w:adjustRightInd w:val="0"/>
        <w:spacing w:after="0" w:line="240" w:lineRule="auto"/>
        <w:rPr>
          <w:rFonts w:ascii="Times New Roman" w:hAnsi="Times New Roman"/>
          <w:lang w:val="da-DK"/>
        </w:rPr>
      </w:pPr>
    </w:p>
    <w:p w14:paraId="6B4D4B45" w14:textId="77777777" w:rsidR="001A1C88" w:rsidRPr="00AA499E" w:rsidRDefault="001A1C88" w:rsidP="001A1C88">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 xml:space="preserve">Dosering ved MDS/MPD </w:t>
      </w:r>
    </w:p>
    <w:p w14:paraId="0F4D87A9" w14:textId="77777777" w:rsidR="001A1C88" w:rsidRPr="00AA499E" w:rsidRDefault="001A1C88" w:rsidP="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anbefalede dosis af imatinib er 400 mg/dag til voksne patienter med MDS/MPD. </w:t>
      </w:r>
    </w:p>
    <w:p w14:paraId="2C5A1FF5" w14:textId="77777777" w:rsidR="001A1C88" w:rsidRPr="00AA499E" w:rsidRDefault="001A1C88" w:rsidP="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Behandlingsvarighed: I det eneste kliniske studie, der er udført indtil nu, fortsattes behandlingen med imatinib indtil sygdomsprogression (se pkt. 5.1). På opgørelsestidspunktet var medianen for behandlingstiden 47 måneder (24 dage – 60 måneder).</w:t>
      </w:r>
    </w:p>
    <w:p w14:paraId="1888D15F" w14:textId="77777777" w:rsidR="001A1C88" w:rsidRPr="00AA499E" w:rsidRDefault="001A1C88" w:rsidP="001A1C88">
      <w:pPr>
        <w:autoSpaceDE w:val="0"/>
        <w:autoSpaceDN w:val="0"/>
        <w:adjustRightInd w:val="0"/>
        <w:spacing w:after="0" w:line="240" w:lineRule="auto"/>
        <w:rPr>
          <w:rFonts w:ascii="Times New Roman" w:hAnsi="Times New Roman"/>
          <w:lang w:val="da-DK"/>
        </w:rPr>
      </w:pPr>
    </w:p>
    <w:p w14:paraId="53D4FB68" w14:textId="77777777" w:rsidR="001A1C88" w:rsidRPr="00AA499E" w:rsidRDefault="001A1C88" w:rsidP="001A1C88">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 xml:space="preserve">Dosering ved HES/CEL </w:t>
      </w:r>
    </w:p>
    <w:p w14:paraId="2CBDB314" w14:textId="77777777" w:rsidR="001A1C88" w:rsidRPr="00AA499E" w:rsidRDefault="001A1C88" w:rsidP="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Den anbefalede dosis af imatinib er 100 mg/dag til voksne patienter med HES/CEL.</w:t>
      </w:r>
    </w:p>
    <w:p w14:paraId="048BC822" w14:textId="77777777" w:rsidR="001A1C88" w:rsidRPr="00AA499E" w:rsidRDefault="001A1C88" w:rsidP="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 </w:t>
      </w:r>
    </w:p>
    <w:p w14:paraId="018966DE" w14:textId="77777777" w:rsidR="001A1C88" w:rsidRPr="00AA499E" w:rsidRDefault="001A1C88" w:rsidP="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Dosisøgning fra 100 mg til 400 mg kan overvejes, hvis der ikke er observeret bivirkninger, og respons på behandlingen vurderes som værende utilstrækkeligt. </w:t>
      </w:r>
    </w:p>
    <w:p w14:paraId="0F3C1410" w14:textId="77777777" w:rsidR="001A1C88" w:rsidRPr="00AA499E" w:rsidRDefault="001A1C88" w:rsidP="001A1C88">
      <w:pPr>
        <w:autoSpaceDE w:val="0"/>
        <w:autoSpaceDN w:val="0"/>
        <w:adjustRightInd w:val="0"/>
        <w:spacing w:after="0" w:line="240" w:lineRule="auto"/>
        <w:rPr>
          <w:rFonts w:ascii="Times New Roman" w:hAnsi="Times New Roman"/>
          <w:lang w:val="da-DK"/>
        </w:rPr>
      </w:pPr>
    </w:p>
    <w:p w14:paraId="0EDA733F" w14:textId="77777777" w:rsidR="001A1C88" w:rsidRPr="00AA499E" w:rsidRDefault="001A1C88" w:rsidP="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 bør fortsættes, så længe patienten har gavn af det.</w:t>
      </w:r>
    </w:p>
    <w:p w14:paraId="6D83F729" w14:textId="77777777" w:rsidR="001A1C88" w:rsidRPr="00AA499E" w:rsidRDefault="001A1C88" w:rsidP="001A1C88">
      <w:pPr>
        <w:autoSpaceDE w:val="0"/>
        <w:autoSpaceDN w:val="0"/>
        <w:adjustRightInd w:val="0"/>
        <w:spacing w:after="0" w:line="240" w:lineRule="auto"/>
        <w:rPr>
          <w:rFonts w:ascii="Times New Roman" w:hAnsi="Times New Roman"/>
          <w:lang w:val="da-DK"/>
        </w:rPr>
      </w:pPr>
    </w:p>
    <w:p w14:paraId="7AADDC16" w14:textId="77777777" w:rsidR="001A1C88" w:rsidRPr="00AA499E" w:rsidRDefault="001A1C88" w:rsidP="001A1C88">
      <w:pPr>
        <w:autoSpaceDE w:val="0"/>
        <w:autoSpaceDN w:val="0"/>
        <w:adjustRightInd w:val="0"/>
        <w:spacing w:after="0" w:line="240" w:lineRule="auto"/>
        <w:rPr>
          <w:rFonts w:ascii="Times New Roman" w:hAnsi="Times New Roman"/>
          <w:i/>
          <w:lang w:val="da-DK"/>
        </w:rPr>
      </w:pPr>
      <w:r w:rsidRPr="00AA499E">
        <w:rPr>
          <w:rFonts w:ascii="Times New Roman" w:hAnsi="Times New Roman"/>
          <w:i/>
          <w:u w:val="single"/>
          <w:lang w:val="da-DK"/>
        </w:rPr>
        <w:t>Dosering ved DFSP</w:t>
      </w:r>
    </w:p>
    <w:p w14:paraId="7AE127B5" w14:textId="77777777" w:rsidR="001A1C88" w:rsidRPr="00AA499E" w:rsidRDefault="001A1C88" w:rsidP="001A1C8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Den anbefalede dosis af imatinib er 800 mg/dag til voksne patienter med DSFP.</w:t>
      </w:r>
    </w:p>
    <w:p w14:paraId="2ABD445D" w14:textId="77777777" w:rsidR="001A1C88" w:rsidRPr="00AA499E" w:rsidRDefault="001A1C88">
      <w:pPr>
        <w:autoSpaceDE w:val="0"/>
        <w:autoSpaceDN w:val="0"/>
        <w:adjustRightInd w:val="0"/>
        <w:spacing w:after="0" w:line="240" w:lineRule="auto"/>
        <w:rPr>
          <w:rFonts w:ascii="Times New Roman" w:hAnsi="Times New Roman"/>
          <w:lang w:val="da-DK"/>
        </w:rPr>
      </w:pPr>
    </w:p>
    <w:p w14:paraId="39F47622" w14:textId="77777777" w:rsidR="006478AD" w:rsidRPr="00AA499E" w:rsidRDefault="00616F3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Dosisjustering i forbindelse med bivirkninger</w:t>
      </w:r>
    </w:p>
    <w:p w14:paraId="7264C1BA"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Ikke-hæmatologiske bivirkninger</w:t>
      </w:r>
    </w:p>
    <w:p w14:paraId="1E68F26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der opstår alvorlige ikke-hæmatologiske bivirkninger ved behandling med imatinib, skal behandlingen seponeres, indtil bivirkningerne er ophørt Herefter kan behandlingen genoptages alt efter den oprindelige alvorlighed af bivirkningen.</w:t>
      </w:r>
    </w:p>
    <w:p w14:paraId="3B295B86" w14:textId="77777777" w:rsidR="006478AD" w:rsidRPr="00AA499E" w:rsidRDefault="006478AD">
      <w:pPr>
        <w:autoSpaceDE w:val="0"/>
        <w:autoSpaceDN w:val="0"/>
        <w:adjustRightInd w:val="0"/>
        <w:spacing w:after="0" w:line="240" w:lineRule="auto"/>
        <w:ind w:left="567" w:hanging="567"/>
        <w:rPr>
          <w:rFonts w:ascii="Times New Roman" w:hAnsi="Times New Roman"/>
          <w:lang w:val="da-DK"/>
        </w:rPr>
      </w:pPr>
    </w:p>
    <w:p w14:paraId="3CA8FD4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Hvis der opstår stigninger i bilirubin &gt;3 x IULN (institutional upper limit of normal) eller i levertransaminaser &gt;5 x IULN, skal imatinib seponeres indtil bilirubinniveauerne er faldet til &lt;1,5 x IULN </w:t>
      </w:r>
      <w:r w:rsidRPr="00AA499E">
        <w:rPr>
          <w:rFonts w:ascii="Times New Roman" w:hAnsi="Times New Roman"/>
          <w:lang w:val="da-DK"/>
        </w:rPr>
        <w:lastRenderedPageBreak/>
        <w:t xml:space="preserve">og transaminaseniveauer til &lt;2,5 x IULN. Behandling med imatinib kan da genoptages ved reduceret daglig dosis. Hos voksne bør dosis reduceres fra </w:t>
      </w:r>
      <w:r w:rsidR="009B4C41" w:rsidRPr="00AA499E">
        <w:rPr>
          <w:rFonts w:ascii="Times New Roman" w:hAnsi="Times New Roman"/>
          <w:lang w:val="da-DK"/>
        </w:rPr>
        <w:t>400 til 300 mg</w:t>
      </w:r>
      <w:r w:rsidR="008E2A1B" w:rsidRPr="00AA499E">
        <w:rPr>
          <w:rFonts w:ascii="Times New Roman" w:hAnsi="Times New Roman"/>
          <w:lang w:val="da-DK"/>
        </w:rPr>
        <w:t>,</w:t>
      </w:r>
      <w:r w:rsidR="009B4C41" w:rsidRPr="00AA499E">
        <w:rPr>
          <w:rFonts w:ascii="Times New Roman" w:hAnsi="Times New Roman"/>
          <w:lang w:val="da-DK"/>
        </w:rPr>
        <w:t xml:space="preserve"> eller </w:t>
      </w:r>
      <w:r w:rsidR="008E2A1B" w:rsidRPr="00AA499E">
        <w:rPr>
          <w:rFonts w:ascii="Times New Roman" w:hAnsi="Times New Roman"/>
          <w:lang w:val="da-DK"/>
        </w:rPr>
        <w:t xml:space="preserve">fra </w:t>
      </w:r>
      <w:r w:rsidRPr="00AA499E">
        <w:rPr>
          <w:rFonts w:ascii="Times New Roman" w:hAnsi="Times New Roman"/>
          <w:lang w:val="da-DK"/>
        </w:rPr>
        <w:t>600 til 400 mg, eller fra 800 mg til 600 mg, og hos børn</w:t>
      </w:r>
      <w:r w:rsidR="009A46E5" w:rsidRPr="00AA499E">
        <w:rPr>
          <w:rFonts w:ascii="Times New Roman" w:hAnsi="Times New Roman"/>
          <w:lang w:val="da-DK"/>
        </w:rPr>
        <w:t xml:space="preserve"> </w:t>
      </w:r>
      <w:r w:rsidRPr="00AA499E">
        <w:rPr>
          <w:rFonts w:ascii="Times New Roman" w:hAnsi="Times New Roman"/>
          <w:lang w:val="da-DK"/>
        </w:rPr>
        <w:t>fra 340 til 260 mg/m</w:t>
      </w:r>
      <w:r w:rsidRPr="00AA499E">
        <w:rPr>
          <w:rFonts w:ascii="Times New Roman" w:hAnsi="Times New Roman"/>
          <w:vertAlign w:val="superscript"/>
          <w:lang w:val="da-DK"/>
        </w:rPr>
        <w:t>2</w:t>
      </w:r>
      <w:r w:rsidRPr="00AA499E">
        <w:rPr>
          <w:rFonts w:ascii="Times New Roman" w:hAnsi="Times New Roman"/>
          <w:lang w:val="da-DK"/>
        </w:rPr>
        <w:t>/dag.</w:t>
      </w:r>
    </w:p>
    <w:p w14:paraId="3A0A0960" w14:textId="77777777" w:rsidR="006478AD" w:rsidRPr="00AA499E" w:rsidRDefault="006478AD">
      <w:pPr>
        <w:autoSpaceDE w:val="0"/>
        <w:autoSpaceDN w:val="0"/>
        <w:adjustRightInd w:val="0"/>
        <w:spacing w:after="0" w:line="240" w:lineRule="auto"/>
        <w:rPr>
          <w:rFonts w:ascii="Times New Roman" w:hAnsi="Times New Roman"/>
          <w:lang w:val="da-DK"/>
        </w:rPr>
      </w:pPr>
    </w:p>
    <w:p w14:paraId="2E168DA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Hæmatologiske bivirkninger</w:t>
      </w:r>
    </w:p>
    <w:p w14:paraId="3244269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tilfælde af svær neutropeni og trombocytopeni anbefales dosisreduktion eller seponering af behandlingen, som angivet i nedenstående tabel:</w:t>
      </w:r>
    </w:p>
    <w:p w14:paraId="7B89452B" w14:textId="77777777" w:rsidR="006478AD" w:rsidRPr="00AA499E" w:rsidRDefault="006478AD">
      <w:pPr>
        <w:autoSpaceDE w:val="0"/>
        <w:autoSpaceDN w:val="0"/>
        <w:adjustRightInd w:val="0"/>
        <w:spacing w:after="0" w:line="240" w:lineRule="auto"/>
        <w:rPr>
          <w:rFonts w:ascii="Times New Roman" w:hAnsi="Times New Roman"/>
          <w:lang w:val="da-DK"/>
        </w:rPr>
      </w:pPr>
    </w:p>
    <w:p w14:paraId="5C2F8C6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Dosisjusteringer på grund af neutropeni og trombocytopeni:</w:t>
      </w:r>
    </w:p>
    <w:p w14:paraId="272A99D9"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2580"/>
        <w:gridCol w:w="4261"/>
      </w:tblGrid>
      <w:tr w:rsidR="00005A17" w:rsidRPr="00AA499E" w14:paraId="051E89A5" w14:textId="77777777">
        <w:tc>
          <w:tcPr>
            <w:tcW w:w="2605" w:type="dxa"/>
          </w:tcPr>
          <w:p w14:paraId="285CDD6B" w14:textId="77777777" w:rsidR="00005A17" w:rsidRPr="00AA499E" w:rsidRDefault="00005A17" w:rsidP="00B2157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HES/CEL (start dosering 100 mg)</w:t>
            </w:r>
          </w:p>
        </w:tc>
        <w:tc>
          <w:tcPr>
            <w:tcW w:w="2606" w:type="dxa"/>
          </w:tcPr>
          <w:p w14:paraId="0DA72592" w14:textId="77777777" w:rsidR="00533B33" w:rsidRPr="00AA499E" w:rsidRDefault="00005A17" w:rsidP="00005A17">
            <w:pPr>
              <w:pStyle w:val="Default"/>
              <w:rPr>
                <w:sz w:val="22"/>
                <w:szCs w:val="22"/>
                <w:lang w:val="da-DK"/>
              </w:rPr>
            </w:pPr>
            <w:r w:rsidRPr="00AA499E">
              <w:rPr>
                <w:sz w:val="22"/>
                <w:szCs w:val="22"/>
                <w:lang w:val="da-DK"/>
              </w:rPr>
              <w:t>ANC &lt;1,0 x 10</w:t>
            </w:r>
            <w:r w:rsidRPr="00AA499E">
              <w:rPr>
                <w:sz w:val="22"/>
                <w:szCs w:val="22"/>
                <w:vertAlign w:val="superscript"/>
                <w:lang w:val="da-DK"/>
              </w:rPr>
              <w:t>9</w:t>
            </w:r>
            <w:r w:rsidRPr="00AA499E">
              <w:rPr>
                <w:sz w:val="22"/>
                <w:szCs w:val="22"/>
                <w:lang w:val="da-DK"/>
              </w:rPr>
              <w:t xml:space="preserve">/l </w:t>
            </w:r>
          </w:p>
          <w:p w14:paraId="60590164" w14:textId="77777777" w:rsidR="00005A17" w:rsidRPr="00AA499E" w:rsidRDefault="00005A17" w:rsidP="00005A17">
            <w:pPr>
              <w:pStyle w:val="Default"/>
              <w:rPr>
                <w:sz w:val="22"/>
                <w:szCs w:val="22"/>
                <w:lang w:val="da-DK"/>
              </w:rPr>
            </w:pPr>
            <w:r w:rsidRPr="00AA499E">
              <w:rPr>
                <w:sz w:val="22"/>
                <w:szCs w:val="22"/>
                <w:lang w:val="da-DK"/>
              </w:rPr>
              <w:t>og/eller</w:t>
            </w:r>
          </w:p>
          <w:p w14:paraId="519751BD" w14:textId="77777777" w:rsidR="00005A17" w:rsidRPr="00AA499E" w:rsidRDefault="00005A17" w:rsidP="00005A1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trombocytter &lt;50 x 10</w:t>
            </w:r>
            <w:r w:rsidRPr="00AA499E">
              <w:rPr>
                <w:rFonts w:ascii="Times New Roman" w:hAnsi="Times New Roman"/>
                <w:vertAlign w:val="superscript"/>
                <w:lang w:val="da-DK"/>
              </w:rPr>
              <w:t>9</w:t>
            </w:r>
            <w:r w:rsidRPr="00AA499E">
              <w:rPr>
                <w:rFonts w:ascii="Times New Roman" w:hAnsi="Times New Roman"/>
                <w:lang w:val="da-DK"/>
              </w:rPr>
              <w:t>/l</w:t>
            </w:r>
          </w:p>
        </w:tc>
        <w:tc>
          <w:tcPr>
            <w:tcW w:w="4335" w:type="dxa"/>
          </w:tcPr>
          <w:p w14:paraId="35279587" w14:textId="77777777" w:rsidR="00005A17" w:rsidRPr="00AA499E" w:rsidRDefault="00005A17" w:rsidP="00063A26">
            <w:pPr>
              <w:autoSpaceDE w:val="0"/>
              <w:autoSpaceDN w:val="0"/>
              <w:adjustRightInd w:val="0"/>
              <w:spacing w:after="0" w:line="261" w:lineRule="exact"/>
              <w:ind w:left="601" w:right="-20" w:hanging="567"/>
              <w:rPr>
                <w:rFonts w:ascii="Times New Roman" w:hAnsi="Times New Roman"/>
                <w:lang w:val="da-DK" w:eastAsia="sv-SE"/>
              </w:rPr>
            </w:pPr>
            <w:r w:rsidRPr="00AA499E">
              <w:rPr>
                <w:rFonts w:ascii="Times New Roman" w:hAnsi="Times New Roman"/>
                <w:lang w:val="da-DK" w:eastAsia="sv-SE"/>
              </w:rPr>
              <w:t xml:space="preserve">1.   </w:t>
            </w:r>
            <w:r w:rsidRPr="00AA499E">
              <w:rPr>
                <w:rFonts w:ascii="Times New Roman" w:hAnsi="Times New Roman"/>
                <w:spacing w:val="39"/>
                <w:lang w:val="da-DK" w:eastAsia="sv-SE"/>
              </w:rPr>
              <w:t xml:space="preserve"> </w:t>
            </w:r>
            <w:r w:rsidRPr="00AA499E">
              <w:rPr>
                <w:rFonts w:ascii="Times New Roman" w:hAnsi="Times New Roman"/>
                <w:lang w:val="da-DK" w:eastAsia="sv-SE"/>
              </w:rPr>
              <w:t>Seponer</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 xml:space="preserve">imatinib </w:t>
            </w:r>
            <w:r w:rsidRPr="00AA499E">
              <w:rPr>
                <w:rFonts w:ascii="Times New Roman" w:hAnsi="Times New Roman"/>
                <w:spacing w:val="2"/>
                <w:lang w:val="da-DK" w:eastAsia="sv-SE"/>
              </w:rPr>
              <w:t>i</w:t>
            </w:r>
            <w:r w:rsidRPr="00AA499E">
              <w:rPr>
                <w:rFonts w:ascii="Times New Roman" w:hAnsi="Times New Roman"/>
                <w:lang w:val="da-DK" w:eastAsia="sv-SE"/>
              </w:rPr>
              <w:t>nd</w:t>
            </w:r>
            <w:r w:rsidRPr="00AA499E">
              <w:rPr>
                <w:rFonts w:ascii="Times New Roman" w:hAnsi="Times New Roman"/>
                <w:spacing w:val="1"/>
                <w:lang w:val="da-DK" w:eastAsia="sv-SE"/>
              </w:rPr>
              <w:t>ti</w:t>
            </w:r>
            <w:r w:rsidRPr="00AA499E">
              <w:rPr>
                <w:rFonts w:ascii="Times New Roman" w:hAnsi="Times New Roman"/>
                <w:lang w:val="da-DK" w:eastAsia="sv-SE"/>
              </w:rPr>
              <w:t>l</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AN</w:t>
            </w:r>
            <w:r w:rsidRPr="00AA499E">
              <w:rPr>
                <w:rFonts w:ascii="Times New Roman" w:hAnsi="Times New Roman"/>
                <w:lang w:val="da-DK" w:eastAsia="sv-SE"/>
              </w:rPr>
              <w:t xml:space="preserve">C </w:t>
            </w:r>
            <w:r w:rsidRPr="00AA499E">
              <w:rPr>
                <w:rFonts w:ascii="Times New Roman" w:hAnsi="Times New Roman"/>
                <w:spacing w:val="1"/>
                <w:lang w:val="da-DK" w:eastAsia="sv-SE"/>
              </w:rPr>
              <w:t></w:t>
            </w:r>
            <w:r w:rsidRPr="00AA499E">
              <w:rPr>
                <w:rFonts w:ascii="Times New Roman" w:hAnsi="Times New Roman"/>
                <w:lang w:val="da-DK" w:eastAsia="sv-SE"/>
              </w:rPr>
              <w:t>1,5 x 10</w:t>
            </w:r>
            <w:r w:rsidRPr="00AA499E">
              <w:rPr>
                <w:rFonts w:ascii="Times New Roman" w:hAnsi="Times New Roman"/>
                <w:position w:val="10"/>
                <w:sz w:val="14"/>
                <w:szCs w:val="14"/>
                <w:lang w:val="da-DK" w:eastAsia="sv-SE"/>
              </w:rPr>
              <w:t>9</w:t>
            </w:r>
            <w:r w:rsidRPr="00AA499E">
              <w:rPr>
                <w:rFonts w:ascii="Times New Roman" w:hAnsi="Times New Roman"/>
                <w:spacing w:val="1"/>
                <w:lang w:val="da-DK" w:eastAsia="sv-SE"/>
              </w:rPr>
              <w:t>/l</w:t>
            </w:r>
          </w:p>
          <w:p w14:paraId="4AA03C07" w14:textId="77777777" w:rsidR="00005A17" w:rsidRPr="00AA499E" w:rsidRDefault="00005A17" w:rsidP="00063A26">
            <w:pPr>
              <w:autoSpaceDE w:val="0"/>
              <w:autoSpaceDN w:val="0"/>
              <w:adjustRightInd w:val="0"/>
              <w:spacing w:after="0" w:line="274" w:lineRule="exact"/>
              <w:ind w:left="601" w:right="-20" w:hanging="142"/>
              <w:rPr>
                <w:rFonts w:ascii="Times New Roman" w:hAnsi="Times New Roman"/>
                <w:lang w:val="da-DK" w:eastAsia="sv-SE"/>
              </w:rPr>
            </w:pPr>
            <w:r w:rsidRPr="00AA499E">
              <w:rPr>
                <w:rFonts w:ascii="Times New Roman" w:hAnsi="Times New Roman"/>
                <w:position w:val="-1"/>
                <w:lang w:val="da-DK" w:eastAsia="sv-SE"/>
              </w:rPr>
              <w:t>og</w:t>
            </w:r>
            <w:r w:rsidRPr="00AA499E">
              <w:rPr>
                <w:rFonts w:ascii="Times New Roman" w:hAnsi="Times New Roman"/>
                <w:spacing w:val="-2"/>
                <w:position w:val="-1"/>
                <w:lang w:val="da-DK" w:eastAsia="sv-SE"/>
              </w:rPr>
              <w:t xml:space="preserve"> </w:t>
            </w:r>
            <w:r w:rsidRPr="00AA499E">
              <w:rPr>
                <w:rFonts w:ascii="Times New Roman" w:hAnsi="Times New Roman"/>
                <w:spacing w:val="1"/>
                <w:position w:val="-1"/>
                <w:lang w:val="da-DK" w:eastAsia="sv-SE"/>
              </w:rPr>
              <w:t>tr</w:t>
            </w:r>
            <w:r w:rsidRPr="00AA499E">
              <w:rPr>
                <w:rFonts w:ascii="Times New Roman" w:hAnsi="Times New Roman"/>
                <w:position w:val="-1"/>
                <w:lang w:val="da-DK" w:eastAsia="sv-SE"/>
              </w:rPr>
              <w:t>o</w:t>
            </w:r>
            <w:r w:rsidRPr="00AA499E">
              <w:rPr>
                <w:rFonts w:ascii="Times New Roman" w:hAnsi="Times New Roman"/>
                <w:spacing w:val="-4"/>
                <w:position w:val="-1"/>
                <w:lang w:val="da-DK" w:eastAsia="sv-SE"/>
              </w:rPr>
              <w:t>m</w:t>
            </w:r>
            <w:r w:rsidRPr="00AA499E">
              <w:rPr>
                <w:rFonts w:ascii="Times New Roman" w:hAnsi="Times New Roman"/>
                <w:position w:val="-1"/>
                <w:lang w:val="da-DK" w:eastAsia="sv-SE"/>
              </w:rPr>
              <w:t>boc</w:t>
            </w:r>
            <w:r w:rsidRPr="00AA499E">
              <w:rPr>
                <w:rFonts w:ascii="Times New Roman" w:hAnsi="Times New Roman"/>
                <w:spacing w:val="-2"/>
                <w:position w:val="-1"/>
                <w:lang w:val="da-DK" w:eastAsia="sv-SE"/>
              </w:rPr>
              <w:t>y</w:t>
            </w:r>
            <w:r w:rsidRPr="00AA499E">
              <w:rPr>
                <w:rFonts w:ascii="Times New Roman" w:hAnsi="Times New Roman"/>
                <w:spacing w:val="1"/>
                <w:position w:val="-1"/>
                <w:lang w:val="da-DK" w:eastAsia="sv-SE"/>
              </w:rPr>
              <w:t>tt</w:t>
            </w:r>
            <w:r w:rsidRPr="00AA499E">
              <w:rPr>
                <w:rFonts w:ascii="Times New Roman" w:hAnsi="Times New Roman"/>
                <w:position w:val="-1"/>
                <w:lang w:val="da-DK" w:eastAsia="sv-SE"/>
              </w:rPr>
              <w:t>er</w:t>
            </w:r>
            <w:r w:rsidRPr="00AA499E">
              <w:rPr>
                <w:rFonts w:ascii="Times New Roman" w:hAnsi="Times New Roman"/>
                <w:spacing w:val="3"/>
                <w:position w:val="-1"/>
                <w:lang w:val="da-DK" w:eastAsia="sv-SE"/>
              </w:rPr>
              <w:t xml:space="preserve"> </w:t>
            </w:r>
            <w:r w:rsidRPr="00AA499E">
              <w:rPr>
                <w:rFonts w:ascii="Times New Roman" w:hAnsi="Times New Roman"/>
                <w:spacing w:val="1"/>
                <w:position w:val="-1"/>
                <w:lang w:val="da-DK" w:eastAsia="sv-SE"/>
              </w:rPr>
              <w:t></w:t>
            </w:r>
            <w:r w:rsidRPr="00AA499E">
              <w:rPr>
                <w:rFonts w:ascii="Times New Roman" w:hAnsi="Times New Roman"/>
                <w:position w:val="-1"/>
                <w:lang w:val="da-DK" w:eastAsia="sv-SE"/>
              </w:rPr>
              <w:t>75 x 10</w:t>
            </w:r>
            <w:r w:rsidRPr="00AA499E">
              <w:rPr>
                <w:rFonts w:ascii="Times New Roman" w:hAnsi="Times New Roman"/>
                <w:position w:val="9"/>
                <w:sz w:val="14"/>
                <w:szCs w:val="14"/>
                <w:lang w:val="da-DK" w:eastAsia="sv-SE"/>
              </w:rPr>
              <w:t>9</w:t>
            </w:r>
            <w:r w:rsidRPr="00AA499E">
              <w:rPr>
                <w:rFonts w:ascii="Times New Roman" w:hAnsi="Times New Roman"/>
                <w:spacing w:val="1"/>
                <w:position w:val="-1"/>
                <w:lang w:val="da-DK" w:eastAsia="sv-SE"/>
              </w:rPr>
              <w:t>/l.</w:t>
            </w:r>
          </w:p>
          <w:p w14:paraId="002BA62C" w14:textId="77777777" w:rsidR="00005A17" w:rsidRPr="00AA499E" w:rsidRDefault="00005A17" w:rsidP="00063A26">
            <w:pPr>
              <w:autoSpaceDE w:val="0"/>
              <w:autoSpaceDN w:val="0"/>
              <w:adjustRightInd w:val="0"/>
              <w:spacing w:before="5" w:after="0" w:line="245" w:lineRule="auto"/>
              <w:ind w:left="459" w:right="54" w:hanging="425"/>
              <w:rPr>
                <w:rFonts w:ascii="Times New Roman" w:hAnsi="Times New Roman"/>
                <w:lang w:val="da-DK" w:eastAsia="sv-SE"/>
              </w:rPr>
            </w:pPr>
            <w:r w:rsidRPr="00AA499E">
              <w:rPr>
                <w:rFonts w:ascii="Times New Roman" w:hAnsi="Times New Roman"/>
                <w:lang w:val="da-DK" w:eastAsia="sv-SE"/>
              </w:rPr>
              <w:t xml:space="preserve">2.   </w:t>
            </w:r>
            <w:r w:rsidRPr="00AA499E">
              <w:rPr>
                <w:rFonts w:ascii="Times New Roman" w:hAnsi="Times New Roman"/>
                <w:spacing w:val="39"/>
                <w:lang w:val="da-DK" w:eastAsia="sv-SE"/>
              </w:rPr>
              <w:t xml:space="preserve"> </w:t>
            </w:r>
            <w:r w:rsidRPr="00AA499E">
              <w:rPr>
                <w:rFonts w:ascii="Times New Roman" w:hAnsi="Times New Roman"/>
                <w:spacing w:val="-1"/>
                <w:lang w:val="da-DK" w:eastAsia="sv-SE"/>
              </w:rPr>
              <w:t>G</w:t>
            </w:r>
            <w:r w:rsidRPr="00AA499E">
              <w:rPr>
                <w:rFonts w:ascii="Times New Roman" w:hAnsi="Times New Roman"/>
                <w:lang w:val="da-DK" w:eastAsia="sv-SE"/>
              </w:rPr>
              <w:t>enop</w:t>
            </w:r>
            <w:r w:rsidRPr="00AA499E">
              <w:rPr>
                <w:rFonts w:ascii="Times New Roman" w:hAnsi="Times New Roman"/>
                <w:spacing w:val="1"/>
                <w:lang w:val="da-DK" w:eastAsia="sv-SE"/>
              </w:rPr>
              <w:t>t</w:t>
            </w:r>
            <w:r w:rsidRPr="00AA499E">
              <w:rPr>
                <w:rFonts w:ascii="Times New Roman" w:hAnsi="Times New Roman"/>
                <w:lang w:val="da-DK" w:eastAsia="sv-SE"/>
              </w:rPr>
              <w:t>ag</w:t>
            </w:r>
            <w:r w:rsidRPr="00AA499E">
              <w:rPr>
                <w:rFonts w:ascii="Times New Roman" w:hAnsi="Times New Roman"/>
                <w:spacing w:val="-2"/>
                <w:lang w:val="da-DK" w:eastAsia="sv-SE"/>
              </w:rPr>
              <w:t xml:space="preserve"> </w:t>
            </w:r>
            <w:r w:rsidR="00533B33" w:rsidRPr="00AA499E">
              <w:rPr>
                <w:rFonts w:ascii="Times New Roman" w:hAnsi="Times New Roman"/>
                <w:spacing w:val="-1"/>
                <w:lang w:val="da-DK" w:eastAsia="sv-SE"/>
              </w:rPr>
              <w:t xml:space="preserve">imatinib </w:t>
            </w:r>
            <w:r w:rsidRPr="00AA499E">
              <w:rPr>
                <w:rFonts w:ascii="Times New Roman" w:hAnsi="Times New Roman"/>
                <w:spacing w:val="-4"/>
                <w:lang w:val="da-DK" w:eastAsia="sv-SE"/>
              </w:rPr>
              <w:t>-</w:t>
            </w:r>
            <w:r w:rsidRPr="00AA499E">
              <w:rPr>
                <w:rFonts w:ascii="Times New Roman" w:hAnsi="Times New Roman"/>
                <w:lang w:val="da-DK" w:eastAsia="sv-SE"/>
              </w:rPr>
              <w:t>beh</w:t>
            </w:r>
            <w:r w:rsidRPr="00AA499E">
              <w:rPr>
                <w:rFonts w:ascii="Times New Roman" w:hAnsi="Times New Roman"/>
                <w:spacing w:val="1"/>
                <w:lang w:val="da-DK" w:eastAsia="sv-SE"/>
              </w:rPr>
              <w:t>a</w:t>
            </w:r>
            <w:r w:rsidRPr="00AA499E">
              <w:rPr>
                <w:rFonts w:ascii="Times New Roman" w:hAnsi="Times New Roman"/>
                <w:lang w:val="da-DK" w:eastAsia="sv-SE"/>
              </w:rPr>
              <w:t>nd</w:t>
            </w:r>
            <w:r w:rsidRPr="00AA499E">
              <w:rPr>
                <w:rFonts w:ascii="Times New Roman" w:hAnsi="Times New Roman"/>
                <w:spacing w:val="1"/>
                <w:lang w:val="da-DK" w:eastAsia="sv-SE"/>
              </w:rPr>
              <w:t>li</w:t>
            </w:r>
            <w:r w:rsidRPr="00AA499E">
              <w:rPr>
                <w:rFonts w:ascii="Times New Roman" w:hAnsi="Times New Roman"/>
                <w:lang w:val="da-DK" w:eastAsia="sv-SE"/>
              </w:rPr>
              <w:t>n</w:t>
            </w:r>
            <w:r w:rsidRPr="00AA499E">
              <w:rPr>
                <w:rFonts w:ascii="Times New Roman" w:hAnsi="Times New Roman"/>
                <w:spacing w:val="-2"/>
                <w:lang w:val="da-DK" w:eastAsia="sv-SE"/>
              </w:rPr>
              <w:t>g</w:t>
            </w:r>
            <w:r w:rsidRPr="00AA499E">
              <w:rPr>
                <w:rFonts w:ascii="Times New Roman" w:hAnsi="Times New Roman"/>
                <w:lang w:val="da-DK" w:eastAsia="sv-SE"/>
              </w:rPr>
              <w:t xml:space="preserve">en </w:t>
            </w:r>
            <w:r w:rsidRPr="00AA499E">
              <w:rPr>
                <w:rFonts w:ascii="Times New Roman" w:hAnsi="Times New Roman"/>
                <w:spacing w:val="-2"/>
                <w:lang w:val="da-DK" w:eastAsia="sv-SE"/>
              </w:rPr>
              <w:t>v</w:t>
            </w:r>
            <w:r w:rsidR="00533B33" w:rsidRPr="00AA499E">
              <w:rPr>
                <w:rFonts w:ascii="Times New Roman" w:hAnsi="Times New Roman"/>
                <w:lang w:val="da-DK" w:eastAsia="sv-SE"/>
              </w:rPr>
              <w:t xml:space="preserve">ed den </w:t>
            </w:r>
            <w:r w:rsidRPr="00AA499E">
              <w:rPr>
                <w:rFonts w:ascii="Times New Roman" w:hAnsi="Times New Roman"/>
                <w:spacing w:val="1"/>
                <w:lang w:val="da-DK" w:eastAsia="sv-SE"/>
              </w:rPr>
              <w:t>ti</w:t>
            </w:r>
            <w:r w:rsidRPr="00AA499E">
              <w:rPr>
                <w:rFonts w:ascii="Times New Roman" w:hAnsi="Times New Roman"/>
                <w:lang w:val="da-DK" w:eastAsia="sv-SE"/>
              </w:rPr>
              <w:t>d</w:t>
            </w:r>
            <w:r w:rsidRPr="00AA499E">
              <w:rPr>
                <w:rFonts w:ascii="Times New Roman" w:hAnsi="Times New Roman"/>
                <w:spacing w:val="1"/>
                <w:lang w:val="da-DK" w:eastAsia="sv-SE"/>
              </w:rPr>
              <w:t>li</w:t>
            </w:r>
            <w:r w:rsidRPr="00AA499E">
              <w:rPr>
                <w:rFonts w:ascii="Times New Roman" w:hAnsi="Times New Roman"/>
                <w:spacing w:val="-2"/>
                <w:lang w:val="da-DK" w:eastAsia="sv-SE"/>
              </w:rPr>
              <w:t>g</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e do</w:t>
            </w:r>
            <w:r w:rsidRPr="00AA499E">
              <w:rPr>
                <w:rFonts w:ascii="Times New Roman" w:hAnsi="Times New Roman"/>
                <w:spacing w:val="1"/>
                <w:lang w:val="da-DK" w:eastAsia="sv-SE"/>
              </w:rPr>
              <w:t>si</w:t>
            </w:r>
            <w:r w:rsidRPr="00AA499E">
              <w:rPr>
                <w:rFonts w:ascii="Times New Roman" w:hAnsi="Times New Roman"/>
                <w:lang w:val="da-DK" w:eastAsia="sv-SE"/>
              </w:rPr>
              <w:t xml:space="preserve">s </w:t>
            </w:r>
            <w:r w:rsidRPr="00AA499E">
              <w:rPr>
                <w:rFonts w:ascii="Times New Roman" w:hAnsi="Times New Roman"/>
                <w:spacing w:val="1"/>
                <w:lang w:val="da-DK" w:eastAsia="sv-SE"/>
              </w:rPr>
              <w:t>(</w:t>
            </w:r>
            <w:r w:rsidRPr="00AA499E">
              <w:rPr>
                <w:rFonts w:ascii="Times New Roman" w:hAnsi="Times New Roman"/>
                <w:lang w:val="da-DK" w:eastAsia="sv-SE"/>
              </w:rPr>
              <w:t>d</w:t>
            </w:r>
            <w:r w:rsidRPr="00AA499E">
              <w:rPr>
                <w:rFonts w:ascii="Times New Roman" w:hAnsi="Times New Roman"/>
                <w:spacing w:val="-2"/>
                <w:lang w:val="da-DK" w:eastAsia="sv-SE"/>
              </w:rPr>
              <w:t>v</w:t>
            </w:r>
            <w:r w:rsidRPr="00AA499E">
              <w:rPr>
                <w:rFonts w:ascii="Times New Roman" w:hAnsi="Times New Roman"/>
                <w:lang w:val="da-DK" w:eastAsia="sv-SE"/>
              </w:rPr>
              <w:t xml:space="preserve">s. </w:t>
            </w:r>
            <w:r w:rsidRPr="00AA499E">
              <w:rPr>
                <w:rFonts w:ascii="Times New Roman" w:hAnsi="Times New Roman"/>
                <w:spacing w:val="1"/>
                <w:lang w:val="da-DK" w:eastAsia="sv-SE"/>
              </w:rPr>
              <w:t>f</w:t>
            </w:r>
            <w:r w:rsidRPr="00AA499E">
              <w:rPr>
                <w:rFonts w:ascii="Times New Roman" w:hAnsi="Times New Roman"/>
                <w:lang w:val="da-DK" w:eastAsia="sv-SE"/>
              </w:rPr>
              <w:t>ør</w:t>
            </w:r>
            <w:r w:rsidRPr="00AA499E">
              <w:rPr>
                <w:rFonts w:ascii="Times New Roman" w:hAnsi="Times New Roman"/>
                <w:spacing w:val="1"/>
                <w:lang w:val="da-DK" w:eastAsia="sv-SE"/>
              </w:rPr>
              <w:t xml:space="preserve"> </w:t>
            </w:r>
            <w:r w:rsidRPr="00AA499E">
              <w:rPr>
                <w:rFonts w:ascii="Times New Roman" w:hAnsi="Times New Roman"/>
                <w:lang w:val="da-DK" w:eastAsia="sv-SE"/>
              </w:rPr>
              <w:t>s</w:t>
            </w:r>
            <w:r w:rsidRPr="00AA499E">
              <w:rPr>
                <w:rFonts w:ascii="Times New Roman" w:hAnsi="Times New Roman"/>
                <w:spacing w:val="-2"/>
                <w:lang w:val="da-DK" w:eastAsia="sv-SE"/>
              </w:rPr>
              <w:t>v</w:t>
            </w:r>
            <w:r w:rsidRPr="00AA499E">
              <w:rPr>
                <w:rFonts w:ascii="Times New Roman" w:hAnsi="Times New Roman"/>
                <w:spacing w:val="-1"/>
                <w:lang w:val="da-DK" w:eastAsia="sv-SE"/>
              </w:rPr>
              <w:t>æ</w:t>
            </w:r>
            <w:r w:rsidRPr="00AA499E">
              <w:rPr>
                <w:rFonts w:ascii="Times New Roman" w:hAnsi="Times New Roman"/>
                <w:spacing w:val="1"/>
                <w:lang w:val="da-DK" w:eastAsia="sv-SE"/>
              </w:rPr>
              <w:t>r</w:t>
            </w:r>
            <w:r w:rsidRPr="00AA499E">
              <w:rPr>
                <w:rFonts w:ascii="Times New Roman" w:hAnsi="Times New Roman"/>
                <w:lang w:val="da-DK" w:eastAsia="sv-SE"/>
              </w:rPr>
              <w:t>e b</w:t>
            </w:r>
            <w:r w:rsidRPr="00AA499E">
              <w:rPr>
                <w:rFonts w:ascii="Times New Roman" w:hAnsi="Times New Roman"/>
                <w:spacing w:val="1"/>
                <w:lang w:val="da-DK" w:eastAsia="sv-SE"/>
              </w:rPr>
              <w:t>i</w:t>
            </w:r>
            <w:r w:rsidRPr="00AA499E">
              <w:rPr>
                <w:rFonts w:ascii="Times New Roman" w:hAnsi="Times New Roman"/>
                <w:spacing w:val="-2"/>
                <w:lang w:val="da-DK" w:eastAsia="sv-SE"/>
              </w:rPr>
              <w:t>v</w:t>
            </w:r>
            <w:r w:rsidRPr="00AA499E">
              <w:rPr>
                <w:rFonts w:ascii="Times New Roman" w:hAnsi="Times New Roman"/>
                <w:spacing w:val="1"/>
                <w:lang w:val="da-DK" w:eastAsia="sv-SE"/>
              </w:rPr>
              <w:t>ir</w:t>
            </w:r>
            <w:r w:rsidRPr="00AA499E">
              <w:rPr>
                <w:rFonts w:ascii="Times New Roman" w:hAnsi="Times New Roman"/>
                <w:spacing w:val="-2"/>
                <w:lang w:val="da-DK" w:eastAsia="sv-SE"/>
              </w:rPr>
              <w:t>k</w:t>
            </w:r>
            <w:r w:rsidRPr="00AA499E">
              <w:rPr>
                <w:rFonts w:ascii="Times New Roman" w:hAnsi="Times New Roman"/>
                <w:lang w:val="da-DK" w:eastAsia="sv-SE"/>
              </w:rPr>
              <w:t>n</w:t>
            </w:r>
            <w:r w:rsidRPr="00AA499E">
              <w:rPr>
                <w:rFonts w:ascii="Times New Roman" w:hAnsi="Times New Roman"/>
                <w:spacing w:val="1"/>
                <w:lang w:val="da-DK" w:eastAsia="sv-SE"/>
              </w:rPr>
              <w:t>i</w:t>
            </w:r>
            <w:r w:rsidRPr="00AA499E">
              <w:rPr>
                <w:rFonts w:ascii="Times New Roman" w:hAnsi="Times New Roman"/>
                <w:lang w:val="da-DK" w:eastAsia="sv-SE"/>
              </w:rPr>
              <w:t>n</w:t>
            </w:r>
            <w:r w:rsidRPr="00AA499E">
              <w:rPr>
                <w:rFonts w:ascii="Times New Roman" w:hAnsi="Times New Roman"/>
                <w:spacing w:val="-2"/>
                <w:lang w:val="da-DK" w:eastAsia="sv-SE"/>
              </w:rPr>
              <w:t>g</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w:t>
            </w:r>
          </w:p>
          <w:p w14:paraId="2592A05B" w14:textId="77777777" w:rsidR="00005A17" w:rsidRPr="00AA499E" w:rsidRDefault="00005A17">
            <w:pPr>
              <w:autoSpaceDE w:val="0"/>
              <w:autoSpaceDN w:val="0"/>
              <w:adjustRightInd w:val="0"/>
              <w:spacing w:after="0" w:line="240" w:lineRule="auto"/>
              <w:ind w:left="567" w:hanging="567"/>
              <w:rPr>
                <w:rFonts w:ascii="Times New Roman" w:hAnsi="Times New Roman"/>
                <w:lang w:val="da-DK"/>
              </w:rPr>
            </w:pPr>
          </w:p>
        </w:tc>
      </w:tr>
      <w:tr w:rsidR="00005A17" w:rsidRPr="00AA499E" w14:paraId="2202B79E" w14:textId="77777777">
        <w:tc>
          <w:tcPr>
            <w:tcW w:w="2605" w:type="dxa"/>
          </w:tcPr>
          <w:p w14:paraId="7F9344D9" w14:textId="77777777" w:rsidR="00533B33" w:rsidRPr="00AA499E" w:rsidRDefault="00533B33" w:rsidP="00533B3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MDS/MPD (startdosis</w:t>
            </w:r>
          </w:p>
          <w:p w14:paraId="4FC524BA" w14:textId="77777777" w:rsidR="00533B33" w:rsidRPr="00AA499E" w:rsidRDefault="00533B33" w:rsidP="00533B3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400 mg) </w:t>
            </w:r>
          </w:p>
          <w:p w14:paraId="591EE2FD" w14:textId="77777777" w:rsidR="00005A17" w:rsidRPr="00AA499E" w:rsidRDefault="00533B33" w:rsidP="00B2157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HES/CEL (ved 400 mg dosis)</w:t>
            </w:r>
          </w:p>
        </w:tc>
        <w:tc>
          <w:tcPr>
            <w:tcW w:w="2606" w:type="dxa"/>
          </w:tcPr>
          <w:p w14:paraId="10F6E193" w14:textId="77777777" w:rsidR="00533B33" w:rsidRPr="00AA499E" w:rsidRDefault="00533B33" w:rsidP="00533B3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ANC &lt;1,0 x 10</w:t>
            </w:r>
            <w:r w:rsidRPr="00AA499E">
              <w:rPr>
                <w:rFonts w:ascii="Times New Roman" w:hAnsi="Times New Roman"/>
                <w:vertAlign w:val="superscript"/>
                <w:lang w:val="da-DK"/>
              </w:rPr>
              <w:t>9</w:t>
            </w:r>
            <w:r w:rsidRPr="00AA499E">
              <w:rPr>
                <w:rFonts w:ascii="Times New Roman" w:hAnsi="Times New Roman"/>
                <w:lang w:val="da-DK"/>
              </w:rPr>
              <w:t xml:space="preserve">/l </w:t>
            </w:r>
          </w:p>
          <w:p w14:paraId="6A3879D3" w14:textId="77777777" w:rsidR="00533B33" w:rsidRPr="00AA499E" w:rsidRDefault="00533B33" w:rsidP="00533B3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og/eller</w:t>
            </w:r>
          </w:p>
          <w:p w14:paraId="13A6810D" w14:textId="77777777" w:rsidR="00005A17" w:rsidRPr="00AA499E" w:rsidRDefault="00533B33" w:rsidP="00533B3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trombocytter &lt;50 x 10</w:t>
            </w:r>
            <w:r w:rsidRPr="00AA499E">
              <w:rPr>
                <w:rFonts w:ascii="Times New Roman" w:hAnsi="Times New Roman"/>
                <w:vertAlign w:val="superscript"/>
                <w:lang w:val="da-DK"/>
              </w:rPr>
              <w:t>9</w:t>
            </w:r>
            <w:r w:rsidRPr="00AA499E">
              <w:rPr>
                <w:rFonts w:ascii="Times New Roman" w:hAnsi="Times New Roman"/>
                <w:lang w:val="da-DK"/>
              </w:rPr>
              <w:t>/l</w:t>
            </w:r>
          </w:p>
        </w:tc>
        <w:tc>
          <w:tcPr>
            <w:tcW w:w="4335" w:type="dxa"/>
          </w:tcPr>
          <w:p w14:paraId="75B18AB0" w14:textId="77777777" w:rsidR="00533B33" w:rsidRPr="00AA499E" w:rsidRDefault="00533B33" w:rsidP="00533B3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Seponer imatinib indtil ANC ≥ 1.5 x 10</w:t>
            </w:r>
            <w:r w:rsidRPr="00AA499E">
              <w:rPr>
                <w:rFonts w:ascii="Times New Roman" w:hAnsi="Times New Roman"/>
                <w:vertAlign w:val="superscript"/>
                <w:lang w:val="da-DK"/>
              </w:rPr>
              <w:t>9</w:t>
            </w:r>
            <w:r w:rsidRPr="00AA499E">
              <w:rPr>
                <w:rFonts w:ascii="Times New Roman" w:hAnsi="Times New Roman"/>
                <w:lang w:val="da-DK"/>
              </w:rPr>
              <w:t>/l og trombocytter ≥ 75 x 10</w:t>
            </w:r>
            <w:r w:rsidRPr="00AA499E">
              <w:rPr>
                <w:rFonts w:ascii="Times New Roman" w:hAnsi="Times New Roman"/>
                <w:vertAlign w:val="superscript"/>
                <w:lang w:val="da-DK"/>
              </w:rPr>
              <w:t>9</w:t>
            </w:r>
            <w:r w:rsidRPr="00AA499E">
              <w:rPr>
                <w:rFonts w:ascii="Times New Roman" w:hAnsi="Times New Roman"/>
                <w:lang w:val="da-DK"/>
              </w:rPr>
              <w:t>/l.</w:t>
            </w:r>
          </w:p>
          <w:p w14:paraId="37228044" w14:textId="77777777" w:rsidR="00533B33" w:rsidRPr="00AA499E" w:rsidRDefault="00533B33" w:rsidP="00533B3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Genoptag imatinib-behandlingen ved den tidligere dosis (dvs. før svære bivirkninger).</w:t>
            </w:r>
          </w:p>
          <w:p w14:paraId="419F9422" w14:textId="77777777" w:rsidR="00005A17" w:rsidRPr="00AA499E" w:rsidRDefault="00533B33" w:rsidP="00533B3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I tilfælde af recidiverende ANC &lt; 1.0 x 10</w:t>
            </w:r>
            <w:r w:rsidRPr="00AA499E">
              <w:rPr>
                <w:rFonts w:ascii="Times New Roman" w:hAnsi="Times New Roman"/>
                <w:vertAlign w:val="superscript"/>
                <w:lang w:val="da-DK"/>
              </w:rPr>
              <w:t>9</w:t>
            </w:r>
            <w:r w:rsidRPr="00AA499E">
              <w:rPr>
                <w:rFonts w:ascii="Times New Roman" w:hAnsi="Times New Roman"/>
                <w:lang w:val="da-DK"/>
              </w:rPr>
              <w:t>/l  og/eller trombocytter &lt; 50 x 10</w:t>
            </w:r>
            <w:r w:rsidRPr="00AA499E">
              <w:rPr>
                <w:rFonts w:ascii="Times New Roman" w:hAnsi="Times New Roman"/>
                <w:vertAlign w:val="superscript"/>
                <w:lang w:val="da-DK"/>
              </w:rPr>
              <w:t>9</w:t>
            </w:r>
            <w:r w:rsidRPr="00AA499E">
              <w:rPr>
                <w:rFonts w:ascii="Times New Roman" w:hAnsi="Times New Roman"/>
                <w:lang w:val="da-DK"/>
              </w:rPr>
              <w:t>/l, gentag trin 1, og genoptag behandling med imatinib i en reduceret dosis på 300 mg.</w:t>
            </w:r>
          </w:p>
        </w:tc>
      </w:tr>
      <w:tr w:rsidR="006478AD" w:rsidRPr="00AA499E" w14:paraId="081DE60B" w14:textId="77777777">
        <w:tc>
          <w:tcPr>
            <w:tcW w:w="2605" w:type="dxa"/>
          </w:tcPr>
          <w:p w14:paraId="5D4AE50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Børn med CML i kronisk fase (ved dosis 340 mg/m</w:t>
            </w:r>
            <w:r w:rsidRPr="00AA499E">
              <w:rPr>
                <w:rFonts w:ascii="Times New Roman" w:hAnsi="Times New Roman"/>
                <w:vertAlign w:val="superscript"/>
                <w:lang w:val="da-DK"/>
              </w:rPr>
              <w:t>2</w:t>
            </w:r>
            <w:r w:rsidRPr="00AA499E">
              <w:rPr>
                <w:rFonts w:ascii="Times New Roman" w:hAnsi="Times New Roman"/>
                <w:lang w:val="da-DK"/>
              </w:rPr>
              <w:t>)</w:t>
            </w:r>
          </w:p>
        </w:tc>
        <w:tc>
          <w:tcPr>
            <w:tcW w:w="2606" w:type="dxa"/>
          </w:tcPr>
          <w:p w14:paraId="1D40A24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ANC &lt; 1,0 x 10</w:t>
            </w:r>
            <w:r w:rsidRPr="00AA499E">
              <w:rPr>
                <w:rFonts w:ascii="Times New Roman" w:hAnsi="Times New Roman"/>
                <w:vertAlign w:val="superscript"/>
                <w:lang w:val="da-DK"/>
              </w:rPr>
              <w:t>9</w:t>
            </w:r>
            <w:r w:rsidRPr="00AA499E">
              <w:rPr>
                <w:rFonts w:ascii="Times New Roman" w:hAnsi="Times New Roman"/>
                <w:lang w:val="da-DK"/>
              </w:rPr>
              <w:t>/l og/eller trombocytter &lt; 50 x 10</w:t>
            </w:r>
            <w:r w:rsidRPr="00AA499E">
              <w:rPr>
                <w:rFonts w:ascii="Times New Roman" w:hAnsi="Times New Roman"/>
                <w:vertAlign w:val="superscript"/>
                <w:lang w:val="da-DK"/>
              </w:rPr>
              <w:t>9</w:t>
            </w:r>
            <w:r w:rsidRPr="00AA499E">
              <w:rPr>
                <w:rFonts w:ascii="Times New Roman" w:hAnsi="Times New Roman"/>
                <w:lang w:val="da-DK"/>
              </w:rPr>
              <w:t>/l</w:t>
            </w:r>
          </w:p>
        </w:tc>
        <w:tc>
          <w:tcPr>
            <w:tcW w:w="4335" w:type="dxa"/>
          </w:tcPr>
          <w:p w14:paraId="539E066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Seponer imatinib indtil ANC ≥ 1.5 x 10</w:t>
            </w:r>
            <w:r w:rsidRPr="00AA499E">
              <w:rPr>
                <w:rFonts w:ascii="Times New Roman" w:hAnsi="Times New Roman"/>
                <w:vertAlign w:val="superscript"/>
                <w:lang w:val="da-DK"/>
              </w:rPr>
              <w:t>9</w:t>
            </w:r>
            <w:r w:rsidRPr="00AA499E">
              <w:rPr>
                <w:rFonts w:ascii="Times New Roman" w:hAnsi="Times New Roman"/>
                <w:lang w:val="da-DK"/>
              </w:rPr>
              <w:t>/l og trombocytter ≥ 75 x 10</w:t>
            </w:r>
            <w:r w:rsidRPr="00AA499E">
              <w:rPr>
                <w:rFonts w:ascii="Times New Roman" w:hAnsi="Times New Roman"/>
                <w:vertAlign w:val="superscript"/>
                <w:lang w:val="da-DK"/>
              </w:rPr>
              <w:t>9</w:t>
            </w:r>
            <w:r w:rsidRPr="00AA499E">
              <w:rPr>
                <w:rFonts w:ascii="Times New Roman" w:hAnsi="Times New Roman"/>
                <w:lang w:val="da-DK"/>
              </w:rPr>
              <w:t>/l.</w:t>
            </w:r>
          </w:p>
          <w:p w14:paraId="7068BFB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Genoptag imatinib-behandlingen ved den tidligere dosis (dvs. før svære bivirkninger).</w:t>
            </w:r>
          </w:p>
          <w:p w14:paraId="7D8F939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I tilfælde af recidiverende ANC &lt; 1.0 x 10</w:t>
            </w:r>
            <w:r w:rsidRPr="00AA499E">
              <w:rPr>
                <w:rFonts w:ascii="Times New Roman" w:hAnsi="Times New Roman"/>
                <w:vertAlign w:val="superscript"/>
                <w:lang w:val="da-DK"/>
              </w:rPr>
              <w:t>9</w:t>
            </w:r>
            <w:r w:rsidRPr="00AA499E">
              <w:rPr>
                <w:rFonts w:ascii="Times New Roman" w:hAnsi="Times New Roman"/>
                <w:lang w:val="da-DK"/>
              </w:rPr>
              <w:t>/l  og/eller trombocytter &lt; 50 x 10</w:t>
            </w:r>
            <w:r w:rsidRPr="00AA499E">
              <w:rPr>
                <w:rFonts w:ascii="Times New Roman" w:hAnsi="Times New Roman"/>
                <w:vertAlign w:val="superscript"/>
                <w:lang w:val="da-DK"/>
              </w:rPr>
              <w:t>9</w:t>
            </w:r>
            <w:r w:rsidRPr="00AA499E">
              <w:rPr>
                <w:rFonts w:ascii="Times New Roman" w:hAnsi="Times New Roman"/>
                <w:lang w:val="da-DK"/>
              </w:rPr>
              <w:t>/l, gentag trin 1, og genoptag behandling med imatinib i en reduceret dosis på 260 mg/m</w:t>
            </w:r>
            <w:r w:rsidRPr="00AA499E">
              <w:rPr>
                <w:rFonts w:ascii="Times New Roman" w:hAnsi="Times New Roman"/>
                <w:vertAlign w:val="superscript"/>
                <w:lang w:val="da-DK"/>
              </w:rPr>
              <w:t>2</w:t>
            </w:r>
            <w:r w:rsidRPr="00AA499E">
              <w:rPr>
                <w:rFonts w:ascii="Times New Roman" w:hAnsi="Times New Roman"/>
                <w:lang w:val="da-DK"/>
              </w:rPr>
              <w:t>.</w:t>
            </w:r>
          </w:p>
        </w:tc>
      </w:tr>
      <w:tr w:rsidR="006478AD" w:rsidRPr="00AA499E" w14:paraId="1441A292" w14:textId="77777777">
        <w:tc>
          <w:tcPr>
            <w:tcW w:w="2605" w:type="dxa"/>
          </w:tcPr>
          <w:p w14:paraId="7E0EF3E8" w14:textId="77777777" w:rsidR="00F703A9"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CML i blastkrise </w:t>
            </w:r>
            <w:r w:rsidR="00F703A9" w:rsidRPr="00AA499E">
              <w:rPr>
                <w:rFonts w:ascii="Times New Roman" w:hAnsi="Times New Roman"/>
                <w:lang w:val="da-DK"/>
              </w:rPr>
              <w:t xml:space="preserve">og </w:t>
            </w:r>
          </w:p>
          <w:p w14:paraId="1EB0092A" w14:textId="77777777" w:rsidR="006478AD" w:rsidRPr="00AA499E" w:rsidRDefault="00F703A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Ph+ ALL </w:t>
            </w:r>
            <w:r w:rsidR="00616F3C" w:rsidRPr="00AA499E">
              <w:rPr>
                <w:rFonts w:ascii="Times New Roman" w:hAnsi="Times New Roman"/>
                <w:lang w:val="da-DK"/>
              </w:rPr>
              <w:t>(startdosis 600 mg)</w:t>
            </w:r>
          </w:p>
        </w:tc>
        <w:tc>
          <w:tcPr>
            <w:tcW w:w="2606" w:type="dxa"/>
          </w:tcPr>
          <w:p w14:paraId="625C49B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vertAlign w:val="superscript"/>
                <w:lang w:val="da-DK"/>
              </w:rPr>
              <w:t>a</w:t>
            </w:r>
            <w:r w:rsidRPr="00AA499E">
              <w:rPr>
                <w:rFonts w:ascii="Times New Roman" w:hAnsi="Times New Roman"/>
                <w:lang w:val="da-DK"/>
              </w:rPr>
              <w:t>ANC &lt; 0,5 x 10</w:t>
            </w:r>
            <w:r w:rsidRPr="00AA499E">
              <w:rPr>
                <w:rFonts w:ascii="Times New Roman" w:hAnsi="Times New Roman"/>
                <w:vertAlign w:val="superscript"/>
                <w:lang w:val="da-DK"/>
              </w:rPr>
              <w:t>9</w:t>
            </w:r>
            <w:r w:rsidRPr="00AA499E">
              <w:rPr>
                <w:rFonts w:ascii="Times New Roman" w:hAnsi="Times New Roman"/>
                <w:lang w:val="da-DK"/>
              </w:rPr>
              <w:t>/l og/eller trombocytter &lt; 10 x 10</w:t>
            </w:r>
            <w:r w:rsidRPr="00AA499E">
              <w:rPr>
                <w:rFonts w:ascii="Times New Roman" w:hAnsi="Times New Roman"/>
                <w:vertAlign w:val="superscript"/>
                <w:lang w:val="da-DK"/>
              </w:rPr>
              <w:t>9</w:t>
            </w:r>
            <w:r w:rsidRPr="00AA499E">
              <w:rPr>
                <w:rFonts w:ascii="Times New Roman" w:hAnsi="Times New Roman"/>
                <w:lang w:val="da-DK"/>
              </w:rPr>
              <w:t>/l</w:t>
            </w:r>
          </w:p>
        </w:tc>
        <w:tc>
          <w:tcPr>
            <w:tcW w:w="4335" w:type="dxa"/>
          </w:tcPr>
          <w:p w14:paraId="09854AA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Undersøg om cytopeni er relateret til leukæmi (marv-aspirat eller biopsi).</w:t>
            </w:r>
          </w:p>
          <w:p w14:paraId="598C9EB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Hvis cytopeni ikke er leukæmirelateret, reducér imatinib-dosis til 400 mg.</w:t>
            </w:r>
          </w:p>
          <w:p w14:paraId="02B27E7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Hvis cytopeni vedvarer i 2 uger, reducér dosis yderligere til 300 mg.</w:t>
            </w:r>
          </w:p>
          <w:p w14:paraId="14AB8CB4"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Hvis cytopeni vedvarer i 4 uger og stadig ikke er leukæmirelateret, seponér imatinib-behandling indtil ANC ≥ 1 x 10</w:t>
            </w:r>
            <w:r w:rsidRPr="00AA499E">
              <w:rPr>
                <w:rFonts w:ascii="Times New Roman" w:hAnsi="Times New Roman"/>
                <w:vertAlign w:val="superscript"/>
                <w:lang w:val="da-DK"/>
              </w:rPr>
              <w:t>9</w:t>
            </w:r>
            <w:r w:rsidRPr="00AA499E">
              <w:rPr>
                <w:rFonts w:ascii="Times New Roman" w:hAnsi="Times New Roman"/>
                <w:lang w:val="da-DK"/>
              </w:rPr>
              <w:t>/l og trombocytter ≥ 20 x 10</w:t>
            </w:r>
            <w:r w:rsidRPr="00AA499E">
              <w:rPr>
                <w:rFonts w:ascii="Times New Roman" w:hAnsi="Times New Roman"/>
                <w:vertAlign w:val="superscript"/>
                <w:lang w:val="da-DK"/>
              </w:rPr>
              <w:t>9</w:t>
            </w:r>
            <w:r w:rsidRPr="00AA499E">
              <w:rPr>
                <w:rFonts w:ascii="Times New Roman" w:hAnsi="Times New Roman"/>
                <w:lang w:val="da-DK"/>
              </w:rPr>
              <w:t>/l, og genoptag herefter behandlingen med 300 mg.</w:t>
            </w:r>
          </w:p>
        </w:tc>
      </w:tr>
      <w:tr w:rsidR="006478AD" w:rsidRPr="00AA499E" w14:paraId="657009A8" w14:textId="77777777">
        <w:tc>
          <w:tcPr>
            <w:tcW w:w="2605" w:type="dxa"/>
          </w:tcPr>
          <w:p w14:paraId="350688F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Børn med CML i accelereret fase og blastkrise (startdosis 340 mg/m</w:t>
            </w:r>
            <w:r w:rsidRPr="00AA499E">
              <w:rPr>
                <w:rFonts w:ascii="Times New Roman" w:hAnsi="Times New Roman"/>
                <w:vertAlign w:val="superscript"/>
                <w:lang w:val="da-DK"/>
              </w:rPr>
              <w:t>2</w:t>
            </w:r>
            <w:r w:rsidRPr="00AA499E">
              <w:rPr>
                <w:rFonts w:ascii="Times New Roman" w:hAnsi="Times New Roman"/>
                <w:lang w:val="da-DK"/>
              </w:rPr>
              <w:t>)</w:t>
            </w:r>
          </w:p>
        </w:tc>
        <w:tc>
          <w:tcPr>
            <w:tcW w:w="2606" w:type="dxa"/>
          </w:tcPr>
          <w:p w14:paraId="56C141F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vertAlign w:val="superscript"/>
                <w:lang w:val="da-DK"/>
              </w:rPr>
              <w:t>a</w:t>
            </w:r>
            <w:r w:rsidRPr="00AA499E">
              <w:rPr>
                <w:rFonts w:ascii="Times New Roman" w:hAnsi="Times New Roman"/>
                <w:lang w:val="da-DK"/>
              </w:rPr>
              <w:t>ANC &lt; 0,5 x 10</w:t>
            </w:r>
            <w:r w:rsidRPr="00AA499E">
              <w:rPr>
                <w:rFonts w:ascii="Times New Roman" w:hAnsi="Times New Roman"/>
                <w:vertAlign w:val="superscript"/>
                <w:lang w:val="da-DK"/>
              </w:rPr>
              <w:t>9</w:t>
            </w:r>
            <w:r w:rsidRPr="00AA499E">
              <w:rPr>
                <w:rFonts w:ascii="Times New Roman" w:hAnsi="Times New Roman"/>
                <w:lang w:val="da-DK"/>
              </w:rPr>
              <w:t>/l og/eller trombocytter &lt; 10 x 10</w:t>
            </w:r>
            <w:r w:rsidRPr="00AA499E">
              <w:rPr>
                <w:rFonts w:ascii="Times New Roman" w:hAnsi="Times New Roman"/>
                <w:vertAlign w:val="superscript"/>
                <w:lang w:val="da-DK"/>
              </w:rPr>
              <w:t>9</w:t>
            </w:r>
            <w:r w:rsidRPr="00AA499E">
              <w:rPr>
                <w:rFonts w:ascii="Times New Roman" w:hAnsi="Times New Roman"/>
                <w:lang w:val="da-DK"/>
              </w:rPr>
              <w:t>/l</w:t>
            </w:r>
          </w:p>
        </w:tc>
        <w:tc>
          <w:tcPr>
            <w:tcW w:w="4335" w:type="dxa"/>
          </w:tcPr>
          <w:p w14:paraId="4F0CC9E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Undersøg om cytopeni er relateret til leukæmi (marv-aspirat eller biopsi).</w:t>
            </w:r>
          </w:p>
          <w:p w14:paraId="38AB1BC1"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Hvis cytopeni ikke er leukæmirelateret, reducér imatinib-dosis til 260 mg/m</w:t>
            </w:r>
            <w:r w:rsidRPr="00AA499E">
              <w:rPr>
                <w:rFonts w:ascii="Times New Roman" w:hAnsi="Times New Roman"/>
                <w:vertAlign w:val="superscript"/>
                <w:lang w:val="da-DK"/>
              </w:rPr>
              <w:t>2</w:t>
            </w:r>
            <w:r w:rsidRPr="00AA499E">
              <w:rPr>
                <w:rFonts w:ascii="Times New Roman" w:hAnsi="Times New Roman"/>
                <w:lang w:val="da-DK"/>
              </w:rPr>
              <w:t>.</w:t>
            </w:r>
          </w:p>
          <w:p w14:paraId="17549DB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Hvis cytopeni vedvarer i 2 uger, reducér dosis yderligere til 200 mg/m</w:t>
            </w:r>
            <w:r w:rsidRPr="00AA499E">
              <w:rPr>
                <w:rFonts w:ascii="Times New Roman" w:hAnsi="Times New Roman"/>
                <w:vertAlign w:val="superscript"/>
                <w:lang w:val="da-DK"/>
              </w:rPr>
              <w:t>2</w:t>
            </w:r>
            <w:r w:rsidRPr="00AA499E">
              <w:rPr>
                <w:rFonts w:ascii="Times New Roman" w:hAnsi="Times New Roman"/>
                <w:lang w:val="da-DK"/>
              </w:rPr>
              <w:t>.</w:t>
            </w:r>
          </w:p>
          <w:p w14:paraId="2433772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Hvis cytopeni vedvarer i 4 uger og stadig ikke er leukæmirelateret, seponér imatinib-behandlingen indtil ANC ≥ 1 x 10</w:t>
            </w:r>
            <w:r w:rsidRPr="00AA499E">
              <w:rPr>
                <w:rFonts w:ascii="Times New Roman" w:hAnsi="Times New Roman"/>
                <w:vertAlign w:val="superscript"/>
                <w:lang w:val="da-DK"/>
              </w:rPr>
              <w:t>9</w:t>
            </w:r>
            <w:r w:rsidRPr="00AA499E">
              <w:rPr>
                <w:rFonts w:ascii="Times New Roman" w:hAnsi="Times New Roman"/>
                <w:lang w:val="da-DK"/>
              </w:rPr>
              <w:t>/l og trombocytter 10</w:t>
            </w:r>
            <w:r w:rsidRPr="00AA499E">
              <w:rPr>
                <w:rFonts w:ascii="Times New Roman" w:hAnsi="Times New Roman"/>
                <w:vertAlign w:val="superscript"/>
                <w:lang w:val="da-DK"/>
              </w:rPr>
              <w:t>9</w:t>
            </w:r>
            <w:r w:rsidRPr="00AA499E">
              <w:rPr>
                <w:rFonts w:ascii="Times New Roman" w:hAnsi="Times New Roman"/>
                <w:lang w:val="da-DK"/>
              </w:rPr>
              <w:t>/l, og genoptag behandling med 200 mg/m</w:t>
            </w:r>
            <w:r w:rsidRPr="00AA499E">
              <w:rPr>
                <w:rFonts w:ascii="Times New Roman" w:hAnsi="Times New Roman"/>
                <w:vertAlign w:val="superscript"/>
                <w:lang w:val="da-DK"/>
              </w:rPr>
              <w:t>2</w:t>
            </w:r>
            <w:r w:rsidRPr="00AA499E">
              <w:rPr>
                <w:rFonts w:ascii="Times New Roman" w:hAnsi="Times New Roman"/>
                <w:lang w:val="da-DK"/>
              </w:rPr>
              <w:t>.</w:t>
            </w:r>
          </w:p>
        </w:tc>
      </w:tr>
      <w:tr w:rsidR="00F703A9" w:rsidRPr="00AA499E" w14:paraId="2C07A6E3" w14:textId="77777777">
        <w:tc>
          <w:tcPr>
            <w:tcW w:w="2605" w:type="dxa"/>
          </w:tcPr>
          <w:p w14:paraId="162F6C18" w14:textId="77777777" w:rsidR="00F703A9" w:rsidRPr="00AA499E" w:rsidRDefault="00F703A9" w:rsidP="00F703A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DFSP (ved 800 mg dosis)</w:t>
            </w:r>
          </w:p>
        </w:tc>
        <w:tc>
          <w:tcPr>
            <w:tcW w:w="2606" w:type="dxa"/>
          </w:tcPr>
          <w:p w14:paraId="34528413" w14:textId="77777777" w:rsidR="00F703A9" w:rsidRPr="00AA499E" w:rsidRDefault="00F703A9" w:rsidP="00F703A9">
            <w:pPr>
              <w:pStyle w:val="Default"/>
              <w:rPr>
                <w:sz w:val="22"/>
                <w:szCs w:val="22"/>
                <w:lang w:val="da-DK"/>
              </w:rPr>
            </w:pPr>
            <w:r w:rsidRPr="00AA499E">
              <w:rPr>
                <w:sz w:val="22"/>
                <w:szCs w:val="22"/>
                <w:lang w:val="da-DK"/>
              </w:rPr>
              <w:t>ANC &lt;1,0 x 10</w:t>
            </w:r>
            <w:r w:rsidRPr="00AA499E">
              <w:rPr>
                <w:sz w:val="22"/>
                <w:szCs w:val="22"/>
                <w:vertAlign w:val="superscript"/>
                <w:lang w:val="da-DK"/>
              </w:rPr>
              <w:t>9</w:t>
            </w:r>
            <w:r w:rsidRPr="00AA499E">
              <w:rPr>
                <w:sz w:val="22"/>
                <w:szCs w:val="22"/>
                <w:lang w:val="da-DK"/>
              </w:rPr>
              <w:t xml:space="preserve">/l </w:t>
            </w:r>
          </w:p>
          <w:p w14:paraId="5CA19EF3" w14:textId="77777777" w:rsidR="00F703A9" w:rsidRPr="00AA499E" w:rsidRDefault="00F703A9" w:rsidP="00F703A9">
            <w:pPr>
              <w:pStyle w:val="Default"/>
              <w:rPr>
                <w:sz w:val="22"/>
                <w:szCs w:val="22"/>
                <w:lang w:val="da-DK"/>
              </w:rPr>
            </w:pPr>
            <w:r w:rsidRPr="00AA499E">
              <w:rPr>
                <w:sz w:val="22"/>
                <w:szCs w:val="22"/>
                <w:lang w:val="da-DK"/>
              </w:rPr>
              <w:t>og/eller</w:t>
            </w:r>
          </w:p>
          <w:p w14:paraId="3F5BA625" w14:textId="77777777" w:rsidR="00F703A9" w:rsidRPr="00AA499E" w:rsidRDefault="00F703A9" w:rsidP="00F703A9">
            <w:pPr>
              <w:autoSpaceDE w:val="0"/>
              <w:autoSpaceDN w:val="0"/>
              <w:adjustRightInd w:val="0"/>
              <w:spacing w:after="0" w:line="240" w:lineRule="auto"/>
              <w:rPr>
                <w:rFonts w:ascii="Times New Roman" w:hAnsi="Times New Roman"/>
                <w:vertAlign w:val="superscript"/>
                <w:lang w:val="da-DK"/>
              </w:rPr>
            </w:pPr>
            <w:r w:rsidRPr="00AA499E">
              <w:rPr>
                <w:rFonts w:ascii="Times New Roman" w:hAnsi="Times New Roman"/>
                <w:lang w:val="da-DK"/>
              </w:rPr>
              <w:t>trombocytter &lt;50 x 10</w:t>
            </w:r>
            <w:r w:rsidRPr="00AA499E">
              <w:rPr>
                <w:rFonts w:ascii="Times New Roman" w:hAnsi="Times New Roman"/>
                <w:vertAlign w:val="superscript"/>
                <w:lang w:val="da-DK"/>
              </w:rPr>
              <w:t>9</w:t>
            </w:r>
            <w:r w:rsidRPr="00AA499E">
              <w:rPr>
                <w:rFonts w:ascii="Times New Roman" w:hAnsi="Times New Roman"/>
                <w:lang w:val="da-DK"/>
              </w:rPr>
              <w:t>/l</w:t>
            </w:r>
          </w:p>
        </w:tc>
        <w:tc>
          <w:tcPr>
            <w:tcW w:w="4335" w:type="dxa"/>
          </w:tcPr>
          <w:p w14:paraId="3A01B96D" w14:textId="77777777" w:rsidR="00F703A9" w:rsidRPr="00AA499E" w:rsidRDefault="00F703A9" w:rsidP="00F703A9">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Seponer imatinib indtil ANC ≥ 1.5 x 10</w:t>
            </w:r>
            <w:r w:rsidRPr="00AA499E">
              <w:rPr>
                <w:rFonts w:ascii="Times New Roman" w:hAnsi="Times New Roman"/>
                <w:vertAlign w:val="superscript"/>
                <w:lang w:val="da-DK"/>
              </w:rPr>
              <w:t>9</w:t>
            </w:r>
            <w:r w:rsidRPr="00AA499E">
              <w:rPr>
                <w:rFonts w:ascii="Times New Roman" w:hAnsi="Times New Roman"/>
                <w:lang w:val="da-DK"/>
              </w:rPr>
              <w:t>/l og trombocytter ≥ 75 x 10</w:t>
            </w:r>
            <w:r w:rsidRPr="00AA499E">
              <w:rPr>
                <w:rFonts w:ascii="Times New Roman" w:hAnsi="Times New Roman"/>
                <w:vertAlign w:val="superscript"/>
                <w:lang w:val="da-DK"/>
              </w:rPr>
              <w:t>9</w:t>
            </w:r>
            <w:r w:rsidRPr="00AA499E">
              <w:rPr>
                <w:rFonts w:ascii="Times New Roman" w:hAnsi="Times New Roman"/>
                <w:lang w:val="da-DK"/>
              </w:rPr>
              <w:t>/l.</w:t>
            </w:r>
          </w:p>
          <w:p w14:paraId="6F335839" w14:textId="77777777" w:rsidR="00F703A9" w:rsidRPr="00AA499E" w:rsidRDefault="00F703A9" w:rsidP="00F703A9">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 xml:space="preserve">Genoptag behandlingen </w:t>
            </w:r>
            <w:r w:rsidR="00065874" w:rsidRPr="00AA499E">
              <w:rPr>
                <w:rFonts w:ascii="Times New Roman" w:hAnsi="Times New Roman"/>
                <w:lang w:val="da-DK"/>
              </w:rPr>
              <w:t>med imatinib 600 mg.</w:t>
            </w:r>
          </w:p>
          <w:p w14:paraId="1FCC6371" w14:textId="77777777" w:rsidR="00065874" w:rsidRPr="00AA499E" w:rsidRDefault="00F703A9" w:rsidP="00065874">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r>
            <w:r w:rsidR="00065874" w:rsidRPr="00AA499E">
              <w:rPr>
                <w:rFonts w:ascii="Times New Roman" w:hAnsi="Times New Roman"/>
                <w:lang w:val="da-DK"/>
              </w:rPr>
              <w:t>I tilfælde af tilbagevenden af ANC</w:t>
            </w:r>
          </w:p>
          <w:p w14:paraId="7F0FACB4" w14:textId="77777777" w:rsidR="00065874" w:rsidRPr="00AA499E" w:rsidRDefault="00065874" w:rsidP="00063A26">
            <w:pPr>
              <w:autoSpaceDE w:val="0"/>
              <w:autoSpaceDN w:val="0"/>
              <w:adjustRightInd w:val="0"/>
              <w:spacing w:after="0" w:line="240" w:lineRule="auto"/>
              <w:ind w:left="567" w:firstLine="34"/>
              <w:rPr>
                <w:rFonts w:ascii="Times New Roman" w:hAnsi="Times New Roman"/>
                <w:lang w:val="da-DK"/>
              </w:rPr>
            </w:pPr>
            <w:r w:rsidRPr="00AA499E">
              <w:rPr>
                <w:rFonts w:ascii="Times New Roman" w:hAnsi="Times New Roman"/>
                <w:lang w:val="da-DK"/>
              </w:rPr>
              <w:t>&lt;1,0 x 10</w:t>
            </w:r>
            <w:r w:rsidRPr="00AA499E">
              <w:rPr>
                <w:rFonts w:ascii="Times New Roman" w:hAnsi="Times New Roman"/>
                <w:vertAlign w:val="superscript"/>
                <w:lang w:val="da-DK"/>
              </w:rPr>
              <w:t>9</w:t>
            </w:r>
            <w:r w:rsidRPr="00AA499E">
              <w:rPr>
                <w:rFonts w:ascii="Times New Roman" w:hAnsi="Times New Roman"/>
                <w:lang w:val="da-DK"/>
              </w:rPr>
              <w:t>/l og/eller trombocytter</w:t>
            </w:r>
          </w:p>
          <w:p w14:paraId="1761809C" w14:textId="77777777" w:rsidR="00065874" w:rsidRPr="00AA499E" w:rsidRDefault="00065874" w:rsidP="00063A26">
            <w:pPr>
              <w:autoSpaceDE w:val="0"/>
              <w:autoSpaceDN w:val="0"/>
              <w:adjustRightInd w:val="0"/>
              <w:spacing w:after="0" w:line="240" w:lineRule="auto"/>
              <w:ind w:left="567" w:firstLine="34"/>
              <w:rPr>
                <w:rFonts w:ascii="Times New Roman" w:hAnsi="Times New Roman"/>
                <w:lang w:val="da-DK"/>
              </w:rPr>
            </w:pPr>
            <w:r w:rsidRPr="00AA499E">
              <w:rPr>
                <w:rFonts w:ascii="Times New Roman" w:hAnsi="Times New Roman"/>
                <w:lang w:val="da-DK"/>
              </w:rPr>
              <w:t>&lt;50 x 10</w:t>
            </w:r>
            <w:r w:rsidRPr="00AA499E">
              <w:rPr>
                <w:rFonts w:ascii="Times New Roman" w:hAnsi="Times New Roman"/>
                <w:vertAlign w:val="superscript"/>
                <w:lang w:val="da-DK"/>
              </w:rPr>
              <w:t>9</w:t>
            </w:r>
            <w:r w:rsidRPr="00AA499E">
              <w:rPr>
                <w:rFonts w:ascii="Times New Roman" w:hAnsi="Times New Roman"/>
                <w:lang w:val="da-DK"/>
              </w:rPr>
              <w:t>/l, gentages trin 1 og imatinib reintroduceres med nedsat dosering på</w:t>
            </w:r>
          </w:p>
          <w:p w14:paraId="128FA708" w14:textId="77777777" w:rsidR="00F703A9" w:rsidRPr="00AA499E" w:rsidRDefault="00065874" w:rsidP="00063A26">
            <w:pPr>
              <w:autoSpaceDE w:val="0"/>
              <w:autoSpaceDN w:val="0"/>
              <w:adjustRightInd w:val="0"/>
              <w:spacing w:after="0" w:line="240" w:lineRule="auto"/>
              <w:ind w:left="567" w:firstLine="34"/>
              <w:rPr>
                <w:rFonts w:ascii="Times New Roman" w:hAnsi="Times New Roman"/>
                <w:lang w:val="da-DK"/>
              </w:rPr>
            </w:pPr>
            <w:r w:rsidRPr="00AA499E">
              <w:rPr>
                <w:rFonts w:ascii="Times New Roman" w:hAnsi="Times New Roman"/>
                <w:lang w:val="da-DK"/>
              </w:rPr>
              <w:t>400 mg.</w:t>
            </w:r>
          </w:p>
        </w:tc>
      </w:tr>
      <w:tr w:rsidR="006478AD" w:rsidRPr="00AA499E" w14:paraId="3A3B8CB5" w14:textId="77777777">
        <w:tc>
          <w:tcPr>
            <w:tcW w:w="9546" w:type="dxa"/>
            <w:gridSpan w:val="3"/>
          </w:tcPr>
          <w:p w14:paraId="3C9A2928" w14:textId="77777777" w:rsidR="006478AD" w:rsidRPr="00AA499E" w:rsidRDefault="00616F3C">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ANC = fuldstændigt antal neutrofilocytter</w:t>
            </w:r>
          </w:p>
          <w:p w14:paraId="0129C372" w14:textId="77777777" w:rsidR="006478AD" w:rsidRPr="00AA499E" w:rsidRDefault="00616F3C">
            <w:pPr>
              <w:keepNext/>
              <w:autoSpaceDE w:val="0"/>
              <w:autoSpaceDN w:val="0"/>
              <w:adjustRightInd w:val="0"/>
              <w:spacing w:after="0" w:line="240" w:lineRule="auto"/>
              <w:rPr>
                <w:rFonts w:ascii="Times New Roman" w:hAnsi="Times New Roman"/>
                <w:lang w:val="da-DK"/>
              </w:rPr>
            </w:pPr>
            <w:r w:rsidRPr="00AA499E">
              <w:rPr>
                <w:rFonts w:ascii="Times New Roman" w:hAnsi="Times New Roman"/>
                <w:vertAlign w:val="superscript"/>
                <w:lang w:val="da-DK"/>
              </w:rPr>
              <w:t>a</w:t>
            </w:r>
            <w:r w:rsidRPr="00AA499E">
              <w:rPr>
                <w:rFonts w:ascii="Times New Roman" w:hAnsi="Times New Roman"/>
                <w:lang w:val="da-DK"/>
              </w:rPr>
              <w:t xml:space="preserve"> opstået efter mindst 1 måneds behandling</w:t>
            </w:r>
          </w:p>
        </w:tc>
      </w:tr>
    </w:tbl>
    <w:p w14:paraId="1991E09C" w14:textId="77777777" w:rsidR="006478AD" w:rsidRPr="00AA499E" w:rsidRDefault="006478AD">
      <w:pPr>
        <w:autoSpaceDE w:val="0"/>
        <w:autoSpaceDN w:val="0"/>
        <w:adjustRightInd w:val="0"/>
        <w:spacing w:after="0" w:line="240" w:lineRule="auto"/>
        <w:rPr>
          <w:rFonts w:ascii="Times New Roman" w:hAnsi="Times New Roman"/>
          <w:lang w:val="da-DK"/>
        </w:rPr>
      </w:pPr>
    </w:p>
    <w:p w14:paraId="0C629259" w14:textId="77777777" w:rsidR="006478AD" w:rsidRPr="00AA499E" w:rsidRDefault="00616F3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Specielle populationer</w:t>
      </w:r>
    </w:p>
    <w:p w14:paraId="3C95135C" w14:textId="77777777" w:rsidR="004222D6" w:rsidRPr="00AA499E" w:rsidRDefault="004222D6" w:rsidP="00E925D7">
      <w:pPr>
        <w:autoSpaceDE w:val="0"/>
        <w:autoSpaceDN w:val="0"/>
        <w:adjustRightInd w:val="0"/>
        <w:spacing w:after="0" w:line="240" w:lineRule="auto"/>
        <w:rPr>
          <w:rFonts w:ascii="Times New Roman" w:hAnsi="Times New Roman"/>
          <w:i/>
          <w:iCs/>
          <w:u w:val="single"/>
          <w:lang w:val="da-DK"/>
        </w:rPr>
      </w:pPr>
    </w:p>
    <w:p w14:paraId="3E147EA6" w14:textId="77777777" w:rsidR="00E925D7" w:rsidRPr="00AA499E" w:rsidRDefault="00616F3C" w:rsidP="00E925D7">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Anvendelse til børn:</w:t>
      </w:r>
      <w:r w:rsidRPr="00AA499E">
        <w:rPr>
          <w:rFonts w:ascii="Times New Roman" w:hAnsi="Times New Roman"/>
          <w:lang w:val="da-DK"/>
        </w:rPr>
        <w:t xml:space="preserve"> Der er ingen erfaring med behandling af børn under 2 år med CML</w:t>
      </w:r>
      <w:r w:rsidR="008C2AF1" w:rsidRPr="00AA499E">
        <w:rPr>
          <w:rFonts w:ascii="Times New Roman" w:hAnsi="Times New Roman"/>
          <w:lang w:val="da-DK"/>
        </w:rPr>
        <w:t xml:space="preserve"> og børn under 1 år med Ph+ ALL</w:t>
      </w:r>
      <w:r w:rsidRPr="00AA499E">
        <w:rPr>
          <w:rFonts w:ascii="Times New Roman" w:hAnsi="Times New Roman"/>
          <w:lang w:val="da-DK"/>
        </w:rPr>
        <w:t xml:space="preserve"> (se pkt. 5.1).</w:t>
      </w:r>
      <w:r w:rsidR="00E925D7" w:rsidRPr="00AA499E">
        <w:rPr>
          <w:rFonts w:ascii="Times New Roman" w:hAnsi="Times New Roman"/>
          <w:spacing w:val="-1"/>
          <w:lang w:val="da-DK" w:eastAsia="sv-SE"/>
        </w:rPr>
        <w:t xml:space="preserve"> </w:t>
      </w:r>
      <w:r w:rsidR="00E925D7" w:rsidRPr="00AA499E">
        <w:rPr>
          <w:rFonts w:ascii="Times New Roman" w:hAnsi="Times New Roman"/>
          <w:lang w:val="da-DK"/>
        </w:rPr>
        <w:t>Der er meget begrænset erfaring hos børn med MDS/MPD,</w:t>
      </w:r>
      <w:r w:rsidR="00E925D7" w:rsidRPr="00AA499E">
        <w:rPr>
          <w:rFonts w:ascii="Times New Roman" w:hAnsi="Times New Roman"/>
          <w:color w:val="000000"/>
          <w:lang w:val="da-DK" w:eastAsia="sv-SE"/>
        </w:rPr>
        <w:t xml:space="preserve"> </w:t>
      </w:r>
      <w:r w:rsidR="00E925D7" w:rsidRPr="00AA499E">
        <w:rPr>
          <w:rFonts w:ascii="Times New Roman" w:hAnsi="Times New Roman"/>
          <w:lang w:val="da-DK"/>
        </w:rPr>
        <w:t>DFSP, og HES/CEL.</w:t>
      </w:r>
    </w:p>
    <w:p w14:paraId="334B720F" w14:textId="77777777" w:rsidR="00036AF0" w:rsidRPr="00AA499E" w:rsidRDefault="00036AF0">
      <w:pPr>
        <w:autoSpaceDE w:val="0"/>
        <w:autoSpaceDN w:val="0"/>
        <w:adjustRightInd w:val="0"/>
        <w:spacing w:after="0" w:line="240" w:lineRule="auto"/>
        <w:rPr>
          <w:rFonts w:ascii="Times New Roman" w:hAnsi="Times New Roman"/>
          <w:lang w:val="da-DK"/>
        </w:rPr>
      </w:pPr>
    </w:p>
    <w:p w14:paraId="7063756D" w14:textId="77777777" w:rsidR="00036AF0" w:rsidRPr="00AA499E" w:rsidRDefault="00036AF0">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Imatinibs sikkerhed og virkning hos børn</w:t>
      </w:r>
      <w:r w:rsidR="009A46E5" w:rsidRPr="00AA499E">
        <w:rPr>
          <w:rFonts w:ascii="Times New Roman" w:hAnsi="Times New Roman"/>
          <w:lang w:val="da-DK"/>
        </w:rPr>
        <w:t xml:space="preserve"> </w:t>
      </w:r>
      <w:r w:rsidRPr="00AA499E">
        <w:rPr>
          <w:rFonts w:ascii="Times New Roman" w:hAnsi="Times New Roman"/>
          <w:lang w:val="da-DK"/>
        </w:rPr>
        <w:t>under 18 år med MDS/MPD, DFSP og HES/CEL er ikke klarlagt i kliniske studier. De foreliggende publicerede data er opsummeret i pkt. 5.1, men der kan ikke gives nogen anbefalinger vedrørende dosering.</w:t>
      </w:r>
    </w:p>
    <w:p w14:paraId="329CB77B" w14:textId="77777777" w:rsidR="006478AD" w:rsidRPr="00AA499E" w:rsidRDefault="006478AD">
      <w:pPr>
        <w:autoSpaceDE w:val="0"/>
        <w:autoSpaceDN w:val="0"/>
        <w:adjustRightInd w:val="0"/>
        <w:spacing w:after="0" w:line="240" w:lineRule="auto"/>
        <w:rPr>
          <w:rFonts w:ascii="Times New Roman" w:hAnsi="Times New Roman"/>
          <w:lang w:val="da-DK"/>
        </w:rPr>
      </w:pPr>
    </w:p>
    <w:p w14:paraId="4137BE4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Leverinsufficiens:</w:t>
      </w:r>
      <w:r w:rsidRPr="00AA499E">
        <w:rPr>
          <w:rFonts w:ascii="Times New Roman" w:hAnsi="Times New Roman"/>
          <w:lang w:val="da-DK"/>
        </w:rPr>
        <w:t xml:space="preserve"> Imatinib metaboliseres primært i leveren. Patienter med mild, moderat eller svær nedsat leverfunktion bør gives den mindste anbefalede dosis på 400 mg daglig. Dosis kan reduceres ved intolerance (se pkt. 4.4, 4.8 og 5.2).</w:t>
      </w:r>
    </w:p>
    <w:p w14:paraId="128B8668" w14:textId="77777777" w:rsidR="006478AD" w:rsidRPr="00AA499E" w:rsidRDefault="006478AD">
      <w:pPr>
        <w:autoSpaceDE w:val="0"/>
        <w:autoSpaceDN w:val="0"/>
        <w:adjustRightInd w:val="0"/>
        <w:spacing w:after="0" w:line="240" w:lineRule="auto"/>
        <w:rPr>
          <w:rFonts w:ascii="Times New Roman" w:hAnsi="Times New Roman"/>
          <w:lang w:val="da-DK"/>
        </w:rPr>
      </w:pPr>
    </w:p>
    <w:p w14:paraId="0DB00AB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Klassificering af nedsat leverfunktion:</w:t>
      </w:r>
    </w:p>
    <w:p w14:paraId="3598CF06"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2"/>
        <w:gridCol w:w="5244"/>
      </w:tblGrid>
      <w:tr w:rsidR="006478AD" w:rsidRPr="00AA499E" w14:paraId="0E137586" w14:textId="77777777">
        <w:tc>
          <w:tcPr>
            <w:tcW w:w="4219" w:type="dxa"/>
          </w:tcPr>
          <w:p w14:paraId="424AF54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Nedsat leverfunktion</w:t>
            </w:r>
          </w:p>
        </w:tc>
        <w:tc>
          <w:tcPr>
            <w:tcW w:w="5327" w:type="dxa"/>
          </w:tcPr>
          <w:p w14:paraId="50B0149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Leverfunktionstest</w:t>
            </w:r>
          </w:p>
        </w:tc>
      </w:tr>
      <w:tr w:rsidR="006478AD" w:rsidRPr="00AA499E" w14:paraId="34A0585E" w14:textId="77777777">
        <w:tc>
          <w:tcPr>
            <w:tcW w:w="4219" w:type="dxa"/>
          </w:tcPr>
          <w:p w14:paraId="1B9048C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Mild</w:t>
            </w:r>
          </w:p>
        </w:tc>
        <w:tc>
          <w:tcPr>
            <w:tcW w:w="5327" w:type="dxa"/>
          </w:tcPr>
          <w:p w14:paraId="0944F5D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Total bilirubin: = 1,5 ULN</w:t>
            </w:r>
          </w:p>
          <w:p w14:paraId="359873D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ASAT: &gt;ULN (kan være normal eller &lt;ULN hvis total bilirubin er &gt;ULN)</w:t>
            </w:r>
          </w:p>
        </w:tc>
      </w:tr>
      <w:tr w:rsidR="006478AD" w:rsidRPr="00AA499E" w14:paraId="280B2513" w14:textId="77777777">
        <w:tc>
          <w:tcPr>
            <w:tcW w:w="4219" w:type="dxa"/>
          </w:tcPr>
          <w:p w14:paraId="066AEB8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Moderat</w:t>
            </w:r>
          </w:p>
        </w:tc>
        <w:tc>
          <w:tcPr>
            <w:tcW w:w="5327" w:type="dxa"/>
          </w:tcPr>
          <w:p w14:paraId="4ED9C08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Total bilirubin: &gt;1,5-3,0 ULN</w:t>
            </w:r>
            <w:r w:rsidRPr="00AA499E">
              <w:rPr>
                <w:rFonts w:ascii="Times New Roman" w:hAnsi="Times New Roman"/>
                <w:lang w:val="da-DK"/>
              </w:rPr>
              <w:noBreakHyphen/>
            </w:r>
          </w:p>
          <w:p w14:paraId="12BAEC6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ASAT: alt</w:t>
            </w:r>
          </w:p>
        </w:tc>
      </w:tr>
      <w:tr w:rsidR="006478AD" w:rsidRPr="00AA499E" w14:paraId="29AD078C" w14:textId="77777777">
        <w:tc>
          <w:tcPr>
            <w:tcW w:w="4219" w:type="dxa"/>
          </w:tcPr>
          <w:p w14:paraId="4E9A099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Svær</w:t>
            </w:r>
          </w:p>
        </w:tc>
        <w:tc>
          <w:tcPr>
            <w:tcW w:w="5327" w:type="dxa"/>
          </w:tcPr>
          <w:p w14:paraId="066ECED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Total bilirubin: &gt;310 ULN</w:t>
            </w:r>
            <w:r w:rsidRPr="00AA499E">
              <w:rPr>
                <w:rFonts w:ascii="Times New Roman" w:hAnsi="Times New Roman"/>
                <w:lang w:val="da-DK"/>
              </w:rPr>
              <w:noBreakHyphen/>
            </w:r>
          </w:p>
          <w:p w14:paraId="6401873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ASAT: alt</w:t>
            </w:r>
          </w:p>
        </w:tc>
      </w:tr>
    </w:tbl>
    <w:p w14:paraId="6E075308" w14:textId="77777777" w:rsidR="006478AD" w:rsidRPr="00AA499E" w:rsidRDefault="006478AD">
      <w:pPr>
        <w:autoSpaceDE w:val="0"/>
        <w:autoSpaceDN w:val="0"/>
        <w:adjustRightInd w:val="0"/>
        <w:spacing w:after="0" w:line="240" w:lineRule="auto"/>
        <w:rPr>
          <w:rFonts w:ascii="Times New Roman" w:hAnsi="Times New Roman"/>
          <w:lang w:val="da-DK"/>
        </w:rPr>
      </w:pPr>
    </w:p>
    <w:p w14:paraId="2A095D8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ULN = laboratoriets øvre normalgrænse</w:t>
      </w:r>
    </w:p>
    <w:p w14:paraId="4456EFF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ASAT = aspartataminotransferase</w:t>
      </w:r>
    </w:p>
    <w:p w14:paraId="5640DFB3" w14:textId="77777777" w:rsidR="006478AD" w:rsidRPr="00AA499E" w:rsidRDefault="006478AD">
      <w:pPr>
        <w:autoSpaceDE w:val="0"/>
        <w:autoSpaceDN w:val="0"/>
        <w:adjustRightInd w:val="0"/>
        <w:spacing w:after="0" w:line="240" w:lineRule="auto"/>
        <w:rPr>
          <w:rFonts w:ascii="Times New Roman" w:hAnsi="Times New Roman"/>
          <w:lang w:val="da-DK"/>
        </w:rPr>
      </w:pPr>
    </w:p>
    <w:p w14:paraId="11D2B15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lang w:val="da-DK"/>
        </w:rPr>
        <w:t>Renal insufficiency:</w:t>
      </w:r>
      <w:r w:rsidRPr="00AA499E">
        <w:rPr>
          <w:rFonts w:ascii="Times New Roman" w:hAnsi="Times New Roman"/>
          <w:lang w:val="da-DK"/>
        </w:rPr>
        <w:t xml:space="preserve"> Patienter med  nedsat nyrefunktion</w:t>
      </w:r>
      <w:r w:rsidR="00BF1C4C" w:rsidRPr="00AA499E">
        <w:rPr>
          <w:rFonts w:ascii="Times New Roman" w:hAnsi="Times New Roman"/>
          <w:lang w:val="da-DK"/>
        </w:rPr>
        <w:t xml:space="preserve"> eller</w:t>
      </w:r>
      <w:r w:rsidRPr="00AA499E">
        <w:rPr>
          <w:rFonts w:ascii="Times New Roman" w:hAnsi="Times New Roman"/>
          <w:lang w:val="da-DK"/>
        </w:rPr>
        <w:t xml:space="preserve"> </w:t>
      </w:r>
      <w:r w:rsidR="00BF1C4C" w:rsidRPr="00AA499E">
        <w:rPr>
          <w:rFonts w:ascii="Times New Roman" w:hAnsi="Times New Roman"/>
          <w:color w:val="000000"/>
          <w:lang w:val="da-DK"/>
        </w:rPr>
        <w:t xml:space="preserve">i dialyse </w:t>
      </w:r>
      <w:r w:rsidRPr="00AA499E">
        <w:rPr>
          <w:rFonts w:ascii="Times New Roman" w:hAnsi="Times New Roman"/>
          <w:lang w:val="da-DK"/>
        </w:rPr>
        <w:t>bør gives den mindste anbefalede dosis</w:t>
      </w:r>
      <w:r w:rsidR="00BF1C4C" w:rsidRPr="00AA499E">
        <w:rPr>
          <w:rFonts w:ascii="Times New Roman" w:hAnsi="Times New Roman"/>
          <w:lang w:val="da-DK"/>
        </w:rPr>
        <w:t xml:space="preserve"> </w:t>
      </w:r>
      <w:r w:rsidR="00BF1C4C" w:rsidRPr="00AA499E">
        <w:rPr>
          <w:rFonts w:ascii="Times New Roman" w:hAnsi="Times New Roman"/>
          <w:color w:val="000000"/>
          <w:lang w:val="da-DK"/>
        </w:rPr>
        <w:t>på 400 mg daglig</w:t>
      </w:r>
      <w:r w:rsidRPr="00AA499E">
        <w:rPr>
          <w:rFonts w:ascii="Times New Roman" w:hAnsi="Times New Roman"/>
          <w:lang w:val="da-DK"/>
        </w:rPr>
        <w:t xml:space="preserve"> som startdosis. Forsigtighed anbefales dog hos disse patienter. Dosis kan reduceres, hvis den ikke tolereres. Hvis dosis tolereres, kan den øges ved manglede effekt (se pkt. 4.4 og 5.2).</w:t>
      </w:r>
      <w:r w:rsidRPr="00AA499E">
        <w:rPr>
          <w:rFonts w:ascii="Times New Roman" w:hAnsi="Times New Roman"/>
          <w:lang w:val="da-DK"/>
        </w:rPr>
        <w:noBreakHyphen/>
      </w:r>
    </w:p>
    <w:p w14:paraId="5AEB26BC" w14:textId="77777777" w:rsidR="006478AD" w:rsidRPr="00AA499E" w:rsidRDefault="006478AD">
      <w:pPr>
        <w:autoSpaceDE w:val="0"/>
        <w:autoSpaceDN w:val="0"/>
        <w:adjustRightInd w:val="0"/>
        <w:spacing w:after="0" w:line="240" w:lineRule="auto"/>
        <w:rPr>
          <w:rFonts w:ascii="Times New Roman" w:hAnsi="Times New Roman"/>
          <w:lang w:val="da-DK"/>
        </w:rPr>
      </w:pPr>
    </w:p>
    <w:p w14:paraId="0A39CDF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lang w:val="da-DK"/>
        </w:rPr>
        <w:t xml:space="preserve">Ældre </w:t>
      </w:r>
      <w:r w:rsidR="009A46E5" w:rsidRPr="00AA499E">
        <w:rPr>
          <w:rFonts w:ascii="Times New Roman" w:hAnsi="Times New Roman"/>
          <w:i/>
          <w:lang w:val="da-DK"/>
        </w:rPr>
        <w:t>patienter</w:t>
      </w:r>
      <w:r w:rsidRPr="00AA499E">
        <w:rPr>
          <w:rFonts w:ascii="Times New Roman" w:hAnsi="Times New Roman"/>
          <w:i/>
          <w:lang w:val="da-DK"/>
        </w:rPr>
        <w:t>:</w:t>
      </w:r>
      <w:r w:rsidRPr="00AA499E">
        <w:rPr>
          <w:rFonts w:ascii="Times New Roman" w:hAnsi="Times New Roman"/>
          <w:lang w:val="da-DK"/>
        </w:rPr>
        <w:t xml:space="preserve"> Imatinibs farmakokinetik er ikke specifikt undersøgt hos ældre. Der er ikke set signifikante aldersrelaterede farmakokinetiske forskelle hos voksne patienter i kliniske afprøvninger, hvor mere end 20% patienter af de inkluderede patienter var over 65 år. Specifik dosisjustering er ikke nødvendig til ældre patienter.</w:t>
      </w:r>
    </w:p>
    <w:p w14:paraId="66A05EFD" w14:textId="77777777" w:rsidR="006478AD" w:rsidRPr="00AA499E" w:rsidRDefault="006478AD">
      <w:pPr>
        <w:autoSpaceDE w:val="0"/>
        <w:autoSpaceDN w:val="0"/>
        <w:adjustRightInd w:val="0"/>
        <w:spacing w:after="0" w:line="240" w:lineRule="auto"/>
        <w:rPr>
          <w:rFonts w:ascii="Times New Roman" w:hAnsi="Times New Roman"/>
          <w:lang w:val="da-DK"/>
        </w:rPr>
      </w:pPr>
    </w:p>
    <w:p w14:paraId="31690852"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Administration</w:t>
      </w:r>
    </w:p>
    <w:p w14:paraId="257107A9" w14:textId="77777777" w:rsidR="006478AD" w:rsidRPr="00AA499E" w:rsidRDefault="006478AD">
      <w:pPr>
        <w:autoSpaceDE w:val="0"/>
        <w:autoSpaceDN w:val="0"/>
        <w:adjustRightInd w:val="0"/>
        <w:spacing w:after="0" w:line="240" w:lineRule="auto"/>
        <w:rPr>
          <w:rFonts w:ascii="Times New Roman" w:hAnsi="Times New Roman"/>
          <w:u w:val="single"/>
          <w:lang w:val="da-DK"/>
        </w:rPr>
      </w:pPr>
    </w:p>
    <w:p w14:paraId="7C3F980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ordinerede dosis bør administreres oralt sammen med et måltid og et stort glas vand for at minimere risikoen for gastrointestinale irritationer. Doser på 400 mg og 600 mg bør administreres 1 gang daglig, mens daglige doser på 800 mg bør administreres som 400 mg 2 gange daglig, én dosis om morgnen og én dosis om aftenen. </w:t>
      </w:r>
    </w:p>
    <w:p w14:paraId="2EB79F15" w14:textId="77777777" w:rsidR="006478AD" w:rsidRPr="00AA499E" w:rsidRDefault="006478AD">
      <w:pPr>
        <w:autoSpaceDE w:val="0"/>
        <w:autoSpaceDN w:val="0"/>
        <w:adjustRightInd w:val="0"/>
        <w:spacing w:after="0" w:line="240" w:lineRule="auto"/>
        <w:rPr>
          <w:rFonts w:ascii="Times New Roman" w:hAnsi="Times New Roman"/>
          <w:highlight w:val="lightGray"/>
          <w:lang w:val="da-DK"/>
        </w:rPr>
      </w:pPr>
    </w:p>
    <w:p w14:paraId="555EA2FF" w14:textId="77777777" w:rsidR="00426A9F" w:rsidRPr="00AA499E" w:rsidRDefault="00616F3C" w:rsidP="00426A9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Til patienter </w:t>
      </w:r>
      <w:r w:rsidR="008C2AF1" w:rsidRPr="00AA499E">
        <w:rPr>
          <w:rFonts w:ascii="Times New Roman" w:hAnsi="Times New Roman"/>
          <w:lang w:val="da-DK"/>
        </w:rPr>
        <w:t xml:space="preserve">(børn) </w:t>
      </w:r>
      <w:r w:rsidRPr="00AA499E">
        <w:rPr>
          <w:rFonts w:ascii="Times New Roman" w:hAnsi="Times New Roman"/>
          <w:lang w:val="da-DK"/>
        </w:rPr>
        <w:t xml:space="preserve">der ikke er i stand til at synke kapslerne, kan indholdet opløses i et glas almindeligt vand eller æblejuice. </w:t>
      </w:r>
      <w:r w:rsidR="00426A9F" w:rsidRPr="00AA499E">
        <w:rPr>
          <w:rFonts w:ascii="Times New Roman" w:hAnsi="Times New Roman"/>
          <w:lang w:val="da-DK"/>
        </w:rPr>
        <w:t>Da dyreforsøg har vist reproduktionstoksicitet, og den potentielle risiko for humane fostre er ukendt, bør kvinder i den fødedygtige alder tilrådes at udvise forsigtighed ved åbning af kapsler og håndtering af indholdet, og undgå hud- og øjenkontakt eller inhalation (se pkt. 4.6). Der bør vaskes hænder straks efter håndtering af åbne kapsler. </w:t>
      </w:r>
    </w:p>
    <w:p w14:paraId="2A9FFD96" w14:textId="77777777" w:rsidR="006478AD" w:rsidRPr="00AA499E" w:rsidRDefault="006478AD">
      <w:pPr>
        <w:autoSpaceDE w:val="0"/>
        <w:autoSpaceDN w:val="0"/>
        <w:adjustRightInd w:val="0"/>
        <w:spacing w:after="0" w:line="240" w:lineRule="auto"/>
        <w:rPr>
          <w:rFonts w:ascii="Times New Roman" w:hAnsi="Times New Roman"/>
          <w:u w:val="single"/>
          <w:lang w:val="da-DK"/>
        </w:rPr>
      </w:pPr>
    </w:p>
    <w:p w14:paraId="56D01B0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4.3</w:t>
      </w:r>
      <w:r w:rsidRPr="00AA499E">
        <w:rPr>
          <w:rFonts w:ascii="Times New Roman" w:hAnsi="Times New Roman"/>
          <w:b/>
          <w:bCs/>
          <w:lang w:val="da-DK"/>
        </w:rPr>
        <w:tab/>
        <w:t>Kontraindikationer</w:t>
      </w:r>
    </w:p>
    <w:p w14:paraId="08A932C9" w14:textId="77777777" w:rsidR="006478AD" w:rsidRPr="00AA499E" w:rsidRDefault="006478AD">
      <w:pPr>
        <w:autoSpaceDE w:val="0"/>
        <w:autoSpaceDN w:val="0"/>
        <w:adjustRightInd w:val="0"/>
        <w:spacing w:after="0" w:line="240" w:lineRule="auto"/>
        <w:rPr>
          <w:rFonts w:ascii="Times New Roman" w:hAnsi="Times New Roman"/>
          <w:lang w:val="da-DK"/>
        </w:rPr>
      </w:pPr>
    </w:p>
    <w:p w14:paraId="5E0E03B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Overfølsomhed over for det aktive stof eller over for et eller flere af hjælpestofferne anført i pkt. 6.1.</w:t>
      </w:r>
    </w:p>
    <w:p w14:paraId="5AB05964" w14:textId="77777777" w:rsidR="006478AD" w:rsidRPr="00AA499E" w:rsidRDefault="006478AD">
      <w:pPr>
        <w:autoSpaceDE w:val="0"/>
        <w:autoSpaceDN w:val="0"/>
        <w:adjustRightInd w:val="0"/>
        <w:spacing w:after="0" w:line="240" w:lineRule="auto"/>
        <w:rPr>
          <w:rFonts w:ascii="Times New Roman" w:hAnsi="Times New Roman"/>
          <w:lang w:val="da-DK"/>
        </w:rPr>
      </w:pPr>
    </w:p>
    <w:p w14:paraId="3A624518"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4.4</w:t>
      </w:r>
      <w:r w:rsidRPr="00AA499E">
        <w:rPr>
          <w:rFonts w:ascii="Times New Roman" w:hAnsi="Times New Roman"/>
          <w:b/>
          <w:bCs/>
          <w:lang w:val="da-DK"/>
        </w:rPr>
        <w:tab/>
        <w:t>Særlige advarsler og forsigtighedsregler vedrørende brugen</w:t>
      </w:r>
    </w:p>
    <w:p w14:paraId="6701758B" w14:textId="77777777" w:rsidR="006478AD" w:rsidRPr="00AA499E" w:rsidRDefault="006478AD">
      <w:pPr>
        <w:autoSpaceDE w:val="0"/>
        <w:autoSpaceDN w:val="0"/>
        <w:adjustRightInd w:val="0"/>
        <w:spacing w:after="0" w:line="240" w:lineRule="auto"/>
        <w:rPr>
          <w:rFonts w:ascii="Times New Roman" w:hAnsi="Times New Roman"/>
          <w:lang w:val="da-DK"/>
        </w:rPr>
      </w:pPr>
    </w:p>
    <w:p w14:paraId="5AFFB45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Når imatinib administreres sammen med andre lægemidler, er der risiko for lægemiddelinteraktioner. Der bør udvises forsigtighed, når imatinib tages sammen med </w:t>
      </w:r>
      <w:r w:rsidR="00BF1C4C" w:rsidRPr="00AA499E">
        <w:rPr>
          <w:rFonts w:ascii="Times New Roman" w:hAnsi="Times New Roman"/>
          <w:lang w:val="da-DK"/>
        </w:rPr>
        <w:t xml:space="preserve">proteas </w:t>
      </w:r>
      <w:r w:rsidRPr="00AA499E">
        <w:rPr>
          <w:rFonts w:ascii="Times New Roman" w:hAnsi="Times New Roman"/>
          <w:lang w:val="da-DK"/>
        </w:rPr>
        <w:t xml:space="preserve">nhibitorer, </w:t>
      </w:r>
      <w:r w:rsidR="00E25EE4" w:rsidRPr="00AA499E">
        <w:rPr>
          <w:rFonts w:ascii="Times New Roman" w:hAnsi="Times New Roman"/>
          <w:color w:val="000000"/>
          <w:lang w:val="da-DK"/>
        </w:rPr>
        <w:t>azol-antimykotika, bestemte makrolider (se pkt.</w:t>
      </w:r>
      <w:r w:rsidR="00474977" w:rsidRPr="00AA499E">
        <w:rPr>
          <w:rFonts w:ascii="Times New Roman" w:hAnsi="Times New Roman"/>
          <w:color w:val="000000"/>
          <w:lang w:val="da-DK"/>
        </w:rPr>
        <w:t> </w:t>
      </w:r>
      <w:r w:rsidR="00E25EE4" w:rsidRPr="00AA499E">
        <w:rPr>
          <w:rFonts w:ascii="Times New Roman" w:hAnsi="Times New Roman"/>
          <w:color w:val="000000"/>
          <w:lang w:val="da-DK"/>
        </w:rPr>
        <w:t xml:space="preserve">4.5), </w:t>
      </w:r>
      <w:r w:rsidRPr="00AA499E">
        <w:rPr>
          <w:rFonts w:ascii="Times New Roman" w:hAnsi="Times New Roman"/>
          <w:lang w:val="da-DK"/>
        </w:rPr>
        <w:t>CYP3A4 substrater med et snævert terapeutisk vindue (f.eks. ciclosporin, pimozid</w:t>
      </w:r>
      <w:r w:rsidR="00E25EE4" w:rsidRPr="00AA499E">
        <w:rPr>
          <w:rFonts w:ascii="Times New Roman" w:hAnsi="Times New Roman"/>
          <w:lang w:val="da-DK"/>
        </w:rPr>
        <w:t xml:space="preserve">, </w:t>
      </w:r>
      <w:r w:rsidR="00E25EE4" w:rsidRPr="00AA499E">
        <w:rPr>
          <w:rFonts w:ascii="Times New Roman" w:hAnsi="Times New Roman"/>
          <w:color w:val="000000"/>
          <w:lang w:val="da-DK"/>
        </w:rPr>
        <w:t xml:space="preserve">tacrolimus, sirolimus, ergotamin, diergotamin, fentanyl, alfentanil, terfenadin, bortezomib, docetaxel, quinidin) eller </w:t>
      </w:r>
      <w:r w:rsidRPr="00AA499E">
        <w:rPr>
          <w:rFonts w:ascii="Times New Roman" w:hAnsi="Times New Roman"/>
          <w:lang w:val="da-DK"/>
        </w:rPr>
        <w:t>warfarin og andre coumarin-derivater) (se pkt. 4.5).</w:t>
      </w:r>
    </w:p>
    <w:p w14:paraId="1EB5C885" w14:textId="77777777" w:rsidR="006478AD" w:rsidRPr="00AA499E" w:rsidRDefault="006478AD">
      <w:pPr>
        <w:autoSpaceDE w:val="0"/>
        <w:autoSpaceDN w:val="0"/>
        <w:adjustRightInd w:val="0"/>
        <w:spacing w:after="0" w:line="240" w:lineRule="auto"/>
        <w:rPr>
          <w:rFonts w:ascii="Times New Roman" w:hAnsi="Times New Roman"/>
          <w:lang w:val="da-DK"/>
        </w:rPr>
      </w:pPr>
    </w:p>
    <w:p w14:paraId="3EDA4D2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Samtidig anvendelse af imatinib og lægemidler, der inducerer CYP3A4 (f.eks. dexamethason, phenytoin, carbamazepin, rifampicin, phenobarbital eller </w:t>
      </w:r>
      <w:r w:rsidRPr="00AA499E">
        <w:rPr>
          <w:rFonts w:ascii="Times New Roman" w:hAnsi="Times New Roman"/>
          <w:i/>
          <w:iCs/>
          <w:lang w:val="da-DK"/>
        </w:rPr>
        <w:t>Hypericum perforatum</w:t>
      </w:r>
      <w:r w:rsidRPr="00AA499E">
        <w:rPr>
          <w:rFonts w:ascii="Times New Roman" w:hAnsi="Times New Roman"/>
          <w:lang w:val="da-DK"/>
        </w:rPr>
        <w:t>, også kendt som prikbladet perikum) kan signifikant reducere følsomheden over for imatinib, og dermed potentielt øge risikoen for terapeutisk svigt. Samtidig anvendelse af stærke CYP3A4 induktorer og imatinib bør derfor undgås (se pkt. 4.5).</w:t>
      </w:r>
    </w:p>
    <w:p w14:paraId="57CF1C99" w14:textId="77777777" w:rsidR="006478AD" w:rsidRPr="00AA499E" w:rsidRDefault="006478AD">
      <w:pPr>
        <w:autoSpaceDE w:val="0"/>
        <w:autoSpaceDN w:val="0"/>
        <w:adjustRightInd w:val="0"/>
        <w:spacing w:after="0" w:line="240" w:lineRule="auto"/>
        <w:rPr>
          <w:rFonts w:ascii="Times New Roman" w:hAnsi="Times New Roman"/>
          <w:lang w:val="da-DK"/>
        </w:rPr>
      </w:pPr>
    </w:p>
    <w:p w14:paraId="3F88F957"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Hypotyroidisme</w:t>
      </w:r>
    </w:p>
    <w:p w14:paraId="04D25DB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Kliniske tilfælde af hypotyroidisme er rapporteret hos patienter, der har fået foretaget tyroidektomi, og som er i levothyroxin-erstatningsterapi samtidig med imatinib-behandling (se pkt. 4.5). Thyroid-stimulerende hormon (TSH)-niveauer bør følges nøje hos sådanne patienter.</w:t>
      </w:r>
    </w:p>
    <w:p w14:paraId="15611609" w14:textId="77777777" w:rsidR="006478AD" w:rsidRPr="00AA499E" w:rsidRDefault="006478AD">
      <w:pPr>
        <w:autoSpaceDE w:val="0"/>
        <w:autoSpaceDN w:val="0"/>
        <w:adjustRightInd w:val="0"/>
        <w:spacing w:after="0" w:line="240" w:lineRule="auto"/>
        <w:rPr>
          <w:rFonts w:ascii="Times New Roman" w:hAnsi="Times New Roman"/>
          <w:lang w:val="da-DK"/>
        </w:rPr>
      </w:pPr>
    </w:p>
    <w:p w14:paraId="48971CBA"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Hepatotoksicitet</w:t>
      </w:r>
    </w:p>
    <w:p w14:paraId="6835F40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 metaboliseres primært i leveren, og kun 13 % udskilles via nyrerne. Hos patienter med nedsat leverfunktion (let, moderat eller svær) bør perifere blodtal og leverenzymer monitoreres omhyggeligt (se </w:t>
      </w:r>
      <w:r w:rsidRPr="00AA499E">
        <w:rPr>
          <w:rFonts w:ascii="Times New Roman" w:hAnsi="Times New Roman"/>
          <w:lang w:val="da-DK"/>
        </w:rPr>
        <w:lastRenderedPageBreak/>
        <w:t>pkt. 4.2, 4.8 og 5.2).</w:t>
      </w:r>
      <w:r w:rsidR="008C2AF1" w:rsidRPr="00AA499E">
        <w:rPr>
          <w:rFonts w:ascii="Times New Roman" w:eastAsia="Times New Roman" w:hAnsi="Times New Roman"/>
          <w:color w:val="000000"/>
          <w:lang w:val="da-DK"/>
        </w:rPr>
        <w:t xml:space="preserve"> </w:t>
      </w:r>
      <w:r w:rsidR="008C2AF1" w:rsidRPr="00AA499E">
        <w:rPr>
          <w:rFonts w:ascii="Times New Roman" w:hAnsi="Times New Roman"/>
          <w:lang w:val="da-DK"/>
        </w:rPr>
        <w:t>Det bør bemærkes, at GIST-patienter kan have levermetastaser, hvilket kan medføre leverinsufficiens.</w:t>
      </w:r>
    </w:p>
    <w:p w14:paraId="78DF4598" w14:textId="77777777" w:rsidR="006478AD" w:rsidRPr="00AA499E" w:rsidRDefault="006478AD">
      <w:pPr>
        <w:autoSpaceDE w:val="0"/>
        <w:autoSpaceDN w:val="0"/>
        <w:adjustRightInd w:val="0"/>
        <w:spacing w:after="0" w:line="240" w:lineRule="auto"/>
        <w:rPr>
          <w:rFonts w:ascii="Times New Roman" w:hAnsi="Times New Roman"/>
          <w:lang w:val="da-DK"/>
        </w:rPr>
      </w:pPr>
    </w:p>
    <w:p w14:paraId="287DD9F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Tilfælde af leverskade, inklusive leversvigt og levernekrose er blevet observeret med imatinib. Når imatinib kombineres med højdosis kemoterapi, ses en øget forekomst af alvorlige leverreaktioner. Nøje monitoring af leverfunktionen skal udføres i tilfælde, hvor imatinib kombineres med kemoterapiregimer, som også vides at være forbundet med leverdysfunktion (se pkt. 4.5 og 4.8).</w:t>
      </w:r>
    </w:p>
    <w:p w14:paraId="7F20D630" w14:textId="77777777" w:rsidR="006478AD" w:rsidRPr="00AA499E" w:rsidRDefault="006478AD">
      <w:pPr>
        <w:autoSpaceDE w:val="0"/>
        <w:autoSpaceDN w:val="0"/>
        <w:adjustRightInd w:val="0"/>
        <w:spacing w:after="0" w:line="240" w:lineRule="auto"/>
        <w:rPr>
          <w:rFonts w:ascii="Times New Roman" w:hAnsi="Times New Roman"/>
          <w:lang w:val="da-DK"/>
        </w:rPr>
      </w:pPr>
    </w:p>
    <w:p w14:paraId="29C5E560"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Væskeretention</w:t>
      </w:r>
    </w:p>
    <w:p w14:paraId="27FD6A1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ca. 2,5 % af nyligt diagnosticerede CML-patienter i behandling med imatinib er der rapporteret tilfælde af svær væskeretention (pleuraeksudat, ødem, pulmonalt ødem,ascites, perifert ødem). Det anbefales derfor stærkt, at patienterne vejes jævnligt. Uventede, hurtige vægtstigninger bør undersøges nøje, og om nødvendigt bør understøttende terapi indledes, og relevante indgreb foretages. Der er i kliniske undersøgelser set øget incidens af disse hændelser hos ældre patienter og hos patienter med hjertesygdom i anamnesen. Der bør derfor udvises forsigtighed hos patienter med kardiel dysfunktion.</w:t>
      </w:r>
    </w:p>
    <w:p w14:paraId="3FDCDD5C" w14:textId="77777777" w:rsidR="006478AD" w:rsidRPr="00AA499E" w:rsidRDefault="006478AD">
      <w:pPr>
        <w:autoSpaceDE w:val="0"/>
        <w:autoSpaceDN w:val="0"/>
        <w:adjustRightInd w:val="0"/>
        <w:spacing w:after="0" w:line="240" w:lineRule="auto"/>
        <w:rPr>
          <w:rFonts w:ascii="Times New Roman" w:hAnsi="Times New Roman"/>
          <w:lang w:val="da-DK"/>
        </w:rPr>
      </w:pPr>
    </w:p>
    <w:p w14:paraId="1724F1CF"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Patienter med hjertesygdom</w:t>
      </w:r>
    </w:p>
    <w:p w14:paraId="7F5D4E7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Patienter med hjertesygdom, risikofaktorer for hjerteinsufficiens eller nyreinsufficiens i anamnesen skal monitoreres omhyggeligt, og alle patienter, som har symptomer forenelige med hjerte- eller nyreinsufficiens, bør undersøges og behandles.</w:t>
      </w:r>
    </w:p>
    <w:p w14:paraId="39972064" w14:textId="77777777" w:rsidR="006478AD" w:rsidRPr="00AA499E" w:rsidRDefault="006478AD">
      <w:pPr>
        <w:autoSpaceDE w:val="0"/>
        <w:autoSpaceDN w:val="0"/>
        <w:adjustRightInd w:val="0"/>
        <w:spacing w:after="0" w:line="240" w:lineRule="auto"/>
        <w:rPr>
          <w:rFonts w:ascii="Times New Roman" w:hAnsi="Times New Roman"/>
          <w:lang w:val="da-DK"/>
        </w:rPr>
      </w:pPr>
    </w:p>
    <w:p w14:paraId="75C25FF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patienter med hypereosinofilt syndrom (HES) med skjult infiltration af HES celler i myokardiet, har der været isolerede tilfælde af carcinogent chok/dysfunktion af venstre ventrikel forbundet med HES celledegranulering ved initiering af imatinibterapi. Tilstanden blev rapporteret som værende reversibel ved indgift af systemiske steroider, understøttelse af kredsløbet og midlertidigt stop af imatinib. Da der er rapporteret tilfælde af hjertebivirkninger med imatinib, bør der foretages en nøje benefit/risk-vurdering hos HES/CEL-populationen før påbegyndelse af behandling.</w:t>
      </w:r>
    </w:p>
    <w:p w14:paraId="3CE94793" w14:textId="77777777" w:rsidR="006478AD" w:rsidRPr="00AA499E" w:rsidRDefault="006478AD">
      <w:pPr>
        <w:autoSpaceDE w:val="0"/>
        <w:autoSpaceDN w:val="0"/>
        <w:adjustRightInd w:val="0"/>
        <w:spacing w:after="0" w:line="240" w:lineRule="auto"/>
        <w:rPr>
          <w:rFonts w:ascii="Times New Roman" w:hAnsi="Times New Roman"/>
          <w:lang w:val="da-DK"/>
        </w:rPr>
      </w:pPr>
    </w:p>
    <w:p w14:paraId="5C6BA42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Myelodysplastiske/myeloproliferative sygdomme med PDGFR-omlejring kan være forbundet med høje eosinofiltal. Undersøgelse hos en kardiolog, optagelse af ekkokardiogram og bestemmelse af serumtroponin bør derfor overvejes hos patienter med MDS/MPD, som har høje eosinofiltal, før der gives imatinib. Hvis en af disse undersøgelser viser abnormalitet, bør det overvejes at kombinere imatinib med profylaktisk brug af systemisk steroid (1-2 mg/kg) i en til to uger ved behandlingsstart.</w:t>
      </w:r>
    </w:p>
    <w:p w14:paraId="2885262A" w14:textId="77777777" w:rsidR="006478AD" w:rsidRPr="00AA499E" w:rsidRDefault="006478AD">
      <w:pPr>
        <w:autoSpaceDE w:val="0"/>
        <w:autoSpaceDN w:val="0"/>
        <w:adjustRightInd w:val="0"/>
        <w:spacing w:after="0" w:line="240" w:lineRule="auto"/>
        <w:rPr>
          <w:rFonts w:ascii="Times New Roman" w:hAnsi="Times New Roman"/>
          <w:lang w:val="da-DK"/>
        </w:rPr>
      </w:pPr>
    </w:p>
    <w:p w14:paraId="1715E35D"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Gastrointestinal blødning</w:t>
      </w:r>
    </w:p>
    <w:p w14:paraId="3DC032EA" w14:textId="77777777" w:rsidR="008C2AF1" w:rsidRPr="00AA499E" w:rsidRDefault="008C2AF1" w:rsidP="008C2AF1">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undersøgelsen med patienter med inoperabel og/eller metastaserende GIST rapporteredes både gastrointestinale og intra-tumorale blødninger (se pkt. 4.8). Der er, baseret på tilgængelige data, ikke identificeret disponerende faktorer (for eksempel tumorstørrelse, tumorplacering, koagulationsforstyrrelser), der kan placere GIST-patienter i en højere risikogruppe for nogen af blødningstyperne. Da øget vaskularisering og blødningstendens er en del af det kliniske billede ved GIST, bør der hos alle patienter anvendes standardtiltag og -procedurer for monitorering og behandling af blødning.</w:t>
      </w:r>
    </w:p>
    <w:p w14:paraId="116E0377" w14:textId="77777777" w:rsidR="007225C8" w:rsidRPr="00AA499E" w:rsidRDefault="008C2AF1" w:rsidP="008C2AF1">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Derudover er der e</w:t>
      </w:r>
      <w:r w:rsidR="007225C8" w:rsidRPr="00AA499E">
        <w:rPr>
          <w:rFonts w:ascii="Times New Roman" w:hAnsi="Times New Roman"/>
          <w:lang w:val="da-DK"/>
        </w:rPr>
        <w:t xml:space="preserve">fter markedsføring rapporteret </w:t>
      </w:r>
      <w:r w:rsidR="007225C8" w:rsidRPr="00AA499E">
        <w:rPr>
          <w:rFonts w:ascii="Times New Roman" w:hAnsi="Times New Roman"/>
          <w:i/>
          <w:lang w:val="da-DK"/>
        </w:rPr>
        <w:t>gastric antral vascular ecstasia</w:t>
      </w:r>
      <w:r w:rsidR="007225C8" w:rsidRPr="00AA499E">
        <w:rPr>
          <w:rFonts w:ascii="Times New Roman" w:hAnsi="Times New Roman"/>
          <w:lang w:val="da-DK"/>
        </w:rPr>
        <w:t xml:space="preserve"> (GAVE), en sjælden form for gastrointestinal blødning, hos patienter med CML, ALL og andre sygdomme (se pkt. 4.8). Om nødvendigt kan det overvejes at ophøre med imatinib-behandling.</w:t>
      </w:r>
    </w:p>
    <w:p w14:paraId="4487B882" w14:textId="77777777" w:rsidR="007225C8" w:rsidRPr="00AA499E" w:rsidRDefault="007225C8">
      <w:pPr>
        <w:autoSpaceDE w:val="0"/>
        <w:autoSpaceDN w:val="0"/>
        <w:adjustRightInd w:val="0"/>
        <w:spacing w:after="0" w:line="240" w:lineRule="auto"/>
        <w:rPr>
          <w:rFonts w:ascii="Times New Roman" w:hAnsi="Times New Roman"/>
          <w:lang w:val="da-DK"/>
        </w:rPr>
      </w:pPr>
    </w:p>
    <w:p w14:paraId="25BE299F"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Tumorlysesyndrom</w:t>
      </w:r>
    </w:p>
    <w:p w14:paraId="0B4F7CC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På grund af den mulige forekomst af tumorlysesyndrom (TLS) anbefales korrektion af klinisk signifikant dehydrering og behandling af forhøjede urinsyreniveauer før påbegyndelse af behandling med imatinib (se pkt. 4.8).</w:t>
      </w:r>
    </w:p>
    <w:p w14:paraId="03737541" w14:textId="77777777" w:rsidR="006478AD" w:rsidRPr="00AA499E" w:rsidRDefault="006478AD">
      <w:pPr>
        <w:autoSpaceDE w:val="0"/>
        <w:autoSpaceDN w:val="0"/>
        <w:adjustRightInd w:val="0"/>
        <w:spacing w:after="0" w:line="240" w:lineRule="auto"/>
        <w:rPr>
          <w:rFonts w:ascii="Times New Roman" w:hAnsi="Times New Roman"/>
          <w:lang w:val="da-DK"/>
        </w:rPr>
      </w:pPr>
    </w:p>
    <w:p w14:paraId="7F65FB9A" w14:textId="77777777" w:rsidR="00017EA4" w:rsidRPr="00AA499E" w:rsidRDefault="00017EA4">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Reaktivering af hepatitis B</w:t>
      </w:r>
    </w:p>
    <w:p w14:paraId="06723D9B" w14:textId="77777777" w:rsidR="00017EA4" w:rsidRPr="00AA499E" w:rsidRDefault="00017EA4" w:rsidP="00017EA4">
      <w:pPr>
        <w:autoSpaceDE w:val="0"/>
        <w:autoSpaceDN w:val="0"/>
        <w:adjustRightInd w:val="0"/>
        <w:spacing w:after="0" w:line="240" w:lineRule="auto"/>
        <w:rPr>
          <w:rFonts w:ascii="Times New Roman" w:hAnsi="Times New Roman"/>
          <w:lang w:val="da-DK"/>
        </w:rPr>
      </w:pPr>
    </w:p>
    <w:p w14:paraId="67B2241F" w14:textId="77777777" w:rsidR="00017EA4" w:rsidRPr="00AA499E" w:rsidRDefault="00017EA4" w:rsidP="00017EA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Reaktivering af hepatitis B er forekommet hos kroniske bærere af hepatitis B-virus (HBV), efter at patienten har fået en BCR-ABL-tyrosinkinasehæmmer. I nogle tilfælde har dette medført akut leversvigt eller fulminant hepatitis, førende til levertransplantation eller død.</w:t>
      </w:r>
    </w:p>
    <w:p w14:paraId="382097AC" w14:textId="77777777" w:rsidR="00017EA4" w:rsidRPr="00AA499E" w:rsidRDefault="00017EA4" w:rsidP="00017EA4">
      <w:pPr>
        <w:autoSpaceDE w:val="0"/>
        <w:autoSpaceDN w:val="0"/>
        <w:adjustRightInd w:val="0"/>
        <w:spacing w:after="0" w:line="240" w:lineRule="auto"/>
        <w:rPr>
          <w:rFonts w:ascii="Times New Roman" w:hAnsi="Times New Roman"/>
          <w:lang w:val="da-DK"/>
        </w:rPr>
      </w:pPr>
    </w:p>
    <w:p w14:paraId="5567763A" w14:textId="77777777" w:rsidR="00017EA4" w:rsidRPr="00AA499E" w:rsidRDefault="00017EA4" w:rsidP="00017EA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Patienten bør testes for HBV-infektion før initiering af behandling med (</w:t>
      </w:r>
      <w:r w:rsidR="002A7A45" w:rsidRPr="00AA499E">
        <w:rPr>
          <w:rFonts w:ascii="Times New Roman" w:hAnsi="Times New Roman"/>
          <w:lang w:val="da-DK"/>
        </w:rPr>
        <w:t>Imatinib Actavis</w:t>
      </w:r>
      <w:r w:rsidRPr="00AA499E">
        <w:rPr>
          <w:rFonts w:ascii="Times New Roman" w:hAnsi="Times New Roman"/>
          <w:lang w:val="da-DK"/>
        </w:rPr>
        <w:t>). En specialist i leversygdomme og i behandling af hepatitis B skal konsulteres, før behandling initieres hos patienter med positiv hepatitis B-serologi (herunder patienter med aktiv sygdom), og hvis patienten testes HBV-positiv under behandlingen. Bærere af HBV, hvor behandling med (</w:t>
      </w:r>
      <w:r w:rsidR="002A7A45" w:rsidRPr="00AA499E">
        <w:rPr>
          <w:rFonts w:ascii="Times New Roman" w:hAnsi="Times New Roman"/>
          <w:lang w:val="da-DK"/>
        </w:rPr>
        <w:t>Imatinib Actavis</w:t>
      </w:r>
      <w:r w:rsidRPr="00AA499E">
        <w:rPr>
          <w:rFonts w:ascii="Times New Roman" w:hAnsi="Times New Roman"/>
          <w:lang w:val="da-DK"/>
        </w:rPr>
        <w:t>) er nødvendig, skal overvåges tæt for tegn og symptomer på aktiv HBV-infektion i hele behandlingsperioden og i flere måneder efter behandlingsophør (se pkt. 4.8).</w:t>
      </w:r>
    </w:p>
    <w:p w14:paraId="7D2F799D" w14:textId="77777777" w:rsidR="00373215" w:rsidRPr="00AA499E" w:rsidRDefault="00373215" w:rsidP="00373215">
      <w:pPr>
        <w:autoSpaceDE w:val="0"/>
        <w:autoSpaceDN w:val="0"/>
        <w:adjustRightInd w:val="0"/>
        <w:spacing w:after="0" w:line="240" w:lineRule="auto"/>
        <w:rPr>
          <w:rFonts w:ascii="Times New Roman" w:hAnsi="Times New Roman"/>
          <w:u w:val="single"/>
          <w:lang w:val="da-DK"/>
        </w:rPr>
      </w:pPr>
    </w:p>
    <w:p w14:paraId="2159877B" w14:textId="77777777" w:rsidR="00373215" w:rsidRPr="00AA499E" w:rsidRDefault="00373215" w:rsidP="00373215">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Fototoksicitet</w:t>
      </w:r>
    </w:p>
    <w:p w14:paraId="02AF2E83" w14:textId="77777777" w:rsidR="00373215" w:rsidRPr="00AA499E" w:rsidRDefault="00373215" w:rsidP="0037321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Eksponering for direkte sollys bør undgås eller minimeres på grund af risikoen for fototoksicitet, der er forbundet med behandling med imatinib. Patienter bør instrueres i at tage forholdsregler såsom at bære beskyttende tøj eller bruge solcreme med en høj solbeskyttelsesfaktor (SPF).</w:t>
      </w:r>
    </w:p>
    <w:p w14:paraId="15980D3E" w14:textId="77777777" w:rsidR="0017077B" w:rsidRPr="00AA499E" w:rsidRDefault="0017077B" w:rsidP="0017077B">
      <w:pPr>
        <w:autoSpaceDE w:val="0"/>
        <w:autoSpaceDN w:val="0"/>
        <w:adjustRightInd w:val="0"/>
        <w:spacing w:after="0" w:line="240" w:lineRule="auto"/>
        <w:rPr>
          <w:rFonts w:ascii="Times New Roman" w:hAnsi="Times New Roman"/>
          <w:lang w:val="da-DK"/>
        </w:rPr>
      </w:pPr>
    </w:p>
    <w:p w14:paraId="0540B91A" w14:textId="77777777" w:rsidR="0017077B" w:rsidRPr="00AA499E" w:rsidRDefault="0017077B" w:rsidP="0017077B">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Trombotisk mikroangiopati</w:t>
      </w:r>
    </w:p>
    <w:p w14:paraId="1F09E00E" w14:textId="77777777" w:rsidR="0017077B" w:rsidRPr="00AA499E" w:rsidRDefault="0017077B" w:rsidP="0017077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BCR-ABL-tyrosinkinasehæmmere (TKI’er) er blevet associeret med trombotisk mikroangiopati (TMA), herunder enkeltstående rapporter for Imatinib Actavis (se pkt. 4.8). Hvis laboratorie- eller kliniske fund associeret med TMA forekommer hos en patient, som er i behandling med Imatinib Actavis, skal behandlingen seponeres og der skal foretages en grundig undersøgelse for TMA, inklusiv ADAMTS13-aktivitet og anti-ADAMTS13-antistofbestemmelse. Hvis niveauet af ADAMTS13-antistoffer er forøget samtidig med lav ADAMTS13-aktivitet, må behandlingen med Imatinib Actavis ikke genoptages.</w:t>
      </w:r>
    </w:p>
    <w:p w14:paraId="58E5491C" w14:textId="77777777" w:rsidR="00017EA4" w:rsidRPr="00AA499E" w:rsidRDefault="00017EA4">
      <w:pPr>
        <w:autoSpaceDE w:val="0"/>
        <w:autoSpaceDN w:val="0"/>
        <w:adjustRightInd w:val="0"/>
        <w:spacing w:after="0" w:line="240" w:lineRule="auto"/>
        <w:rPr>
          <w:rFonts w:ascii="Times New Roman" w:hAnsi="Times New Roman"/>
          <w:lang w:val="da-DK"/>
        </w:rPr>
      </w:pPr>
    </w:p>
    <w:p w14:paraId="6F3290B5"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Laboratorieundersøgelser</w:t>
      </w:r>
    </w:p>
    <w:p w14:paraId="01E6724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Fuldstændige blodtællinger skal foretages jævnligt under behandling med imatinib. Behandling af CML-patienter med imatinib har været associeret med neutropeni eller trombocytopeni. Disse cytopenier opstår imidlertid sandsynligvis relateret til det sygdomsstadie, der behandles, og er hyppigere hos patienter med CML i accelereret fase eller blastkrise end hos patienter med CML i kronisk fase. Behandling med imatinib kan seponeres eller dosis kan reduceres, som anbefalet i pkt. 4.2.</w:t>
      </w:r>
    </w:p>
    <w:p w14:paraId="00BAF7D2" w14:textId="77777777" w:rsidR="006478AD" w:rsidRPr="00AA499E" w:rsidRDefault="006478AD">
      <w:pPr>
        <w:autoSpaceDE w:val="0"/>
        <w:autoSpaceDN w:val="0"/>
        <w:adjustRightInd w:val="0"/>
        <w:spacing w:after="0" w:line="240" w:lineRule="auto"/>
        <w:rPr>
          <w:rFonts w:ascii="Times New Roman" w:hAnsi="Times New Roman"/>
          <w:lang w:val="da-DK"/>
        </w:rPr>
      </w:pPr>
    </w:p>
    <w:p w14:paraId="1FC1E79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Leverfunktionen (transaminaser, bilirubin og alkalisk fosfatase) bør monitoreres jævnligt hos patienter i imatinib-behandling.</w:t>
      </w:r>
    </w:p>
    <w:p w14:paraId="6CDE7472" w14:textId="77777777" w:rsidR="006478AD" w:rsidRPr="00AA499E" w:rsidRDefault="006478AD">
      <w:pPr>
        <w:autoSpaceDE w:val="0"/>
        <w:autoSpaceDN w:val="0"/>
        <w:adjustRightInd w:val="0"/>
        <w:spacing w:after="0" w:line="240" w:lineRule="auto"/>
        <w:rPr>
          <w:rFonts w:ascii="Times New Roman" w:hAnsi="Times New Roman"/>
          <w:lang w:val="da-DK"/>
        </w:rPr>
      </w:pPr>
    </w:p>
    <w:p w14:paraId="2D263C5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Plasmaeksponeringen synes at være højere hos patienter med nedsat nyrefunktion end hos patienter med normal nyrefunktion, formentlig på grund af forhøjede plasmaniveauer af alpha-acid glucoprotein (AGP), et imatinib-bindende protein, hos disse patienter. Der bør anvendes mindste startdosis til patienter med nedsat nyrefunktion. Der bør udvises forsigtighed ved behandling af patienter med svært nedsat nyrefunktion. Startdoseringen af imatinib kan reduceres, hvis den ikke tolereres (se pkt. 4.2 og 5.2).</w:t>
      </w:r>
    </w:p>
    <w:p w14:paraId="2EE61F64" w14:textId="77777777" w:rsidR="006478AD" w:rsidRPr="00AA499E" w:rsidRDefault="006478AD">
      <w:pPr>
        <w:autoSpaceDE w:val="0"/>
        <w:autoSpaceDN w:val="0"/>
        <w:adjustRightInd w:val="0"/>
        <w:spacing w:after="0" w:line="240" w:lineRule="auto"/>
        <w:rPr>
          <w:rFonts w:ascii="Times New Roman" w:hAnsi="Times New Roman"/>
          <w:lang w:val="da-DK"/>
        </w:rPr>
      </w:pPr>
    </w:p>
    <w:p w14:paraId="4D4EF8DF" w14:textId="77777777" w:rsidR="00945618" w:rsidRPr="00AA499E" w:rsidRDefault="00945618" w:rsidP="00945618">
      <w:pPr>
        <w:widowControl w:val="0"/>
        <w:spacing w:after="0" w:line="240" w:lineRule="auto"/>
        <w:rPr>
          <w:rFonts w:ascii="Times New Roman" w:eastAsia="Times New Roman" w:hAnsi="Times New Roman"/>
          <w:color w:val="000000"/>
          <w:lang w:val="da-DK"/>
        </w:rPr>
      </w:pPr>
      <w:r w:rsidRPr="00AA499E">
        <w:rPr>
          <w:rFonts w:ascii="Times New Roman" w:eastAsia="Times New Roman" w:hAnsi="Times New Roman"/>
          <w:color w:val="000000"/>
          <w:lang w:val="da-DK"/>
        </w:rPr>
        <w:t>Langtidsbehandling med imatinib kan være forbundet med en klinisk signifikant nedsættelse af nyrefunktionen. Nyrefunktionen bør derfor vurderes før behandlingsstart med imatinib og monitoreres omhyggeligt under behandlingen med særligt fokus på patienter, der har risikofaktorer for nedsat nyrefunktion. Hvis nedsat nyrefunktion observeres, skal passende håndtering og behandling i overensstemmelse med standard behandlingsguidelines iværksættes.</w:t>
      </w:r>
    </w:p>
    <w:p w14:paraId="69AE7008" w14:textId="77777777" w:rsidR="00945618" w:rsidRPr="00AA499E" w:rsidRDefault="00945618">
      <w:pPr>
        <w:autoSpaceDE w:val="0"/>
        <w:autoSpaceDN w:val="0"/>
        <w:adjustRightInd w:val="0"/>
        <w:spacing w:after="0" w:line="240" w:lineRule="auto"/>
        <w:rPr>
          <w:rFonts w:ascii="Times New Roman" w:hAnsi="Times New Roman"/>
          <w:lang w:val="da-DK"/>
        </w:rPr>
      </w:pPr>
    </w:p>
    <w:p w14:paraId="640CC7C2" w14:textId="77777777" w:rsidR="006478AD" w:rsidRPr="00AA499E" w:rsidRDefault="00616F3C">
      <w:pPr>
        <w:widowControl w:val="0"/>
        <w:autoSpaceDE w:val="0"/>
        <w:autoSpaceDN w:val="0"/>
        <w:adjustRightInd w:val="0"/>
        <w:spacing w:after="0" w:line="240" w:lineRule="auto"/>
        <w:ind w:right="-20"/>
        <w:rPr>
          <w:rFonts w:ascii="Times New Roman" w:hAnsi="Times New Roman"/>
          <w:lang w:val="da-DK"/>
        </w:rPr>
      </w:pPr>
      <w:r w:rsidRPr="00AA499E">
        <w:rPr>
          <w:rFonts w:ascii="Times New Roman" w:hAnsi="Times New Roman"/>
          <w:u w:val="single"/>
          <w:lang w:val="da-DK"/>
        </w:rPr>
        <w:t>Pædiatrisk population</w:t>
      </w:r>
    </w:p>
    <w:p w14:paraId="59584A0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 xml:space="preserve">Der har været case-rapporter med væksthæmning hos børn og præ-teenagere, der fik imatinib. </w:t>
      </w:r>
      <w:r w:rsidR="000A567E" w:rsidRPr="00AA499E">
        <w:rPr>
          <w:rFonts w:ascii="Times New Roman" w:hAnsi="Times New Roman"/>
          <w:color w:val="000000"/>
          <w:lang w:val="da-DK"/>
        </w:rPr>
        <w:t>I et observationsstudie i den pædiatriske population med CML blev der rapporteret et statistisk signifikant fald (men med usikker klinisk relevans) i resultaterne for standardafvigelse af medianhøjde efter 12 og 24 måneders behandling i to små undergrupper, uanset pubertetsstatus og køn. Hos børn, der er i behandling med imatinib, anbefales tæt monitorering af væksten (se pkt. 4.8).</w:t>
      </w:r>
    </w:p>
    <w:p w14:paraId="2B1D8FC5" w14:textId="77777777" w:rsidR="00435894" w:rsidRPr="00AA499E" w:rsidRDefault="00435894" w:rsidP="00435894">
      <w:pPr>
        <w:autoSpaceDE w:val="0"/>
        <w:autoSpaceDN w:val="0"/>
        <w:adjustRightInd w:val="0"/>
        <w:spacing w:after="0" w:line="240" w:lineRule="auto"/>
        <w:rPr>
          <w:rFonts w:ascii="Times New Roman" w:hAnsi="Times New Roman"/>
          <w:lang w:val="da-DK"/>
        </w:rPr>
      </w:pPr>
    </w:p>
    <w:p w14:paraId="28213124" w14:textId="77777777" w:rsidR="00435894" w:rsidRPr="00AA499E" w:rsidRDefault="00435894" w:rsidP="00435894">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Hjælpestof(fer)</w:t>
      </w:r>
    </w:p>
    <w:p w14:paraId="1C66EAE0" w14:textId="77777777" w:rsidR="00435894" w:rsidRPr="00AA499E" w:rsidRDefault="00435894" w:rsidP="00435894">
      <w:pPr>
        <w:autoSpaceDE w:val="0"/>
        <w:autoSpaceDN w:val="0"/>
        <w:adjustRightInd w:val="0"/>
        <w:spacing w:after="0" w:line="240" w:lineRule="auto"/>
        <w:rPr>
          <w:rFonts w:ascii="Times New Roman" w:hAnsi="Times New Roman"/>
          <w:lang w:val="da-DK"/>
        </w:rPr>
      </w:pPr>
    </w:p>
    <w:p w14:paraId="334D6114" w14:textId="77777777" w:rsidR="00435894" w:rsidRPr="00AA499E" w:rsidRDefault="00435894" w:rsidP="00435894">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Natrium</w:t>
      </w:r>
    </w:p>
    <w:p w14:paraId="3A91FD9B" w14:textId="77777777" w:rsidR="00435894" w:rsidRPr="00AA499E" w:rsidRDefault="00435894" w:rsidP="004358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Dette lægemiddel indeholder mindre end 1 mmol (23 mg) natrium pr. hård kapsel, dvs. det er i det væsentlige natrium-frit.</w:t>
      </w:r>
    </w:p>
    <w:p w14:paraId="0DBAE5C6" w14:textId="77777777" w:rsidR="006478AD" w:rsidRPr="00AA499E" w:rsidRDefault="006478AD">
      <w:pPr>
        <w:autoSpaceDE w:val="0"/>
        <w:autoSpaceDN w:val="0"/>
        <w:adjustRightInd w:val="0"/>
        <w:spacing w:after="0" w:line="240" w:lineRule="auto"/>
        <w:rPr>
          <w:rFonts w:ascii="Times New Roman" w:hAnsi="Times New Roman"/>
          <w:lang w:val="da-DK"/>
        </w:rPr>
      </w:pPr>
    </w:p>
    <w:p w14:paraId="560D94D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4.5</w:t>
      </w:r>
      <w:r w:rsidRPr="00AA499E">
        <w:rPr>
          <w:rFonts w:ascii="Times New Roman" w:hAnsi="Times New Roman"/>
          <w:b/>
          <w:bCs/>
          <w:lang w:val="da-DK"/>
        </w:rPr>
        <w:tab/>
        <w:t>Interaktion med andre lægemidler og andre former for interaktion</w:t>
      </w:r>
    </w:p>
    <w:p w14:paraId="62134FD2" w14:textId="77777777" w:rsidR="006478AD" w:rsidRPr="00AA499E" w:rsidRDefault="006478AD">
      <w:pPr>
        <w:autoSpaceDE w:val="0"/>
        <w:autoSpaceDN w:val="0"/>
        <w:adjustRightInd w:val="0"/>
        <w:spacing w:after="0" w:line="240" w:lineRule="auto"/>
        <w:rPr>
          <w:rFonts w:ascii="Times New Roman" w:hAnsi="Times New Roman"/>
          <w:lang w:val="da-DK"/>
        </w:rPr>
      </w:pPr>
    </w:p>
    <w:p w14:paraId="19EA1E15"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Aktive stoffer der kan </w:t>
      </w:r>
      <w:r w:rsidRPr="00AA499E">
        <w:rPr>
          <w:rFonts w:ascii="Times New Roman" w:hAnsi="Times New Roman"/>
          <w:b/>
          <w:bCs/>
          <w:u w:val="single"/>
          <w:lang w:val="da-DK"/>
        </w:rPr>
        <w:t xml:space="preserve">øge </w:t>
      </w:r>
      <w:r w:rsidRPr="00AA499E">
        <w:rPr>
          <w:rFonts w:ascii="Times New Roman" w:hAnsi="Times New Roman"/>
          <w:u w:val="single"/>
          <w:lang w:val="da-DK"/>
        </w:rPr>
        <w:t>plasmakoncentrationen af imatinib:</w:t>
      </w:r>
    </w:p>
    <w:p w14:paraId="4590C99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Stoffer der hæmmer cytochrom P450 isoenzym CYP3A4-aktivitet (f.eks. </w:t>
      </w:r>
      <w:r w:rsidR="005A7942" w:rsidRPr="00AA499E">
        <w:rPr>
          <w:rFonts w:ascii="Times New Roman" w:hAnsi="Times New Roman"/>
          <w:color w:val="000000"/>
          <w:lang w:val="da-DK"/>
        </w:rPr>
        <w:t>proteasehæmmere som f.eks. indinavir, lopinavir/ritonavir, ritonavir, saquinavir, teleprevir, nelfinavir, boceprevir; azol-antimykotika inklusiv</w:t>
      </w:r>
      <w:r w:rsidR="005A7942" w:rsidRPr="00AA499E">
        <w:rPr>
          <w:rFonts w:ascii="Times New Roman" w:hAnsi="Times New Roman"/>
          <w:lang w:val="da-DK"/>
        </w:rPr>
        <w:t xml:space="preserve"> </w:t>
      </w:r>
      <w:r w:rsidRPr="00AA499E">
        <w:rPr>
          <w:rFonts w:ascii="Times New Roman" w:hAnsi="Times New Roman"/>
          <w:lang w:val="da-DK"/>
        </w:rPr>
        <w:t xml:space="preserve">ketoconazol, itraconazol, </w:t>
      </w:r>
      <w:r w:rsidR="004279F3" w:rsidRPr="00AA499E">
        <w:rPr>
          <w:rFonts w:ascii="Times New Roman" w:hAnsi="Times New Roman"/>
          <w:color w:val="000000"/>
          <w:lang w:val="da-DK"/>
        </w:rPr>
        <w:t xml:space="preserve">, posaconazol, voriconazol; bestemte makrolider som f.eks. </w:t>
      </w:r>
      <w:r w:rsidRPr="00AA499E">
        <w:rPr>
          <w:rFonts w:ascii="Times New Roman" w:hAnsi="Times New Roman"/>
          <w:lang w:val="da-DK"/>
        </w:rPr>
        <w:t>erythromycin, clarithromycin</w:t>
      </w:r>
      <w:r w:rsidR="004279F3" w:rsidRPr="00AA499E">
        <w:rPr>
          <w:rFonts w:ascii="Times New Roman" w:hAnsi="Times New Roman"/>
          <w:b/>
          <w:color w:val="000000"/>
          <w:lang w:val="da-DK"/>
        </w:rPr>
        <w:t xml:space="preserve"> </w:t>
      </w:r>
      <w:r w:rsidR="004279F3" w:rsidRPr="00AA499E">
        <w:rPr>
          <w:rFonts w:ascii="Times New Roman" w:hAnsi="Times New Roman"/>
          <w:color w:val="000000"/>
          <w:lang w:val="da-DK"/>
        </w:rPr>
        <w:t>og telithromycin</w:t>
      </w:r>
      <w:r w:rsidRPr="00AA499E">
        <w:rPr>
          <w:rFonts w:ascii="Times New Roman" w:hAnsi="Times New Roman"/>
          <w:lang w:val="da-DK"/>
        </w:rPr>
        <w:t>) kan nedsætte metabolismen og øge koncentrationen af imatinib. Der sås signifikant øgning i følsomhed for imatinib (gennemsnitlig C</w:t>
      </w:r>
      <w:r w:rsidRPr="00AA499E">
        <w:rPr>
          <w:rFonts w:ascii="Times New Roman" w:hAnsi="Times New Roman"/>
          <w:vertAlign w:val="subscript"/>
          <w:lang w:val="da-DK"/>
        </w:rPr>
        <w:t>max</w:t>
      </w:r>
      <w:r w:rsidRPr="00AA499E">
        <w:rPr>
          <w:rFonts w:ascii="Times New Roman" w:hAnsi="Times New Roman"/>
          <w:lang w:val="da-DK"/>
        </w:rPr>
        <w:t xml:space="preserve"> og AUC for imatinib steg med henholdsvis 26 % og 40 %) hos raske frivillige ved samtidig administration af enkeltdosis ketoconazol (en CYP3A4-hæmmer). Forsigtighed bør udvises, når imatinib administreres sammen med hæmmere af CYP3A4-familien.</w:t>
      </w:r>
    </w:p>
    <w:p w14:paraId="5E92AE60" w14:textId="77777777" w:rsidR="006478AD" w:rsidRPr="00AA499E" w:rsidRDefault="006478AD">
      <w:pPr>
        <w:autoSpaceDE w:val="0"/>
        <w:autoSpaceDN w:val="0"/>
        <w:adjustRightInd w:val="0"/>
        <w:spacing w:after="0" w:line="240" w:lineRule="auto"/>
        <w:rPr>
          <w:rFonts w:ascii="Times New Roman" w:hAnsi="Times New Roman"/>
          <w:lang w:val="da-DK"/>
        </w:rPr>
      </w:pPr>
    </w:p>
    <w:p w14:paraId="3C3870C4"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Aktive stoffer der kan </w:t>
      </w:r>
      <w:r w:rsidRPr="00AA499E">
        <w:rPr>
          <w:rFonts w:ascii="Times New Roman" w:hAnsi="Times New Roman"/>
          <w:b/>
          <w:bCs/>
          <w:u w:val="single"/>
          <w:lang w:val="da-DK"/>
        </w:rPr>
        <w:t xml:space="preserve">reducere </w:t>
      </w:r>
      <w:r w:rsidRPr="00AA499E">
        <w:rPr>
          <w:rFonts w:ascii="Times New Roman" w:hAnsi="Times New Roman"/>
          <w:u w:val="single"/>
          <w:lang w:val="da-DK"/>
        </w:rPr>
        <w:t>plasmakoncentrationen af imatinib:</w:t>
      </w:r>
    </w:p>
    <w:p w14:paraId="5C4AEB8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Stoffer, der inducerer CYP3A4-aktivitet (f.eks. dexamethason, phenytoin, carbamazepin, rifampicin, phenobarbital, fosphenytoin, primidon eller </w:t>
      </w:r>
      <w:r w:rsidRPr="00AA499E">
        <w:rPr>
          <w:rFonts w:ascii="Times New Roman" w:hAnsi="Times New Roman"/>
          <w:i/>
          <w:iCs/>
          <w:lang w:val="da-DK"/>
        </w:rPr>
        <w:t>Hypericum perforatum</w:t>
      </w:r>
      <w:r w:rsidRPr="00AA499E">
        <w:rPr>
          <w:rFonts w:ascii="Times New Roman" w:hAnsi="Times New Roman"/>
          <w:lang w:val="da-DK"/>
        </w:rPr>
        <w:t>), kan signifikant reducere følsomheden for imatinib og dermed potentielt øge risikoen for terapeutisk svigt. Præbehandling med gentagne doser af rifampicin 600 mg efterfulgt af enkeltdosis imatinib 400 mg resulterede i fald i imatinib resulted in decrease in C</w:t>
      </w:r>
      <w:r w:rsidRPr="00AA499E">
        <w:rPr>
          <w:rFonts w:ascii="Times New Roman" w:hAnsi="Times New Roman"/>
          <w:vertAlign w:val="subscript"/>
          <w:lang w:val="da-DK"/>
        </w:rPr>
        <w:t>max</w:t>
      </w:r>
      <w:r w:rsidRPr="00AA499E">
        <w:rPr>
          <w:rFonts w:ascii="Times New Roman" w:hAnsi="Times New Roman"/>
          <w:lang w:val="da-DK"/>
        </w:rPr>
        <w:t xml:space="preserve"> og AUC</w:t>
      </w:r>
      <w:r w:rsidRPr="00AA499E">
        <w:rPr>
          <w:rFonts w:ascii="Times New Roman" w:hAnsi="Times New Roman"/>
          <w:vertAlign w:val="subscript"/>
          <w:lang w:val="da-DK"/>
        </w:rPr>
        <w:t>(0-∞)</w:t>
      </w:r>
      <w:r w:rsidRPr="00AA499E">
        <w:rPr>
          <w:rFonts w:ascii="Times New Roman" w:hAnsi="Times New Roman"/>
          <w:lang w:val="da-DK"/>
        </w:rPr>
        <w:t xml:space="preserve"> på mindst 54 % og 74 % af værdierne uden rifampicinbehandling. Lignende resultater blev observeret hos patienter med maligne gliomer behandlet med imatinib samtidig med indtagelse af enzyminducerende antiepileptiske lægemidler (EIAEDs) som carbamazepin, oxcarbazepin og phenytoin Plasma AUC for imatinib blev reduceret med 73 % sammenlignet med patienter som ikke blev behandlet med EIAEDs. Samtidig anvendelse af rifampicin eller andre stærke CYP3A4-induktorer og imatinib bør undgås.</w:t>
      </w:r>
    </w:p>
    <w:p w14:paraId="4139F867" w14:textId="77777777" w:rsidR="006478AD" w:rsidRPr="00AA499E" w:rsidRDefault="006478AD">
      <w:pPr>
        <w:autoSpaceDE w:val="0"/>
        <w:autoSpaceDN w:val="0"/>
        <w:adjustRightInd w:val="0"/>
        <w:spacing w:after="0" w:line="240" w:lineRule="auto"/>
        <w:rPr>
          <w:rFonts w:ascii="Times New Roman" w:hAnsi="Times New Roman"/>
          <w:lang w:val="da-DK"/>
        </w:rPr>
      </w:pPr>
    </w:p>
    <w:p w14:paraId="67FB4BE6"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Aktive stoffer hvis plasmakoncentration kan ændres af imatinib</w:t>
      </w:r>
      <w:r w:rsidR="00474977" w:rsidRPr="00AA499E">
        <w:rPr>
          <w:rFonts w:ascii="Times New Roman" w:hAnsi="Times New Roman"/>
          <w:u w:val="single"/>
          <w:lang w:val="da-DK"/>
        </w:rPr>
        <w:t>:</w:t>
      </w:r>
    </w:p>
    <w:p w14:paraId="2E9BB78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øger gennemsnitligt C</w:t>
      </w:r>
      <w:r w:rsidRPr="00AA499E">
        <w:rPr>
          <w:rFonts w:ascii="Times New Roman" w:hAnsi="Times New Roman"/>
          <w:vertAlign w:val="subscript"/>
          <w:lang w:val="da-DK"/>
        </w:rPr>
        <w:t>max</w:t>
      </w:r>
      <w:r w:rsidRPr="00AA499E">
        <w:rPr>
          <w:rFonts w:ascii="Times New Roman" w:hAnsi="Times New Roman"/>
          <w:lang w:val="da-DK"/>
        </w:rPr>
        <w:t xml:space="preserve"> og AUC af simvastatin (et CYP3A4-substrat) henholdsvis 2 og 3,5 gange, hvilket indikerer, at imatinib hæmmer CYP3A4.  Forsigtighed tilrådes derfor, når imatinib administreres sammen med CYP3A4-substrater med snævert terapeutisk interval (f.eks. ciclosporin eller pimozid</w:t>
      </w:r>
      <w:r w:rsidR="004279F3" w:rsidRPr="00AA499E">
        <w:rPr>
          <w:rFonts w:ascii="Times New Roman" w:hAnsi="Times New Roman"/>
          <w:lang w:val="da-DK"/>
        </w:rPr>
        <w:t xml:space="preserve"> </w:t>
      </w:r>
      <w:r w:rsidR="004279F3" w:rsidRPr="00AA499E">
        <w:rPr>
          <w:rFonts w:ascii="Times New Roman" w:hAnsi="Times New Roman"/>
          <w:b/>
          <w:color w:val="000000"/>
          <w:lang w:val="da-DK"/>
        </w:rPr>
        <w:t xml:space="preserve">, </w:t>
      </w:r>
      <w:r w:rsidR="004279F3" w:rsidRPr="00AA499E">
        <w:rPr>
          <w:rFonts w:ascii="Times New Roman" w:hAnsi="Times New Roman"/>
          <w:color w:val="000000"/>
          <w:lang w:val="da-DK"/>
        </w:rPr>
        <w:t>tacrolimus, sirolimus, ergotamin, diergotamin, fentanyl, alfentanil, terfenadin, bortezomib, docetaxel og quinidin)</w:t>
      </w:r>
      <w:r w:rsidRPr="00AA499E">
        <w:rPr>
          <w:rFonts w:ascii="Times New Roman" w:hAnsi="Times New Roman"/>
          <w:lang w:val="da-DK"/>
        </w:rPr>
        <w:t>. Imatinib kan øge plasmakoncentrationen af andre CYP3A4-metaboliserede lægemidler (for eksempel triazol-benzodiazepiner, dihydropyridin-calciumantagonister, visse HMG-CoA reduktasehæmmere, såsom statiner osv.).</w:t>
      </w:r>
    </w:p>
    <w:p w14:paraId="26DBC0DB" w14:textId="77777777" w:rsidR="006478AD" w:rsidRPr="00AA499E" w:rsidRDefault="006478AD">
      <w:pPr>
        <w:autoSpaceDE w:val="0"/>
        <w:autoSpaceDN w:val="0"/>
        <w:adjustRightInd w:val="0"/>
        <w:spacing w:after="0" w:line="240" w:lineRule="auto"/>
        <w:rPr>
          <w:rFonts w:ascii="Times New Roman" w:hAnsi="Times New Roman"/>
          <w:lang w:val="da-DK"/>
        </w:rPr>
      </w:pPr>
    </w:p>
    <w:p w14:paraId="5782681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På grund af kendt øget risiko for blødning i forbindelse med brug af imitanib (f.eks. hæmoragi) bør patienter med behov for antikoagulantia have heparin med lav molekylevægt eller standardheparin i stedet for coumarinderivater som warfarin.</w:t>
      </w:r>
    </w:p>
    <w:p w14:paraId="40E07F6B" w14:textId="77777777" w:rsidR="006478AD" w:rsidRPr="00AA499E" w:rsidRDefault="006478AD">
      <w:pPr>
        <w:autoSpaceDE w:val="0"/>
        <w:autoSpaceDN w:val="0"/>
        <w:adjustRightInd w:val="0"/>
        <w:spacing w:after="0" w:line="240" w:lineRule="auto"/>
        <w:rPr>
          <w:rFonts w:ascii="Times New Roman" w:hAnsi="Times New Roman"/>
          <w:lang w:val="da-DK"/>
        </w:rPr>
      </w:pPr>
    </w:p>
    <w:p w14:paraId="7F84FAC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lastRenderedPageBreak/>
        <w:t>In vitro</w:t>
      </w:r>
      <w:r w:rsidRPr="00AA499E">
        <w:rPr>
          <w:rFonts w:ascii="Times New Roman" w:hAnsi="Times New Roman"/>
          <w:lang w:val="da-DK"/>
        </w:rPr>
        <w:t xml:space="preserve"> hæmmer imatinib cytochrom P450 isoenzym CYP2D6-aktivitet ved koncentrationer svarende til dem, der påvirker CYP3A4-aktivitet. 400 mg imatinib to gange daglig havde en inhibitorisk effekt på CYP2D6-medieret metoprololmetabolisme, som gav en stigning af C</w:t>
      </w:r>
      <w:r w:rsidRPr="00AA499E">
        <w:rPr>
          <w:rFonts w:ascii="Times New Roman" w:hAnsi="Times New Roman"/>
          <w:vertAlign w:val="subscript"/>
          <w:lang w:val="da-DK"/>
        </w:rPr>
        <w:t>max</w:t>
      </w:r>
      <w:r w:rsidRPr="00AA499E">
        <w:rPr>
          <w:rFonts w:ascii="Times New Roman" w:hAnsi="Times New Roman"/>
          <w:lang w:val="da-DK"/>
        </w:rPr>
        <w:t xml:space="preserve"> og AUC for metoprolol på cirka 23 % (90 %CI [1,16-1,30]). Dosisjustering ser ikke ud til at være nødvendigt, når imatinib administreres samtidig med CYP2D6-substrater. Forsigtighed tilrådes dog ved CYP2D6-substrater med et snævert terapeutisk vindue som f.eks. metoprolol. Hos patienter, der behandles med metoprolol, bør klinisk monitorering overvejes.</w:t>
      </w:r>
    </w:p>
    <w:p w14:paraId="2B953BAC" w14:textId="77777777" w:rsidR="006478AD" w:rsidRPr="00AA499E" w:rsidRDefault="006478AD">
      <w:pPr>
        <w:autoSpaceDE w:val="0"/>
        <w:autoSpaceDN w:val="0"/>
        <w:adjustRightInd w:val="0"/>
        <w:spacing w:after="0" w:line="240" w:lineRule="auto"/>
        <w:rPr>
          <w:rFonts w:ascii="Times New Roman" w:hAnsi="Times New Roman"/>
          <w:lang w:val="da-DK"/>
        </w:rPr>
      </w:pPr>
    </w:p>
    <w:p w14:paraId="171F02BD" w14:textId="77777777" w:rsidR="006478AD" w:rsidRPr="00AA499E" w:rsidRDefault="00616F3C">
      <w:pPr>
        <w:widowControl w:val="0"/>
        <w:autoSpaceDE w:val="0"/>
        <w:autoSpaceDN w:val="0"/>
        <w:adjustRightInd w:val="0"/>
        <w:spacing w:after="0" w:line="245" w:lineRule="auto"/>
        <w:ind w:right="286"/>
        <w:rPr>
          <w:rFonts w:ascii="Times New Roman" w:hAnsi="Times New Roman"/>
          <w:lang w:val="da-DK"/>
        </w:rPr>
      </w:pPr>
      <w:r w:rsidRPr="00AA499E">
        <w:rPr>
          <w:rFonts w:ascii="Times New Roman" w:hAnsi="Times New Roman"/>
          <w:i/>
          <w:iCs/>
          <w:lang w:val="da-DK"/>
        </w:rPr>
        <w:t>In vitro</w:t>
      </w:r>
      <w:r w:rsidRPr="00AA499E">
        <w:rPr>
          <w:rFonts w:ascii="Times New Roman" w:hAnsi="Times New Roman"/>
          <w:lang w:val="da-DK"/>
        </w:rPr>
        <w:t xml:space="preserve"> hæmmer imatinib O-glucuronidationen af paracetamol med en Ki-værdi på 58,5 mikromol/l. Denne hæmning er ikke observeret </w:t>
      </w:r>
      <w:r w:rsidRPr="00AA499E">
        <w:rPr>
          <w:rFonts w:ascii="Times New Roman" w:hAnsi="Times New Roman"/>
          <w:i/>
          <w:iCs/>
          <w:lang w:val="da-DK"/>
        </w:rPr>
        <w:t xml:space="preserve">in vivo </w:t>
      </w:r>
      <w:r w:rsidRPr="00AA499E">
        <w:rPr>
          <w:rFonts w:ascii="Times New Roman" w:hAnsi="Times New Roman"/>
          <w:lang w:val="da-DK"/>
        </w:rPr>
        <w:t>efter administrationen af 400 mg imatinib og 1 g paracetamol. Højere doser af imatinib og paracetamol er ikke blevet undersøgt.</w:t>
      </w:r>
    </w:p>
    <w:p w14:paraId="1BB8CA8E" w14:textId="77777777" w:rsidR="006478AD" w:rsidRPr="00AA499E" w:rsidRDefault="006478AD">
      <w:pPr>
        <w:autoSpaceDE w:val="0"/>
        <w:autoSpaceDN w:val="0"/>
        <w:adjustRightInd w:val="0"/>
        <w:spacing w:after="0" w:line="240" w:lineRule="auto"/>
        <w:rPr>
          <w:rFonts w:ascii="Times New Roman" w:hAnsi="Times New Roman"/>
          <w:lang w:val="da-DK"/>
        </w:rPr>
      </w:pPr>
    </w:p>
    <w:p w14:paraId="1B3F5E6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rådes derfor til forsigtighed, når høje doser imatinib og paracetamol anvendes samtidig.</w:t>
      </w:r>
    </w:p>
    <w:p w14:paraId="6915BE27" w14:textId="77777777" w:rsidR="006478AD" w:rsidRPr="00AA499E" w:rsidRDefault="006478AD">
      <w:pPr>
        <w:autoSpaceDE w:val="0"/>
        <w:autoSpaceDN w:val="0"/>
        <w:adjustRightInd w:val="0"/>
        <w:spacing w:after="0" w:line="240" w:lineRule="auto"/>
        <w:rPr>
          <w:rFonts w:ascii="Times New Roman" w:hAnsi="Times New Roman"/>
          <w:lang w:val="da-DK"/>
        </w:rPr>
      </w:pPr>
    </w:p>
    <w:p w14:paraId="022CE07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Plasmaeksponeringen af levothyroxin kan muligvis mindskes, når imatinib gives samtidig til thyreoidektomerede patienter (se pkt. 4.4). Det anbefales derfor at udvise forsigtighed. Mekanismen for den observerede interaktion er dog endnu ukendt.</w:t>
      </w:r>
    </w:p>
    <w:p w14:paraId="0EAC3091" w14:textId="77777777" w:rsidR="006478AD" w:rsidRPr="00AA499E" w:rsidRDefault="006478AD">
      <w:pPr>
        <w:autoSpaceDE w:val="0"/>
        <w:autoSpaceDN w:val="0"/>
        <w:adjustRightInd w:val="0"/>
        <w:spacing w:after="0" w:line="240" w:lineRule="auto"/>
        <w:rPr>
          <w:rFonts w:ascii="Times New Roman" w:hAnsi="Times New Roman"/>
          <w:lang w:val="da-DK"/>
        </w:rPr>
      </w:pPr>
    </w:p>
    <w:p w14:paraId="7ECFDD6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klinisk erfaring med administration af imatinib sammen med kemoterapi (se pkt. 5.1) til patienter med Ph+ ALL, men specifikke interaktionsstudier mellem imatinib og kemoterapiregimer er ikke tilstrækkeligt karakteriseret. Bivirkninger af imitanib f.eks. hepatotoksicitet, myelosuppression eller andre kan øges. Det er rapporteret, at samtidig brug med L-asparaginase kan være associeret med øget hepatotoksicitet (se pkt. 4.8). Brug af imatinib i denne kombination kræver derfor særlig forsigtighed.</w:t>
      </w:r>
    </w:p>
    <w:p w14:paraId="076DA824" w14:textId="77777777" w:rsidR="006478AD" w:rsidRPr="00AA499E" w:rsidRDefault="006478AD">
      <w:pPr>
        <w:autoSpaceDE w:val="0"/>
        <w:autoSpaceDN w:val="0"/>
        <w:adjustRightInd w:val="0"/>
        <w:spacing w:after="0" w:line="240" w:lineRule="auto"/>
        <w:rPr>
          <w:rFonts w:ascii="Times New Roman" w:hAnsi="Times New Roman"/>
          <w:lang w:val="da-DK"/>
        </w:rPr>
      </w:pPr>
    </w:p>
    <w:p w14:paraId="14D819F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4.6</w:t>
      </w:r>
      <w:r w:rsidRPr="00AA499E">
        <w:rPr>
          <w:rFonts w:ascii="Times New Roman" w:hAnsi="Times New Roman"/>
          <w:b/>
          <w:bCs/>
          <w:lang w:val="da-DK"/>
        </w:rPr>
        <w:tab/>
        <w:t>Fertilitet, graviditet og amning</w:t>
      </w:r>
    </w:p>
    <w:p w14:paraId="4168C4A4" w14:textId="77777777" w:rsidR="006478AD" w:rsidRPr="00AA499E" w:rsidRDefault="006478AD">
      <w:pPr>
        <w:autoSpaceDE w:val="0"/>
        <w:autoSpaceDN w:val="0"/>
        <w:adjustRightInd w:val="0"/>
        <w:spacing w:after="0" w:line="240" w:lineRule="auto"/>
        <w:rPr>
          <w:rFonts w:ascii="Times New Roman" w:hAnsi="Times New Roman"/>
          <w:lang w:val="da-DK"/>
        </w:rPr>
      </w:pPr>
    </w:p>
    <w:p w14:paraId="6B4C8BFC" w14:textId="77777777" w:rsidR="006B14A6" w:rsidRPr="00AA499E" w:rsidRDefault="006B14A6" w:rsidP="006B14A6">
      <w:pPr>
        <w:autoSpaceDE w:val="0"/>
        <w:autoSpaceDN w:val="0"/>
        <w:adjustRightInd w:val="0"/>
        <w:spacing w:after="0" w:line="240" w:lineRule="auto"/>
        <w:rPr>
          <w:rFonts w:ascii="Times New Roman" w:hAnsi="Times New Roman"/>
          <w:lang w:val="da-DK"/>
        </w:rPr>
      </w:pPr>
      <w:r w:rsidRPr="00AA499E">
        <w:rPr>
          <w:rFonts w:ascii="Times New Roman" w:hAnsi="Times New Roman"/>
          <w:u w:val="single"/>
          <w:lang w:val="da-DK"/>
        </w:rPr>
        <w:t>Kvinder i den fertile alder</w:t>
      </w:r>
    </w:p>
    <w:p w14:paraId="72A33C87" w14:textId="77777777" w:rsidR="006B14A6" w:rsidRPr="00AA499E" w:rsidRDefault="006B14A6" w:rsidP="006B14A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Kvinder i den fertile alder skal tilrådes at anvende sikker kontraception under behandlingen</w:t>
      </w:r>
      <w:r w:rsidR="007E3CA6" w:rsidRPr="00AA499E">
        <w:rPr>
          <w:rFonts w:ascii="Times New Roman" w:hAnsi="Times New Roman"/>
          <w:lang w:val="da-DK"/>
        </w:rPr>
        <w:t xml:space="preserve"> </w:t>
      </w:r>
      <w:r w:rsidR="007E3CA6" w:rsidRPr="00AA499E">
        <w:rPr>
          <w:rFonts w:ascii="Times New Roman" w:hAnsi="Times New Roman"/>
          <w:color w:val="000000"/>
          <w:lang w:val="da-DK"/>
        </w:rPr>
        <w:t xml:space="preserve">og i mindst 15 dage efter ophør af behandlingen med Imatinib </w:t>
      </w:r>
      <w:r w:rsidR="00370FB3" w:rsidRPr="00AA499E">
        <w:rPr>
          <w:rFonts w:ascii="Times New Roman" w:hAnsi="Times New Roman"/>
          <w:color w:val="000000"/>
          <w:lang w:val="da-DK"/>
        </w:rPr>
        <w:t>Actavis</w:t>
      </w:r>
      <w:r w:rsidRPr="00AA499E">
        <w:rPr>
          <w:rFonts w:ascii="Times New Roman" w:hAnsi="Times New Roman"/>
          <w:lang w:val="da-DK"/>
        </w:rPr>
        <w:t>.</w:t>
      </w:r>
    </w:p>
    <w:p w14:paraId="7B55FC27" w14:textId="77777777" w:rsidR="006B14A6" w:rsidRPr="00AA499E" w:rsidRDefault="006B14A6">
      <w:pPr>
        <w:autoSpaceDE w:val="0"/>
        <w:autoSpaceDN w:val="0"/>
        <w:adjustRightInd w:val="0"/>
        <w:spacing w:after="0" w:line="240" w:lineRule="auto"/>
        <w:rPr>
          <w:rFonts w:ascii="Times New Roman" w:hAnsi="Times New Roman"/>
          <w:lang w:val="da-DK"/>
        </w:rPr>
      </w:pPr>
    </w:p>
    <w:p w14:paraId="2CB760C6"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Graviditet</w:t>
      </w:r>
    </w:p>
    <w:p w14:paraId="1208687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Der er utilstrækkelige data fra anvendelse af imatinib til gravide kvinder. </w:t>
      </w:r>
      <w:r w:rsidR="00C97AAF" w:rsidRPr="00AA499E">
        <w:rPr>
          <w:rFonts w:ascii="Times New Roman" w:hAnsi="Times New Roman"/>
          <w:lang w:val="da-DK"/>
        </w:rPr>
        <w:t xml:space="preserve">Der har efter markedsføring været rapporter om spontane aborter og medfødte abnormaliteter hos spædbørn født af kvinder, som har taget imatinib. </w:t>
      </w:r>
      <w:r w:rsidRPr="00AA499E">
        <w:rPr>
          <w:rFonts w:ascii="Times New Roman" w:hAnsi="Times New Roman"/>
          <w:lang w:val="da-DK"/>
        </w:rPr>
        <w:t xml:space="preserve">Dyreforsøg har dog påvist reproduktionstoksicitet (se pkt. 5.3). Den potentielle risiko for fostret er ukendt. Imatinib bør ikke anvendes under graviditeten, medmindre det er klart nødvendigt. Hvis produktet anvendes under graviditet, skal patienten informeres om den potentielle risiko for fostret. </w:t>
      </w:r>
    </w:p>
    <w:p w14:paraId="679C8395" w14:textId="77777777" w:rsidR="004222D6" w:rsidRPr="00AA499E" w:rsidRDefault="004222D6">
      <w:pPr>
        <w:autoSpaceDE w:val="0"/>
        <w:autoSpaceDN w:val="0"/>
        <w:adjustRightInd w:val="0"/>
        <w:spacing w:after="0" w:line="240" w:lineRule="auto"/>
        <w:rPr>
          <w:rFonts w:ascii="Times New Roman" w:hAnsi="Times New Roman"/>
          <w:u w:val="single"/>
          <w:lang w:val="da-DK"/>
        </w:rPr>
      </w:pPr>
    </w:p>
    <w:p w14:paraId="7A70C99C"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Amning</w:t>
      </w:r>
    </w:p>
    <w:p w14:paraId="53F367BF" w14:textId="6BDC2868"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begrænset information om fordelingen af imatinib i modermælk. Studier i to ammende kvinder viste, at både imatinib og dets aktive metabolit kan blive udskilt i modermælk. Mælk/plasma ratio undersøgt i en enkelt patient blev bestemt til at være 0,5 for imatinib og 0,9 for metabolitten, hvilket tyder på en større fordeling af metabolitten i modermælken. Den totale koncentration af imatinib og metabolitten og spædbørns maksimale daglige indtagelse af mælk taget i betragtning, er det forventet, at den totale eksponering er lav (~10% af den terapeutiske dosis). Da effekten af lavdosiseksponering af imatinib hos spædbarnet er ukendt, bør kvinder ikke amme</w:t>
      </w:r>
      <w:r w:rsidR="00370FB3" w:rsidRPr="00AA499E">
        <w:rPr>
          <w:rFonts w:ascii="Times New Roman" w:hAnsi="Times New Roman"/>
          <w:lang w:val="da-DK"/>
        </w:rPr>
        <w:t xml:space="preserve"> under behandlingen og i mindst 15 dage efter ophør af behandlingen med Imatinib Actavis</w:t>
      </w:r>
      <w:r w:rsidRPr="00AA499E">
        <w:rPr>
          <w:rFonts w:ascii="Times New Roman" w:hAnsi="Times New Roman"/>
          <w:lang w:val="da-DK"/>
        </w:rPr>
        <w:t>.</w:t>
      </w:r>
    </w:p>
    <w:p w14:paraId="3BDFF0D0" w14:textId="77777777" w:rsidR="006478AD" w:rsidRPr="00AA499E" w:rsidRDefault="006478AD">
      <w:pPr>
        <w:autoSpaceDE w:val="0"/>
        <w:autoSpaceDN w:val="0"/>
        <w:adjustRightInd w:val="0"/>
        <w:spacing w:after="0" w:line="240" w:lineRule="auto"/>
        <w:rPr>
          <w:rFonts w:ascii="Times New Roman" w:hAnsi="Times New Roman"/>
          <w:lang w:val="da-DK"/>
        </w:rPr>
      </w:pPr>
    </w:p>
    <w:p w14:paraId="19264105" w14:textId="77777777" w:rsidR="006478AD" w:rsidRPr="00AA499E" w:rsidRDefault="00616F3C" w:rsidP="00E10670">
      <w:pPr>
        <w:keepNext/>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Fertilitet</w:t>
      </w:r>
    </w:p>
    <w:p w14:paraId="6B990E0B" w14:textId="27A9305E"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prækliniske studier var fertiliteten hos han- og hunrotter ikke påvirket</w:t>
      </w:r>
      <w:r w:rsidR="004E54BF">
        <w:rPr>
          <w:rFonts w:ascii="Times New Roman" w:hAnsi="Times New Roman"/>
          <w:lang w:val="da-DK"/>
        </w:rPr>
        <w:t>,</w:t>
      </w:r>
      <w:r w:rsidR="007E3CA6" w:rsidRPr="00AA499E">
        <w:rPr>
          <w:rFonts w:ascii="Times New Roman" w:hAnsi="Times New Roman"/>
          <w:lang w:val="da-DK"/>
        </w:rPr>
        <w:t xml:space="preserve"> </w:t>
      </w:r>
      <w:r w:rsidR="007E3CA6" w:rsidRPr="00AA499E">
        <w:rPr>
          <w:rFonts w:ascii="Times New Roman" w:hAnsi="Times New Roman"/>
          <w:color w:val="000000"/>
          <w:lang w:val="da-DK"/>
        </w:rPr>
        <w:t>selvom der blev observeret påvirkning af reproduktionsparametre</w:t>
      </w:r>
      <w:r w:rsidRPr="00AA499E">
        <w:rPr>
          <w:rFonts w:ascii="Times New Roman" w:hAnsi="Times New Roman"/>
          <w:lang w:val="da-DK"/>
        </w:rPr>
        <w:t xml:space="preserve"> (se pkt. 5.3). Der er ikke udført studier med patienter, der fik </w:t>
      </w:r>
      <w:r w:rsidRPr="00AA499E">
        <w:rPr>
          <w:rFonts w:ascii="Times New Roman" w:hAnsi="Times New Roman"/>
          <w:lang w:val="da-DK"/>
        </w:rPr>
        <w:lastRenderedPageBreak/>
        <w:t>imatinib, og dets virkning på fertilitet og gametogenese. Patienter, der bekymrer sig om deres fertilitet under imatinib-behandling, bør konsultere deres læge.</w:t>
      </w:r>
    </w:p>
    <w:p w14:paraId="69BCA2CC" w14:textId="77777777" w:rsidR="006478AD" w:rsidRPr="00AA499E" w:rsidRDefault="006478AD">
      <w:pPr>
        <w:autoSpaceDE w:val="0"/>
        <w:autoSpaceDN w:val="0"/>
        <w:adjustRightInd w:val="0"/>
        <w:spacing w:after="0" w:line="240" w:lineRule="auto"/>
        <w:rPr>
          <w:rFonts w:ascii="Times New Roman" w:hAnsi="Times New Roman"/>
          <w:lang w:val="da-DK"/>
        </w:rPr>
      </w:pPr>
    </w:p>
    <w:p w14:paraId="04BE4E0B"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4.7</w:t>
      </w:r>
      <w:r w:rsidRPr="00AA499E">
        <w:rPr>
          <w:rFonts w:ascii="Times New Roman" w:hAnsi="Times New Roman"/>
          <w:b/>
          <w:bCs/>
          <w:lang w:val="da-DK"/>
        </w:rPr>
        <w:tab/>
        <w:t>Virkninger på evnen til at føre motorkøretøj eller betjene maskiner</w:t>
      </w:r>
    </w:p>
    <w:p w14:paraId="13C4BEFC" w14:textId="77777777" w:rsidR="006478AD" w:rsidRPr="00AA499E" w:rsidRDefault="006478AD" w:rsidP="008370B1">
      <w:pPr>
        <w:keepNext/>
        <w:autoSpaceDE w:val="0"/>
        <w:autoSpaceDN w:val="0"/>
        <w:adjustRightInd w:val="0"/>
        <w:spacing w:after="0" w:line="240" w:lineRule="auto"/>
        <w:rPr>
          <w:rFonts w:ascii="Times New Roman" w:hAnsi="Times New Roman"/>
          <w:lang w:val="da-DK"/>
        </w:rPr>
      </w:pPr>
    </w:p>
    <w:p w14:paraId="7DDF8BD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Patienter skal advares om, at de kan opleve bivirkninger som svimmelhed, sløret syn eller døsighed under behandling med imatinib. Forsigtighed anbefales derfor, når der føres motorkøretøj eller betjenes maskiner.</w:t>
      </w:r>
    </w:p>
    <w:p w14:paraId="04054740" w14:textId="77777777" w:rsidR="006478AD" w:rsidRPr="00AA499E" w:rsidRDefault="006478AD">
      <w:pPr>
        <w:autoSpaceDE w:val="0"/>
        <w:autoSpaceDN w:val="0"/>
        <w:adjustRightInd w:val="0"/>
        <w:spacing w:after="0" w:line="240" w:lineRule="auto"/>
        <w:rPr>
          <w:rFonts w:ascii="Times New Roman" w:hAnsi="Times New Roman"/>
          <w:lang w:val="da-DK"/>
        </w:rPr>
      </w:pPr>
    </w:p>
    <w:p w14:paraId="598B0AEF"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4.8</w:t>
      </w:r>
      <w:r w:rsidRPr="00AA499E">
        <w:rPr>
          <w:rFonts w:ascii="Times New Roman" w:hAnsi="Times New Roman"/>
          <w:b/>
          <w:bCs/>
          <w:lang w:val="da-DK"/>
        </w:rPr>
        <w:tab/>
        <w:t>Bivirkninger</w:t>
      </w:r>
    </w:p>
    <w:p w14:paraId="462F64DD" w14:textId="77777777" w:rsidR="006478AD" w:rsidRPr="00AA499E" w:rsidRDefault="006478AD">
      <w:pPr>
        <w:autoSpaceDE w:val="0"/>
        <w:autoSpaceDN w:val="0"/>
        <w:adjustRightInd w:val="0"/>
        <w:spacing w:after="0" w:line="240" w:lineRule="auto"/>
        <w:rPr>
          <w:rFonts w:ascii="Times New Roman" w:hAnsi="Times New Roman"/>
          <w:lang w:val="da-DK"/>
        </w:rPr>
      </w:pPr>
    </w:p>
    <w:p w14:paraId="233D5DA9" w14:textId="77777777" w:rsidR="005F75CB" w:rsidRPr="00AA499E" w:rsidRDefault="005F75CB">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Sammendrag af sikkerhedsprofilen</w:t>
      </w:r>
    </w:p>
    <w:p w14:paraId="043EDB0A" w14:textId="77777777" w:rsidR="005F75CB" w:rsidRPr="00AA499E" w:rsidRDefault="005F75CB">
      <w:pPr>
        <w:autoSpaceDE w:val="0"/>
        <w:autoSpaceDN w:val="0"/>
        <w:adjustRightInd w:val="0"/>
        <w:spacing w:after="0" w:line="240" w:lineRule="auto"/>
        <w:rPr>
          <w:rFonts w:ascii="Times New Roman" w:hAnsi="Times New Roman"/>
          <w:lang w:val="da-DK"/>
        </w:rPr>
      </w:pPr>
    </w:p>
    <w:p w14:paraId="7A65BC6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Patienter med fremskredne stadier af maligne lidelser kan frembyde en kompleks blanding af sygdomsbilleder, der kan gøre det svært at vurdere årsagen til bivirkninger på grund af prævalens og stor mangeartethed af symptomer relateret til den underliggende sygdom, sygdommens progression og samtidig administration af adskillige lægemidler.</w:t>
      </w:r>
    </w:p>
    <w:p w14:paraId="2BFA07AD" w14:textId="77777777" w:rsidR="006478AD" w:rsidRPr="00AA499E" w:rsidRDefault="006478AD">
      <w:pPr>
        <w:autoSpaceDE w:val="0"/>
        <w:autoSpaceDN w:val="0"/>
        <w:adjustRightInd w:val="0"/>
        <w:spacing w:after="0" w:line="240" w:lineRule="auto"/>
        <w:rPr>
          <w:rFonts w:ascii="Times New Roman" w:hAnsi="Times New Roman"/>
          <w:lang w:val="da-DK"/>
        </w:rPr>
      </w:pPr>
    </w:p>
    <w:p w14:paraId="3205315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kliniske undersøgelser i CML blev der hos 2 % af nydiagnosticerede patienter, hos 2,4 % af patienterne i sen kronisk fase efter svigtende interferonbehandling, hos 4 % af patienterne i accelereret fase efter svigtende interferonbehandling og hos 5 % af patienterne i blastkrise efter svigtende interferonbehandling observeret seponering af undersøgelsesmedicinen på grund af lægemiddelrelaterede bivirkninger. Hos 4 % af GIST-patienterne blev undersøgelsesmedicinen seponeret på grund af lægemiddelrelaterede bivirkninger</w:t>
      </w:r>
    </w:p>
    <w:p w14:paraId="0C41D67B" w14:textId="77777777" w:rsidR="006478AD" w:rsidRPr="00AA499E" w:rsidRDefault="006478AD">
      <w:pPr>
        <w:autoSpaceDE w:val="0"/>
        <w:autoSpaceDN w:val="0"/>
        <w:adjustRightInd w:val="0"/>
        <w:spacing w:after="0" w:line="240" w:lineRule="auto"/>
        <w:rPr>
          <w:rFonts w:ascii="Times New Roman" w:hAnsi="Times New Roman"/>
          <w:lang w:val="da-DK"/>
        </w:rPr>
      </w:pPr>
    </w:p>
    <w:p w14:paraId="54CDEF4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Bivirkningsmønstret var, med 2 undtagelser, det samme ved alle indikationer. Der sås hyppigere myelosuppression hos CML-patienter end hos GIST-patienter, hvilket sandsynligvis skyldes primærsygdommen. I undersøgelsen med patienter med inoperabel og/eller metastaserende GIST, oplevede 7 (5 %) af patienterne CTC grad 3–4: gastrointestinale blødninger (3 patienter), intra-tumorale blødninger (3 patienter) eller begge dele (1 patient). De gastrointestinale tumorer kan have været blødningskilden ved den gastrointestinale blødning (se pkt. 4.4). Gastrointestinal og tumoral blødning kan være alvorlig og i visse tilfælde fatal. De mest almindelige rapporterede (≥ 10 %) lægemiddelrelaterede bivirkninger var i begge patientgrupper: let kvalme, opkastning, diarré, abdominalsmerter, træthed, myalgi og muskelkramper samt udslæt. Overfladiske ødemer var et hyppigt fund i alle undersøgelser og blev primært beskrevet som værende periorbitale eller ødemer i nedre ekstremiteter. Disse ødemer var dog sjældent svære og kunne behandles med diuretika, andre understøttende tiltag eller ved at reducere dosis af imatinib.</w:t>
      </w:r>
    </w:p>
    <w:p w14:paraId="7B61FC70" w14:textId="77777777" w:rsidR="006478AD" w:rsidRPr="00AA499E" w:rsidRDefault="006478AD">
      <w:pPr>
        <w:autoSpaceDE w:val="0"/>
        <w:autoSpaceDN w:val="0"/>
        <w:adjustRightInd w:val="0"/>
        <w:spacing w:after="0" w:line="240" w:lineRule="auto"/>
        <w:rPr>
          <w:rFonts w:ascii="Times New Roman" w:hAnsi="Times New Roman"/>
          <w:lang w:val="da-DK"/>
        </w:rPr>
      </w:pPr>
    </w:p>
    <w:p w14:paraId="791E5FF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Når imatinib blev kombineret med højdosis kemoterapi hos Ph+ ALL patienter, sås forbigående levertoksicitet i form af forhøjet transaminase og hyperbilirubinæmi.</w:t>
      </w:r>
      <w:r w:rsidR="00373215" w:rsidRPr="00AA499E">
        <w:rPr>
          <w:rFonts w:ascii="Times New Roman" w:eastAsia="Times New Roman" w:hAnsi="Times New Roman"/>
          <w:color w:val="000000"/>
          <w:lang w:val="da-DK"/>
        </w:rPr>
        <w:t xml:space="preserve"> </w:t>
      </w:r>
      <w:r w:rsidR="00373215" w:rsidRPr="00AA499E">
        <w:rPr>
          <w:rFonts w:ascii="Times New Roman" w:hAnsi="Times New Roman"/>
          <w:lang w:val="da-DK"/>
        </w:rPr>
        <w:t>Under hensyntagen til den begrænsede sikkerhedsdatabase er de bivirkninger, der hidtil er rapporteret hos børn, i overensstemmelse med den kendte sikkerhedsprofil for voksne patienter med Ph+ ALL. Sikkerhedsdatabasen for børn med Ph+ ALL er meget begrænset. Der er dog ikke identificeret nye forhold vedrørende sikkerheden.</w:t>
      </w:r>
    </w:p>
    <w:p w14:paraId="1D54ED70" w14:textId="77777777" w:rsidR="006478AD" w:rsidRPr="00AA499E" w:rsidRDefault="006478AD">
      <w:pPr>
        <w:autoSpaceDE w:val="0"/>
        <w:autoSpaceDN w:val="0"/>
        <w:adjustRightInd w:val="0"/>
        <w:spacing w:after="0" w:line="240" w:lineRule="auto"/>
        <w:rPr>
          <w:rFonts w:ascii="Times New Roman" w:hAnsi="Times New Roman"/>
          <w:lang w:val="da-DK"/>
        </w:rPr>
      </w:pPr>
    </w:p>
    <w:p w14:paraId="5E259FA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Diverse bivirkninger, som for eksempel pleuraeksudat, ascites, lungeødem og hurtig vægtstigning med eller uden overfladiske ødemer, kan kollektivt betegnes som ”væskeretention”. Disse tilfælde blev sædvanligvis behandlet ved midlertidigt at tilbageholde behandling med imatinib, og behandle med diuretika og andre relevante, understøttende tiltag. I nogle tilfælde kan disse tilstande dog være alvorlige eller livstruende, og flere patienter med blastkrise døde med en kompleks anamnese af pleuraeksudat, </w:t>
      </w:r>
      <w:r w:rsidRPr="00AA499E">
        <w:rPr>
          <w:rFonts w:ascii="Times New Roman" w:hAnsi="Times New Roman"/>
          <w:lang w:val="da-DK"/>
        </w:rPr>
        <w:lastRenderedPageBreak/>
        <w:t>kongestivt hjerteinsufficiens og nyresvigt. Der var ingen særlige sikkerhedsmæssige fund i kliniske undersøgelser med børn.</w:t>
      </w:r>
    </w:p>
    <w:p w14:paraId="646AABD2" w14:textId="77777777" w:rsidR="006478AD" w:rsidRPr="00AA499E" w:rsidRDefault="006478AD">
      <w:pPr>
        <w:autoSpaceDE w:val="0"/>
        <w:autoSpaceDN w:val="0"/>
        <w:adjustRightInd w:val="0"/>
        <w:spacing w:after="0" w:line="240" w:lineRule="auto"/>
        <w:rPr>
          <w:rFonts w:ascii="Times New Roman" w:hAnsi="Times New Roman"/>
          <w:lang w:val="da-DK"/>
        </w:rPr>
      </w:pPr>
    </w:p>
    <w:p w14:paraId="6B4E958A"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Bivirkninger</w:t>
      </w:r>
    </w:p>
    <w:p w14:paraId="40CBD1C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Bivirkninger rapporteret med mere end et isoleret tilfælde er listet nedenfor efter organklasse og frekvens. Frekvenskategorier er defineret ved brug af følgende konvention: Meget almindelig (≥1/10), almindelig (≥1/100 til &lt;1/10), ikke almindelig (≥1/1.000 til &lt;1/100), sjælden (≥1/10.000 til &lt;1/1.000), meget sjælden (&lt;1/10.000), ikke kendt (kan ikke estimeres ud fra forhåndenværende data).</w:t>
      </w:r>
    </w:p>
    <w:p w14:paraId="663CC3A5" w14:textId="77777777" w:rsidR="006478AD" w:rsidRPr="00AA499E" w:rsidRDefault="006478AD">
      <w:pPr>
        <w:autoSpaceDE w:val="0"/>
        <w:autoSpaceDN w:val="0"/>
        <w:adjustRightInd w:val="0"/>
        <w:spacing w:after="0" w:line="240" w:lineRule="auto"/>
        <w:rPr>
          <w:rFonts w:ascii="Times New Roman" w:hAnsi="Times New Roman"/>
          <w:lang w:val="da-DK"/>
        </w:rPr>
      </w:pPr>
    </w:p>
    <w:p w14:paraId="442A7BC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Inden for hver enkelt frekvensgruppe er bivirkningerne opstillet efter frekvens med de hyppigste først.</w:t>
      </w:r>
    </w:p>
    <w:p w14:paraId="2CDBCEF9" w14:textId="77777777" w:rsidR="006478AD" w:rsidRPr="00AA499E" w:rsidRDefault="006478AD">
      <w:pPr>
        <w:autoSpaceDE w:val="0"/>
        <w:autoSpaceDN w:val="0"/>
        <w:adjustRightInd w:val="0"/>
        <w:spacing w:after="0" w:line="240" w:lineRule="auto"/>
        <w:rPr>
          <w:rFonts w:ascii="Times New Roman" w:hAnsi="Times New Roman"/>
          <w:lang w:val="da-DK"/>
        </w:rPr>
      </w:pPr>
    </w:p>
    <w:p w14:paraId="079FF11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Bivirkninger og deres frekvens </w:t>
      </w:r>
      <w:r w:rsidR="00101214" w:rsidRPr="00AA499E">
        <w:rPr>
          <w:rFonts w:ascii="Times New Roman" w:hAnsi="Times New Roman"/>
          <w:lang w:val="da-DK"/>
        </w:rPr>
        <w:t xml:space="preserve">er angivet </w:t>
      </w:r>
      <w:r w:rsidRPr="00AA499E">
        <w:rPr>
          <w:rFonts w:ascii="Times New Roman" w:hAnsi="Times New Roman"/>
          <w:lang w:val="da-DK"/>
        </w:rPr>
        <w:t>i Tabel 1.</w:t>
      </w:r>
    </w:p>
    <w:p w14:paraId="1DF0AF89" w14:textId="77777777" w:rsidR="006478AD" w:rsidRPr="00AA499E" w:rsidRDefault="006478AD">
      <w:pPr>
        <w:autoSpaceDE w:val="0"/>
        <w:autoSpaceDN w:val="0"/>
        <w:adjustRightInd w:val="0"/>
        <w:spacing w:after="0" w:line="240" w:lineRule="auto"/>
        <w:rPr>
          <w:rFonts w:ascii="Times New Roman" w:hAnsi="Times New Roman"/>
          <w:lang w:val="da-DK"/>
        </w:rPr>
      </w:pPr>
    </w:p>
    <w:p w14:paraId="358AECB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Tabel 1</w:t>
      </w:r>
      <w:r w:rsidRPr="00AA499E">
        <w:rPr>
          <w:rFonts w:ascii="Times New Roman" w:hAnsi="Times New Roman"/>
          <w:b/>
          <w:bCs/>
          <w:lang w:val="da-DK"/>
        </w:rPr>
        <w:tab/>
      </w:r>
      <w:r w:rsidR="00FB113F" w:rsidRPr="00AA499E">
        <w:rPr>
          <w:rFonts w:ascii="Times New Roman" w:hAnsi="Times New Roman"/>
          <w:b/>
          <w:bCs/>
          <w:lang w:val="da-DK"/>
        </w:rPr>
        <w:t>Opsummering af b</w:t>
      </w:r>
      <w:r w:rsidRPr="00AA499E">
        <w:rPr>
          <w:rFonts w:ascii="Times New Roman" w:hAnsi="Times New Roman"/>
          <w:b/>
          <w:bCs/>
          <w:lang w:val="da-DK"/>
        </w:rPr>
        <w:t>ivirkninger i kliniske studier</w:t>
      </w:r>
    </w:p>
    <w:p w14:paraId="2DA903ED"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188"/>
      </w:tblGrid>
      <w:tr w:rsidR="006478AD" w:rsidRPr="00AA499E" w14:paraId="0344FD5C" w14:textId="77777777">
        <w:tc>
          <w:tcPr>
            <w:tcW w:w="9546" w:type="dxa"/>
            <w:gridSpan w:val="2"/>
          </w:tcPr>
          <w:p w14:paraId="480858D7"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Infektioner og parasitære sygdomme</w:t>
            </w:r>
          </w:p>
        </w:tc>
      </w:tr>
      <w:tr w:rsidR="006478AD" w:rsidRPr="00AA499E" w14:paraId="36ACF242" w14:textId="77777777">
        <w:tc>
          <w:tcPr>
            <w:tcW w:w="2235" w:type="dxa"/>
          </w:tcPr>
          <w:p w14:paraId="08B87051"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26B9884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Herpes zoster, herpes simplex, nasopharyngitis, pneumoni</w:t>
            </w:r>
            <w:r w:rsidRPr="00AA499E">
              <w:rPr>
                <w:rFonts w:ascii="Times New Roman" w:hAnsi="Times New Roman"/>
                <w:vertAlign w:val="superscript"/>
                <w:lang w:val="da-DK"/>
              </w:rPr>
              <w:t>1</w:t>
            </w:r>
            <w:r w:rsidRPr="00AA499E">
              <w:rPr>
                <w:rFonts w:ascii="Times New Roman" w:hAnsi="Times New Roman"/>
                <w:lang w:val="da-DK"/>
              </w:rPr>
              <w:t>, sinuitis, cellulitis, infektioner i øvre luftveje, influenza, urinvejsinfektion, gastroenteritis, sepsis</w:t>
            </w:r>
          </w:p>
        </w:tc>
      </w:tr>
      <w:tr w:rsidR="006478AD" w:rsidRPr="00AA499E" w14:paraId="04A66854" w14:textId="77777777">
        <w:tc>
          <w:tcPr>
            <w:tcW w:w="2235" w:type="dxa"/>
          </w:tcPr>
          <w:p w14:paraId="23D6919A"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799C84F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Svampeinfektion</w:t>
            </w:r>
          </w:p>
        </w:tc>
      </w:tr>
      <w:tr w:rsidR="00017EA4" w:rsidRPr="00AA499E" w14:paraId="66872575" w14:textId="77777777">
        <w:tc>
          <w:tcPr>
            <w:tcW w:w="2235" w:type="dxa"/>
          </w:tcPr>
          <w:p w14:paraId="7EFD1B94" w14:textId="77777777" w:rsidR="00017EA4" w:rsidRPr="00AA499E" w:rsidRDefault="00017EA4">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kendt</w:t>
            </w:r>
          </w:p>
        </w:tc>
        <w:tc>
          <w:tcPr>
            <w:tcW w:w="7311" w:type="dxa"/>
          </w:tcPr>
          <w:p w14:paraId="4F17FE64" w14:textId="77777777" w:rsidR="00017EA4" w:rsidRPr="00AA499E" w:rsidRDefault="00017EA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Reaktivering af hepatitis B</w:t>
            </w:r>
            <w:r w:rsidR="001658C2" w:rsidRPr="00AA499E">
              <w:rPr>
                <w:rFonts w:ascii="Times New Roman" w:hAnsi="Times New Roman"/>
                <w:vertAlign w:val="superscript"/>
                <w:lang w:val="da-DK"/>
              </w:rPr>
              <w:t>*</w:t>
            </w:r>
          </w:p>
        </w:tc>
      </w:tr>
      <w:tr w:rsidR="006478AD" w:rsidRPr="00AA499E" w14:paraId="5AE5B414" w14:textId="77777777">
        <w:tc>
          <w:tcPr>
            <w:tcW w:w="9546" w:type="dxa"/>
            <w:gridSpan w:val="2"/>
          </w:tcPr>
          <w:p w14:paraId="69B4DF4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Benigne, maligne og uspecificerede tumorer (inkl. cyster og polypper)</w:t>
            </w:r>
          </w:p>
        </w:tc>
      </w:tr>
      <w:tr w:rsidR="006478AD" w:rsidRPr="00AA499E" w14:paraId="22E30537" w14:textId="77777777">
        <w:tc>
          <w:tcPr>
            <w:tcW w:w="2235" w:type="dxa"/>
          </w:tcPr>
          <w:p w14:paraId="393A3995"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09BFEC9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Tumorlysesyndrom</w:t>
            </w:r>
          </w:p>
        </w:tc>
      </w:tr>
      <w:tr w:rsidR="003C0EE0" w:rsidRPr="00AA499E" w14:paraId="35BA1266" w14:textId="77777777">
        <w:tc>
          <w:tcPr>
            <w:tcW w:w="2235" w:type="dxa"/>
          </w:tcPr>
          <w:p w14:paraId="7A4BCB98" w14:textId="77777777" w:rsidR="003C0EE0" w:rsidRPr="00AA499E" w:rsidRDefault="003C0EE0">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kendt</w:t>
            </w:r>
          </w:p>
        </w:tc>
        <w:tc>
          <w:tcPr>
            <w:tcW w:w="7311" w:type="dxa"/>
          </w:tcPr>
          <w:p w14:paraId="48CE8466" w14:textId="77777777" w:rsidR="003C0EE0" w:rsidRPr="00AA499E" w:rsidRDefault="003C0EE0">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Tumorblødning/tumornekrose*</w:t>
            </w:r>
          </w:p>
        </w:tc>
      </w:tr>
      <w:tr w:rsidR="003C0EE0" w:rsidRPr="00AA499E" w14:paraId="1D31C63D" w14:textId="77777777">
        <w:tc>
          <w:tcPr>
            <w:tcW w:w="9546" w:type="dxa"/>
            <w:gridSpan w:val="2"/>
          </w:tcPr>
          <w:p w14:paraId="3E60A8A0" w14:textId="77777777" w:rsidR="003C0EE0" w:rsidRPr="00AA499E" w:rsidRDefault="003C0EE0">
            <w:pPr>
              <w:autoSpaceDE w:val="0"/>
              <w:autoSpaceDN w:val="0"/>
              <w:adjustRightInd w:val="0"/>
              <w:spacing w:after="0" w:line="240" w:lineRule="auto"/>
              <w:rPr>
                <w:rFonts w:ascii="Times New Roman" w:hAnsi="Times New Roman"/>
                <w:b/>
                <w:bCs/>
                <w:lang w:val="da-DK"/>
              </w:rPr>
            </w:pPr>
            <w:r w:rsidRPr="00AA499E">
              <w:rPr>
                <w:rFonts w:ascii="Times New Roman" w:hAnsi="Times New Roman"/>
                <w:b/>
                <w:color w:val="000000"/>
                <w:lang w:val="da-DK"/>
              </w:rPr>
              <w:t>Immunsystemet</w:t>
            </w:r>
          </w:p>
        </w:tc>
      </w:tr>
      <w:tr w:rsidR="00974053" w:rsidRPr="00AA499E" w14:paraId="0021A4A0" w14:textId="77777777" w:rsidTr="00A41DDA">
        <w:tc>
          <w:tcPr>
            <w:tcW w:w="2235" w:type="dxa"/>
          </w:tcPr>
          <w:p w14:paraId="198EC9E9" w14:textId="77777777" w:rsidR="00974053" w:rsidRPr="00AA499E" w:rsidRDefault="00974053">
            <w:pPr>
              <w:autoSpaceDE w:val="0"/>
              <w:autoSpaceDN w:val="0"/>
              <w:adjustRightInd w:val="0"/>
              <w:spacing w:after="0" w:line="240" w:lineRule="auto"/>
              <w:rPr>
                <w:rFonts w:ascii="Times New Roman" w:hAnsi="Times New Roman"/>
                <w:bCs/>
                <w:lang w:val="da-DK"/>
              </w:rPr>
            </w:pPr>
            <w:r w:rsidRPr="00AA499E">
              <w:rPr>
                <w:rFonts w:ascii="Times New Roman" w:hAnsi="Times New Roman"/>
                <w:bCs/>
                <w:i/>
                <w:lang w:val="da-DK"/>
              </w:rPr>
              <w:t>Ikke kendt</w:t>
            </w:r>
          </w:p>
        </w:tc>
        <w:tc>
          <w:tcPr>
            <w:tcW w:w="7311" w:type="dxa"/>
          </w:tcPr>
          <w:p w14:paraId="15E4A885" w14:textId="77777777" w:rsidR="00974053" w:rsidRPr="00AA499E" w:rsidRDefault="00974053">
            <w:pPr>
              <w:autoSpaceDE w:val="0"/>
              <w:autoSpaceDN w:val="0"/>
              <w:adjustRightInd w:val="0"/>
              <w:spacing w:after="0" w:line="240" w:lineRule="auto"/>
              <w:rPr>
                <w:rFonts w:ascii="Times New Roman" w:hAnsi="Times New Roman"/>
                <w:b/>
                <w:bCs/>
                <w:i/>
                <w:lang w:val="da-DK"/>
              </w:rPr>
            </w:pPr>
            <w:r w:rsidRPr="00AA499E">
              <w:rPr>
                <w:rFonts w:ascii="Times New Roman" w:hAnsi="Times New Roman"/>
                <w:i/>
                <w:color w:val="000000"/>
                <w:lang w:val="da-DK"/>
              </w:rPr>
              <w:t>Anafylaktisk shock*</w:t>
            </w:r>
          </w:p>
        </w:tc>
      </w:tr>
      <w:tr w:rsidR="006478AD" w:rsidRPr="00AA499E" w14:paraId="371831CF" w14:textId="77777777">
        <w:tc>
          <w:tcPr>
            <w:tcW w:w="9546" w:type="dxa"/>
            <w:gridSpan w:val="2"/>
          </w:tcPr>
          <w:p w14:paraId="25B54B58"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Blod og lymfesystem</w:t>
            </w:r>
          </w:p>
        </w:tc>
      </w:tr>
      <w:tr w:rsidR="006478AD" w:rsidRPr="00AA499E" w14:paraId="59709C66" w14:textId="77777777">
        <w:tc>
          <w:tcPr>
            <w:tcW w:w="2235" w:type="dxa"/>
          </w:tcPr>
          <w:p w14:paraId="363B94F6"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Meget almindelig:</w:t>
            </w:r>
          </w:p>
        </w:tc>
        <w:tc>
          <w:tcPr>
            <w:tcW w:w="7311" w:type="dxa"/>
          </w:tcPr>
          <w:p w14:paraId="26CE752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Neutropeni, trombocytopeni, anæmi</w:t>
            </w:r>
          </w:p>
        </w:tc>
      </w:tr>
      <w:tr w:rsidR="006478AD" w:rsidRPr="00AA499E" w14:paraId="42B51314" w14:textId="77777777">
        <w:tc>
          <w:tcPr>
            <w:tcW w:w="2235" w:type="dxa"/>
          </w:tcPr>
          <w:p w14:paraId="502CE958"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6600AB3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Pancytopeni, febril neutropeni</w:t>
            </w:r>
          </w:p>
        </w:tc>
      </w:tr>
      <w:tr w:rsidR="006478AD" w:rsidRPr="00AA499E" w14:paraId="186FECFC" w14:textId="77777777">
        <w:tc>
          <w:tcPr>
            <w:tcW w:w="2235" w:type="dxa"/>
          </w:tcPr>
          <w:p w14:paraId="37A9C5A6"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071053E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Trombocytæmi, lymfopeni, knoglemarvsdepression, eosinofili, lymfadenopati</w:t>
            </w:r>
          </w:p>
        </w:tc>
      </w:tr>
      <w:tr w:rsidR="006478AD" w:rsidRPr="00AA499E" w14:paraId="697FF913" w14:textId="77777777">
        <w:tc>
          <w:tcPr>
            <w:tcW w:w="2235" w:type="dxa"/>
          </w:tcPr>
          <w:p w14:paraId="18E34323"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6193430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Hæmolytisk anæmi</w:t>
            </w:r>
            <w:r w:rsidR="0017077B" w:rsidRPr="00AA499E">
              <w:rPr>
                <w:rFonts w:ascii="Times New Roman" w:hAnsi="Times New Roman"/>
                <w:lang w:val="da-DK"/>
              </w:rPr>
              <w:t>, trombotisk mikroangiopati</w:t>
            </w:r>
          </w:p>
        </w:tc>
      </w:tr>
      <w:tr w:rsidR="006478AD" w:rsidRPr="00AA499E" w14:paraId="602D40EE" w14:textId="77777777">
        <w:tc>
          <w:tcPr>
            <w:tcW w:w="9546" w:type="dxa"/>
            <w:gridSpan w:val="2"/>
          </w:tcPr>
          <w:p w14:paraId="6D83464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Metabolisme og ernæring</w:t>
            </w:r>
          </w:p>
        </w:tc>
      </w:tr>
      <w:tr w:rsidR="006478AD" w:rsidRPr="00AA499E" w14:paraId="61094525" w14:textId="77777777">
        <w:tc>
          <w:tcPr>
            <w:tcW w:w="2235" w:type="dxa"/>
          </w:tcPr>
          <w:p w14:paraId="4320CA98"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5C0904C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Anoreksi</w:t>
            </w:r>
          </w:p>
        </w:tc>
      </w:tr>
      <w:tr w:rsidR="006478AD" w:rsidRPr="00AA499E" w14:paraId="4DBE306E" w14:textId="77777777">
        <w:tc>
          <w:tcPr>
            <w:tcW w:w="2235" w:type="dxa"/>
          </w:tcPr>
          <w:p w14:paraId="3BAE8A23"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31F6378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Hypokaliæmi, øget appetit, hypofosfatæmi, nedsat appetit, dehydrering, gigt, hyperurikæmi, hyperkalcæmi, hyperglykæmi, hyponatriæmi</w:t>
            </w:r>
          </w:p>
        </w:tc>
      </w:tr>
      <w:tr w:rsidR="006478AD" w:rsidRPr="00AA499E" w14:paraId="5B8797DE" w14:textId="77777777">
        <w:tc>
          <w:tcPr>
            <w:tcW w:w="2235" w:type="dxa"/>
          </w:tcPr>
          <w:p w14:paraId="1454D0B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14D8C84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Hyperkaliæmi, hypomagnesiæmi</w:t>
            </w:r>
          </w:p>
        </w:tc>
      </w:tr>
      <w:tr w:rsidR="006478AD" w:rsidRPr="00AA499E" w14:paraId="74FA19EE" w14:textId="77777777">
        <w:tc>
          <w:tcPr>
            <w:tcW w:w="9546" w:type="dxa"/>
            <w:gridSpan w:val="2"/>
          </w:tcPr>
          <w:p w14:paraId="7BD9FE34"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Psykiske forstyrrelser</w:t>
            </w:r>
          </w:p>
        </w:tc>
      </w:tr>
      <w:tr w:rsidR="006478AD" w:rsidRPr="00AA499E" w14:paraId="26A892C2" w14:textId="77777777">
        <w:tc>
          <w:tcPr>
            <w:tcW w:w="2235" w:type="dxa"/>
          </w:tcPr>
          <w:p w14:paraId="39C1C835"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5A2A5FC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Insomni</w:t>
            </w:r>
          </w:p>
        </w:tc>
      </w:tr>
      <w:tr w:rsidR="006478AD" w:rsidRPr="00AA499E" w14:paraId="5231E017" w14:textId="77777777">
        <w:tc>
          <w:tcPr>
            <w:tcW w:w="2235" w:type="dxa"/>
          </w:tcPr>
          <w:p w14:paraId="2C12EAE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6CCB66C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Depression, nedsat libido, angst</w:t>
            </w:r>
          </w:p>
        </w:tc>
      </w:tr>
      <w:tr w:rsidR="006478AD" w:rsidRPr="00AA499E" w14:paraId="056A2A1C" w14:textId="77777777">
        <w:tc>
          <w:tcPr>
            <w:tcW w:w="2235" w:type="dxa"/>
          </w:tcPr>
          <w:p w14:paraId="5E6EB46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580CFD9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Konfusion</w:t>
            </w:r>
          </w:p>
        </w:tc>
      </w:tr>
      <w:tr w:rsidR="006478AD" w:rsidRPr="00AA499E" w14:paraId="68538C1B" w14:textId="77777777">
        <w:tc>
          <w:tcPr>
            <w:tcW w:w="9546" w:type="dxa"/>
            <w:gridSpan w:val="2"/>
          </w:tcPr>
          <w:p w14:paraId="54DE1EE1"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Nervesystemet</w:t>
            </w:r>
          </w:p>
        </w:tc>
      </w:tr>
      <w:tr w:rsidR="006478AD" w:rsidRPr="00AA499E" w14:paraId="1BE4090D" w14:textId="77777777">
        <w:tc>
          <w:tcPr>
            <w:tcW w:w="2235" w:type="dxa"/>
          </w:tcPr>
          <w:p w14:paraId="6832D700"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Meget almindelig:</w:t>
            </w:r>
          </w:p>
        </w:tc>
        <w:tc>
          <w:tcPr>
            <w:tcW w:w="7311" w:type="dxa"/>
          </w:tcPr>
          <w:p w14:paraId="016F0A1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Hovedpine</w:t>
            </w:r>
            <w:r w:rsidRPr="00AA499E">
              <w:rPr>
                <w:rFonts w:ascii="Times New Roman" w:hAnsi="Times New Roman"/>
                <w:vertAlign w:val="superscript"/>
                <w:lang w:val="da-DK"/>
              </w:rPr>
              <w:t>2</w:t>
            </w:r>
          </w:p>
        </w:tc>
      </w:tr>
      <w:tr w:rsidR="006478AD" w:rsidRPr="00AA499E" w14:paraId="7AF4DC2A" w14:textId="77777777">
        <w:tc>
          <w:tcPr>
            <w:tcW w:w="2235" w:type="dxa"/>
          </w:tcPr>
          <w:p w14:paraId="163BFDA3"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167E00E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Svimmelhed, paræstesi, smagsforstyrrelser, hypoæstesi</w:t>
            </w:r>
          </w:p>
        </w:tc>
      </w:tr>
      <w:tr w:rsidR="006478AD" w:rsidRPr="00AA499E" w14:paraId="4EEF0548" w14:textId="77777777">
        <w:tc>
          <w:tcPr>
            <w:tcW w:w="2235" w:type="dxa"/>
          </w:tcPr>
          <w:p w14:paraId="1EAF3BB2"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4391E44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Migræne, døsighed, synkope, perifer neuropati, hukommelsessvigt, iskias, restless leg syndrome, tremor, hjerneblødning</w:t>
            </w:r>
          </w:p>
        </w:tc>
      </w:tr>
      <w:tr w:rsidR="006478AD" w:rsidRPr="00AA499E" w14:paraId="18632526" w14:textId="77777777">
        <w:tc>
          <w:tcPr>
            <w:tcW w:w="2235" w:type="dxa"/>
          </w:tcPr>
          <w:p w14:paraId="42AA694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1E96C07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Øget interkranielt tryk, kramper, synsnervebetændelse</w:t>
            </w:r>
          </w:p>
        </w:tc>
      </w:tr>
      <w:tr w:rsidR="001A200F" w:rsidRPr="00AA499E" w14:paraId="6916C3AC" w14:textId="77777777">
        <w:tc>
          <w:tcPr>
            <w:tcW w:w="2235" w:type="dxa"/>
          </w:tcPr>
          <w:p w14:paraId="2E94DCF3" w14:textId="77777777" w:rsidR="001A200F" w:rsidRPr="00AA499E" w:rsidRDefault="001A200F">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1FED2E52" w14:textId="77777777" w:rsidR="001A200F" w:rsidRPr="00AA499E" w:rsidRDefault="001A200F">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Cerebralt ødem*</w:t>
            </w:r>
          </w:p>
        </w:tc>
      </w:tr>
      <w:tr w:rsidR="006478AD" w:rsidRPr="00AA499E" w14:paraId="04F91753" w14:textId="77777777">
        <w:tc>
          <w:tcPr>
            <w:tcW w:w="9546" w:type="dxa"/>
            <w:gridSpan w:val="2"/>
          </w:tcPr>
          <w:p w14:paraId="295D8D0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Øjne</w:t>
            </w:r>
          </w:p>
        </w:tc>
      </w:tr>
      <w:tr w:rsidR="006478AD" w:rsidRPr="00AA499E" w14:paraId="5EB91777" w14:textId="77777777">
        <w:tc>
          <w:tcPr>
            <w:tcW w:w="2235" w:type="dxa"/>
          </w:tcPr>
          <w:p w14:paraId="63007855"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2415430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Øjenlågsødem, øget tåreflåd, konjunktivalblødning, konjunktivitis, øjentørhed, sløret syn</w:t>
            </w:r>
          </w:p>
        </w:tc>
      </w:tr>
      <w:tr w:rsidR="006478AD" w:rsidRPr="00AA499E" w14:paraId="12AF77FE" w14:textId="77777777">
        <w:tc>
          <w:tcPr>
            <w:tcW w:w="2235" w:type="dxa"/>
          </w:tcPr>
          <w:p w14:paraId="7DC62BB5"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lastRenderedPageBreak/>
              <w:t>Ikke almindelig:</w:t>
            </w:r>
          </w:p>
        </w:tc>
        <w:tc>
          <w:tcPr>
            <w:tcW w:w="7311" w:type="dxa"/>
          </w:tcPr>
          <w:p w14:paraId="3687CC2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Øjenirritation, øjensmerter, orbitalt ødem, sclerablødning, retinablødning, blepharitis, makulært ødem</w:t>
            </w:r>
          </w:p>
        </w:tc>
      </w:tr>
      <w:tr w:rsidR="006478AD" w:rsidRPr="00AA499E" w14:paraId="25FC28F1" w14:textId="77777777">
        <w:tc>
          <w:tcPr>
            <w:tcW w:w="2235" w:type="dxa"/>
          </w:tcPr>
          <w:p w14:paraId="709B08DD"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06AFEBF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Katarakt, glaukom, papilødem</w:t>
            </w:r>
          </w:p>
        </w:tc>
      </w:tr>
      <w:tr w:rsidR="001A200F" w:rsidRPr="00AA499E" w14:paraId="07A86555" w14:textId="77777777">
        <w:tc>
          <w:tcPr>
            <w:tcW w:w="2235" w:type="dxa"/>
          </w:tcPr>
          <w:p w14:paraId="55BB6098" w14:textId="77777777" w:rsidR="001A200F" w:rsidRPr="00AA499E" w:rsidRDefault="001A200F" w:rsidP="00A41DDA">
            <w:pPr>
              <w:tabs>
                <w:tab w:val="right" w:pos="2019"/>
              </w:tabs>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Ikke kendt:</w:t>
            </w:r>
            <w:r w:rsidRPr="00AA499E">
              <w:rPr>
                <w:rFonts w:ascii="Times New Roman" w:hAnsi="Times New Roman"/>
                <w:i/>
                <w:lang w:val="da-DK"/>
              </w:rPr>
              <w:tab/>
            </w:r>
          </w:p>
        </w:tc>
        <w:tc>
          <w:tcPr>
            <w:tcW w:w="7311" w:type="dxa"/>
          </w:tcPr>
          <w:p w14:paraId="10758628" w14:textId="77777777" w:rsidR="001A200F" w:rsidRPr="00AA499E" w:rsidRDefault="001A200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Glaslegemeblødning*</w:t>
            </w:r>
          </w:p>
        </w:tc>
      </w:tr>
      <w:tr w:rsidR="006478AD" w:rsidRPr="00AA499E" w14:paraId="68EEC6AE" w14:textId="77777777">
        <w:tc>
          <w:tcPr>
            <w:tcW w:w="9546" w:type="dxa"/>
            <w:gridSpan w:val="2"/>
          </w:tcPr>
          <w:p w14:paraId="62441537"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Øre og labyrint</w:t>
            </w:r>
          </w:p>
        </w:tc>
      </w:tr>
      <w:tr w:rsidR="006478AD" w:rsidRPr="00AA499E" w14:paraId="7276DD36" w14:textId="77777777">
        <w:tc>
          <w:tcPr>
            <w:tcW w:w="2235" w:type="dxa"/>
          </w:tcPr>
          <w:p w14:paraId="2B48EA0A"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2747398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Vertigo, tinnitus, tab af hørelse</w:t>
            </w:r>
          </w:p>
        </w:tc>
      </w:tr>
      <w:tr w:rsidR="006478AD" w:rsidRPr="00AA499E" w14:paraId="14B9A11D" w14:textId="77777777">
        <w:tc>
          <w:tcPr>
            <w:tcW w:w="9546" w:type="dxa"/>
            <w:gridSpan w:val="2"/>
          </w:tcPr>
          <w:p w14:paraId="55115368"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Hjerte</w:t>
            </w:r>
          </w:p>
        </w:tc>
      </w:tr>
      <w:tr w:rsidR="006478AD" w:rsidRPr="00AA499E" w14:paraId="22424118" w14:textId="77777777">
        <w:tc>
          <w:tcPr>
            <w:tcW w:w="2235" w:type="dxa"/>
          </w:tcPr>
          <w:p w14:paraId="30669154"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69E21B6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Palpitationer, takykardi, hjerteinsufficiens</w:t>
            </w:r>
            <w:r w:rsidRPr="00AA499E">
              <w:rPr>
                <w:rFonts w:ascii="Times New Roman" w:hAnsi="Times New Roman"/>
                <w:vertAlign w:val="superscript"/>
                <w:lang w:val="da-DK"/>
              </w:rPr>
              <w:t>3</w:t>
            </w:r>
            <w:r w:rsidRPr="00AA499E">
              <w:rPr>
                <w:rFonts w:ascii="Times New Roman" w:hAnsi="Times New Roman"/>
                <w:lang w:val="da-DK"/>
              </w:rPr>
              <w:t>, lungeødem</w:t>
            </w:r>
          </w:p>
        </w:tc>
      </w:tr>
      <w:tr w:rsidR="006478AD" w:rsidRPr="00AA499E" w14:paraId="40480366" w14:textId="77777777">
        <w:tc>
          <w:tcPr>
            <w:tcW w:w="2235" w:type="dxa"/>
          </w:tcPr>
          <w:p w14:paraId="62C8072A"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2EC7C11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Arytmi, atrieflimren, hjertestop, myokardieinfarkt, angina pectoris, perikardiel effusion</w:t>
            </w:r>
          </w:p>
        </w:tc>
      </w:tr>
      <w:tr w:rsidR="001A200F" w:rsidRPr="00AA499E" w14:paraId="71741ADE" w14:textId="77777777">
        <w:tc>
          <w:tcPr>
            <w:tcW w:w="2235" w:type="dxa"/>
          </w:tcPr>
          <w:p w14:paraId="25B72AAF" w14:textId="77777777" w:rsidR="001A200F" w:rsidRPr="00AA499E" w:rsidRDefault="001A200F">
            <w:pPr>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Ikke kendt:</w:t>
            </w:r>
          </w:p>
        </w:tc>
        <w:tc>
          <w:tcPr>
            <w:tcW w:w="7311" w:type="dxa"/>
          </w:tcPr>
          <w:p w14:paraId="7EED521D" w14:textId="77777777" w:rsidR="001A200F" w:rsidRPr="00AA499E" w:rsidRDefault="001A200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Perikardit*, hjertetamponade*</w:t>
            </w:r>
          </w:p>
        </w:tc>
      </w:tr>
      <w:tr w:rsidR="006478AD" w:rsidRPr="00AA499E" w14:paraId="08D0AD92" w14:textId="77777777">
        <w:tc>
          <w:tcPr>
            <w:tcW w:w="9546" w:type="dxa"/>
            <w:gridSpan w:val="2"/>
          </w:tcPr>
          <w:p w14:paraId="0E37AC10"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Vaskulære sygdomme</w:t>
            </w:r>
            <w:r w:rsidRPr="00AA499E">
              <w:rPr>
                <w:rFonts w:ascii="Times New Roman" w:hAnsi="Times New Roman"/>
                <w:b/>
                <w:bCs/>
                <w:vertAlign w:val="superscript"/>
                <w:lang w:val="da-DK"/>
              </w:rPr>
              <w:t>4</w:t>
            </w:r>
          </w:p>
        </w:tc>
      </w:tr>
      <w:tr w:rsidR="006478AD" w:rsidRPr="00AA499E" w14:paraId="277577BE" w14:textId="77777777">
        <w:tc>
          <w:tcPr>
            <w:tcW w:w="2235" w:type="dxa"/>
          </w:tcPr>
          <w:p w14:paraId="489F5FA7"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25256A8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Flushing, blødning</w:t>
            </w:r>
          </w:p>
        </w:tc>
      </w:tr>
      <w:tr w:rsidR="006478AD" w:rsidRPr="00AA499E" w14:paraId="4F32EE84" w14:textId="77777777">
        <w:tc>
          <w:tcPr>
            <w:tcW w:w="2235" w:type="dxa"/>
          </w:tcPr>
          <w:p w14:paraId="607F89AA"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17D1303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Hypertension, hæmatom, subduralt hæmatom, kuldefornemmelser i ekstremiteter, hypotension, Raynaud’s syndrom</w:t>
            </w:r>
          </w:p>
        </w:tc>
      </w:tr>
      <w:tr w:rsidR="001A200F" w:rsidRPr="00AA499E" w14:paraId="1277F3EB" w14:textId="77777777">
        <w:tc>
          <w:tcPr>
            <w:tcW w:w="2235" w:type="dxa"/>
          </w:tcPr>
          <w:p w14:paraId="6FF51D8F" w14:textId="77777777" w:rsidR="001A200F" w:rsidRPr="00AA499E" w:rsidRDefault="001A200F">
            <w:pPr>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Ikke kendt:</w:t>
            </w:r>
          </w:p>
        </w:tc>
        <w:tc>
          <w:tcPr>
            <w:tcW w:w="7311" w:type="dxa"/>
          </w:tcPr>
          <w:p w14:paraId="297BEE76" w14:textId="77777777" w:rsidR="001A200F" w:rsidRPr="00AA499E" w:rsidRDefault="001A200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Trombose/emboli*</w:t>
            </w:r>
          </w:p>
        </w:tc>
      </w:tr>
      <w:tr w:rsidR="006478AD" w:rsidRPr="00AA499E" w14:paraId="778699BB" w14:textId="77777777">
        <w:tc>
          <w:tcPr>
            <w:tcW w:w="9546" w:type="dxa"/>
            <w:gridSpan w:val="2"/>
          </w:tcPr>
          <w:p w14:paraId="1ED54A0D"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Luftveje, thorax og mediastinum</w:t>
            </w:r>
          </w:p>
        </w:tc>
      </w:tr>
      <w:tr w:rsidR="006478AD" w:rsidRPr="00AA499E" w14:paraId="70000C0B" w14:textId="77777777">
        <w:tc>
          <w:tcPr>
            <w:tcW w:w="2235" w:type="dxa"/>
          </w:tcPr>
          <w:p w14:paraId="01C47FF1"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6A6CEE5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Dyspnø, næseblod, hoste</w:t>
            </w:r>
          </w:p>
        </w:tc>
      </w:tr>
      <w:tr w:rsidR="006478AD" w:rsidRPr="00AA499E" w14:paraId="4C8765CD" w14:textId="77777777">
        <w:tc>
          <w:tcPr>
            <w:tcW w:w="2235" w:type="dxa"/>
          </w:tcPr>
          <w:p w14:paraId="4CDAF8A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078320A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Pleuraekssudat</w:t>
            </w:r>
            <w:r w:rsidRPr="00AA499E">
              <w:rPr>
                <w:rFonts w:ascii="Times New Roman" w:hAnsi="Times New Roman"/>
                <w:vertAlign w:val="superscript"/>
                <w:lang w:val="da-DK"/>
              </w:rPr>
              <w:t>5</w:t>
            </w:r>
            <w:r w:rsidRPr="00AA499E">
              <w:rPr>
                <w:rFonts w:ascii="Times New Roman" w:hAnsi="Times New Roman"/>
                <w:lang w:val="da-DK"/>
              </w:rPr>
              <w:t>, faryngolaryngeale smerter, pharyngitis</w:t>
            </w:r>
          </w:p>
        </w:tc>
      </w:tr>
      <w:tr w:rsidR="006478AD" w:rsidRPr="00AA499E" w14:paraId="60A9411A" w14:textId="77777777">
        <w:tc>
          <w:tcPr>
            <w:tcW w:w="2235" w:type="dxa"/>
          </w:tcPr>
          <w:p w14:paraId="015954D9"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5B18C77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Pleuralgi, lungefibrose, pulmonal hypertension, pulmonal blødning</w:t>
            </w:r>
          </w:p>
        </w:tc>
      </w:tr>
      <w:tr w:rsidR="001A200F" w:rsidRPr="00AA499E" w14:paraId="505C7772" w14:textId="77777777">
        <w:tc>
          <w:tcPr>
            <w:tcW w:w="2235" w:type="dxa"/>
          </w:tcPr>
          <w:p w14:paraId="58336713" w14:textId="77777777" w:rsidR="001A200F" w:rsidRPr="00AA499E" w:rsidRDefault="001A200F">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47061B91" w14:textId="77777777" w:rsidR="001A200F" w:rsidRPr="00AA499E" w:rsidRDefault="001A200F">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Akut respirationssvigt</w:t>
            </w:r>
            <w:r w:rsidR="003D2826" w:rsidRPr="00AA499E">
              <w:rPr>
                <w:rFonts w:ascii="Times New Roman" w:hAnsi="Times New Roman"/>
                <w:b/>
                <w:color w:val="000000"/>
                <w:vertAlign w:val="superscript"/>
                <w:lang w:val="da-DK"/>
              </w:rPr>
              <w:t>1</w:t>
            </w:r>
            <w:r w:rsidR="001658C2" w:rsidRPr="00AA499E">
              <w:rPr>
                <w:rFonts w:ascii="Times New Roman" w:hAnsi="Times New Roman"/>
                <w:b/>
                <w:color w:val="000000"/>
                <w:vertAlign w:val="superscript"/>
                <w:lang w:val="da-DK"/>
              </w:rPr>
              <w:t>1</w:t>
            </w:r>
            <w:r w:rsidRPr="00AA499E">
              <w:rPr>
                <w:rFonts w:ascii="Times New Roman" w:hAnsi="Times New Roman"/>
                <w:color w:val="000000"/>
                <w:lang w:val="da-DK"/>
              </w:rPr>
              <w:t>*, interstitiel lungesygdom*</w:t>
            </w:r>
          </w:p>
        </w:tc>
      </w:tr>
      <w:tr w:rsidR="006478AD" w:rsidRPr="00AA499E" w14:paraId="0C7D2A6F" w14:textId="77777777">
        <w:tc>
          <w:tcPr>
            <w:tcW w:w="9546" w:type="dxa"/>
            <w:gridSpan w:val="2"/>
          </w:tcPr>
          <w:p w14:paraId="065F2E3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Mave-tarmkanalen</w:t>
            </w:r>
          </w:p>
        </w:tc>
      </w:tr>
      <w:tr w:rsidR="006478AD" w:rsidRPr="00AA499E" w14:paraId="7DF28B51" w14:textId="77777777">
        <w:tc>
          <w:tcPr>
            <w:tcW w:w="2235" w:type="dxa"/>
          </w:tcPr>
          <w:p w14:paraId="38D1A31D"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5D6B719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Kvalme, diarré, opkast, dyspepsi, abdominalsmerter</w:t>
            </w:r>
            <w:r w:rsidRPr="00AA499E">
              <w:rPr>
                <w:rFonts w:ascii="Times New Roman" w:hAnsi="Times New Roman"/>
                <w:vertAlign w:val="superscript"/>
                <w:lang w:val="da-DK"/>
              </w:rPr>
              <w:t>6</w:t>
            </w:r>
          </w:p>
        </w:tc>
      </w:tr>
      <w:tr w:rsidR="006478AD" w:rsidRPr="00AA499E" w14:paraId="518A6088" w14:textId="77777777">
        <w:tc>
          <w:tcPr>
            <w:tcW w:w="2235" w:type="dxa"/>
          </w:tcPr>
          <w:p w14:paraId="5CD7A93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5883C0D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Flatulens, abdominal udspilling, gastrooesophageal refluks, obstipation, mundtørhed, gastritis</w:t>
            </w:r>
          </w:p>
        </w:tc>
      </w:tr>
      <w:tr w:rsidR="006478AD" w:rsidRPr="00AA499E" w14:paraId="00A19732" w14:textId="77777777">
        <w:tc>
          <w:tcPr>
            <w:tcW w:w="2235" w:type="dxa"/>
          </w:tcPr>
          <w:p w14:paraId="44A62C7B"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360533D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Stomatitis, mundulcera, gastrointestinalblødning</w:t>
            </w:r>
            <w:r w:rsidRPr="00AA499E">
              <w:rPr>
                <w:rFonts w:ascii="Times New Roman" w:hAnsi="Times New Roman"/>
                <w:vertAlign w:val="superscript"/>
                <w:lang w:val="da-DK"/>
              </w:rPr>
              <w:t>7</w:t>
            </w:r>
            <w:r w:rsidRPr="00AA499E">
              <w:rPr>
                <w:rFonts w:ascii="Times New Roman" w:hAnsi="Times New Roman"/>
                <w:lang w:val="da-DK"/>
              </w:rPr>
              <w:t>, sure opstød, melæna, betændelse i spiserøret, ascites, mavesår, hæmatemese, cheilitis, dysfagi, pankreatitis</w:t>
            </w:r>
          </w:p>
        </w:tc>
      </w:tr>
      <w:tr w:rsidR="006478AD" w:rsidRPr="00AA499E" w14:paraId="76D79A45" w14:textId="77777777">
        <w:tc>
          <w:tcPr>
            <w:tcW w:w="2235" w:type="dxa"/>
          </w:tcPr>
          <w:p w14:paraId="52320A77"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64C8650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Colitis, ileus, inflammatorisk tarmsygdom</w:t>
            </w:r>
          </w:p>
        </w:tc>
      </w:tr>
      <w:tr w:rsidR="001A200F" w:rsidRPr="00AA499E" w14:paraId="37787392" w14:textId="77777777">
        <w:tc>
          <w:tcPr>
            <w:tcW w:w="2235" w:type="dxa"/>
          </w:tcPr>
          <w:p w14:paraId="48465123" w14:textId="77777777" w:rsidR="001A200F" w:rsidRPr="00AA499E" w:rsidRDefault="001A200F">
            <w:pPr>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Ikke kendt:</w:t>
            </w:r>
          </w:p>
        </w:tc>
        <w:tc>
          <w:tcPr>
            <w:tcW w:w="7311" w:type="dxa"/>
          </w:tcPr>
          <w:p w14:paraId="4CA38029" w14:textId="77777777" w:rsidR="001A200F" w:rsidRPr="00AA499E" w:rsidRDefault="001A200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Ileus/intestinal obstruktion*, gastrointestinal perforation*, diverticulitis*, gastric antral vascular ectasia (GAVE)*</w:t>
            </w:r>
          </w:p>
        </w:tc>
      </w:tr>
      <w:tr w:rsidR="006478AD" w:rsidRPr="00AA499E" w14:paraId="644938C6" w14:textId="77777777">
        <w:tc>
          <w:tcPr>
            <w:tcW w:w="9546" w:type="dxa"/>
            <w:gridSpan w:val="2"/>
          </w:tcPr>
          <w:p w14:paraId="22F6773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Lever og galdeveje</w:t>
            </w:r>
          </w:p>
        </w:tc>
      </w:tr>
      <w:tr w:rsidR="006478AD" w:rsidRPr="00AA499E" w14:paraId="713E67FD" w14:textId="77777777">
        <w:tc>
          <w:tcPr>
            <w:tcW w:w="2235" w:type="dxa"/>
          </w:tcPr>
          <w:p w14:paraId="6813E70F"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5E94103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Forhøjede leverenzymer</w:t>
            </w:r>
          </w:p>
        </w:tc>
      </w:tr>
      <w:tr w:rsidR="006478AD" w:rsidRPr="00AA499E" w14:paraId="210B58C9" w14:textId="77777777">
        <w:tc>
          <w:tcPr>
            <w:tcW w:w="2235" w:type="dxa"/>
          </w:tcPr>
          <w:p w14:paraId="0228519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5FCEF14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Hyperbilirubinæmi, hepatitis, gulsot</w:t>
            </w:r>
          </w:p>
        </w:tc>
      </w:tr>
      <w:tr w:rsidR="006478AD" w:rsidRPr="00AA499E" w14:paraId="2594C0AF" w14:textId="77777777">
        <w:tc>
          <w:tcPr>
            <w:tcW w:w="2235" w:type="dxa"/>
          </w:tcPr>
          <w:p w14:paraId="4B59EAA4"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538B645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Leversvigt</w:t>
            </w:r>
            <w:r w:rsidRPr="00AA499E">
              <w:rPr>
                <w:rFonts w:ascii="Times New Roman" w:hAnsi="Times New Roman"/>
                <w:vertAlign w:val="superscript"/>
                <w:lang w:val="da-DK"/>
              </w:rPr>
              <w:t>8</w:t>
            </w:r>
            <w:r w:rsidRPr="00AA499E">
              <w:rPr>
                <w:rFonts w:ascii="Times New Roman" w:hAnsi="Times New Roman"/>
                <w:lang w:val="da-DK"/>
              </w:rPr>
              <w:t>, levernekrose</w:t>
            </w:r>
          </w:p>
        </w:tc>
      </w:tr>
      <w:tr w:rsidR="006478AD" w:rsidRPr="00AA499E" w14:paraId="5804A2AE" w14:textId="77777777">
        <w:tc>
          <w:tcPr>
            <w:tcW w:w="9546" w:type="dxa"/>
            <w:gridSpan w:val="2"/>
          </w:tcPr>
          <w:p w14:paraId="56B0CF1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Hud og subkutane væv</w:t>
            </w:r>
          </w:p>
        </w:tc>
      </w:tr>
      <w:tr w:rsidR="006478AD" w:rsidRPr="00AA499E" w14:paraId="1D8FC2D6" w14:textId="77777777">
        <w:tc>
          <w:tcPr>
            <w:tcW w:w="2235" w:type="dxa"/>
          </w:tcPr>
          <w:p w14:paraId="44E1CF7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25E000E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Periorbitalt ødem, dermatitis/eksem/udslæt</w:t>
            </w:r>
          </w:p>
        </w:tc>
      </w:tr>
      <w:tr w:rsidR="006478AD" w:rsidRPr="00AA499E" w14:paraId="35220D90" w14:textId="77777777">
        <w:tc>
          <w:tcPr>
            <w:tcW w:w="2235" w:type="dxa"/>
          </w:tcPr>
          <w:p w14:paraId="2F325D9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3A3C44A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Pruritus, ansigtsødem, tør hud, erythem, alopeci, natlig svedtendens, lysoverfølsomhedsreaktion</w:t>
            </w:r>
          </w:p>
        </w:tc>
      </w:tr>
      <w:tr w:rsidR="006478AD" w:rsidRPr="00AA499E" w14:paraId="2F2574F5" w14:textId="77777777">
        <w:tc>
          <w:tcPr>
            <w:tcW w:w="2235" w:type="dxa"/>
          </w:tcPr>
          <w:p w14:paraId="766F19D0"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1F3E2BD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Pustuløst udslæt, kontusion, øget svedtendens, urticaria, ecchymose, let til knubs og mærker, hypotrichosis, hypopigmentering af huden, dermatitis exfoliativa, onychoclasi, folliculitis, petechier, psoriasis, purpura, hyperpigmentering af huden, bulløst udslæt</w:t>
            </w:r>
          </w:p>
        </w:tc>
      </w:tr>
      <w:tr w:rsidR="006478AD" w:rsidRPr="00AA499E" w14:paraId="4F6B52C3" w14:textId="77777777">
        <w:tc>
          <w:tcPr>
            <w:tcW w:w="2235" w:type="dxa"/>
          </w:tcPr>
          <w:p w14:paraId="4B04B345"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0E5E36D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Akut febril neutrofil dermatose (Sweets syndrom), misfarvning af negle, angioødem, vesikulært udslæt, erythema multiforme, leukocytoklastisk vasculitis, Stevens-Johnson syndrom, akut generaliseret eksantematøs pustulose (AGEP)</w:t>
            </w:r>
          </w:p>
        </w:tc>
      </w:tr>
      <w:tr w:rsidR="001A200F" w:rsidRPr="00AA499E" w14:paraId="17F283F1" w14:textId="77777777">
        <w:tc>
          <w:tcPr>
            <w:tcW w:w="2235" w:type="dxa"/>
          </w:tcPr>
          <w:p w14:paraId="6352EF8F" w14:textId="77777777" w:rsidR="001A200F" w:rsidRPr="00AA499E" w:rsidRDefault="001A200F">
            <w:pPr>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 xml:space="preserve">Ikke kendt: </w:t>
            </w:r>
          </w:p>
        </w:tc>
        <w:tc>
          <w:tcPr>
            <w:tcW w:w="7311" w:type="dxa"/>
          </w:tcPr>
          <w:p w14:paraId="7FBD304A" w14:textId="77777777" w:rsidR="001A200F" w:rsidRPr="00AA499E" w:rsidRDefault="001A200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Palmoplantar erytrodysæstesi syndrom*, lichenoid keratosis*, lichen planus*, toksisk epidermal nekrolyse*, medikamentelt udslæt med eosinofili og </w:t>
            </w:r>
            <w:r w:rsidRPr="00AA499E">
              <w:rPr>
                <w:rFonts w:ascii="Times New Roman" w:hAnsi="Times New Roman"/>
                <w:lang w:val="da-DK"/>
              </w:rPr>
              <w:lastRenderedPageBreak/>
              <w:t>systemiske symptomer (DRESS)*</w:t>
            </w:r>
            <w:r w:rsidR="00373215" w:rsidRPr="00AA499E">
              <w:rPr>
                <w:rFonts w:ascii="Times New Roman" w:eastAsia="Times New Roman" w:hAnsi="Times New Roman"/>
                <w:color w:val="000000"/>
                <w:lang w:val="da-DK"/>
              </w:rPr>
              <w:t xml:space="preserve"> </w:t>
            </w:r>
            <w:r w:rsidR="00373215" w:rsidRPr="00AA499E">
              <w:rPr>
                <w:rFonts w:ascii="Times New Roman" w:hAnsi="Times New Roman"/>
                <w:lang w:val="da-DK"/>
              </w:rPr>
              <w:t>, pseudoporfyri*</w:t>
            </w:r>
          </w:p>
        </w:tc>
      </w:tr>
      <w:tr w:rsidR="006478AD" w:rsidRPr="00AA499E" w14:paraId="50DB5B9C" w14:textId="77777777">
        <w:tc>
          <w:tcPr>
            <w:tcW w:w="9546" w:type="dxa"/>
            <w:gridSpan w:val="2"/>
          </w:tcPr>
          <w:p w14:paraId="4DBC6E2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lastRenderedPageBreak/>
              <w:t>Knogler, led, muskler og bindevæv</w:t>
            </w:r>
          </w:p>
        </w:tc>
      </w:tr>
      <w:tr w:rsidR="006478AD" w:rsidRPr="00AA499E" w14:paraId="30E509AC" w14:textId="77777777">
        <w:tc>
          <w:tcPr>
            <w:tcW w:w="2235" w:type="dxa"/>
          </w:tcPr>
          <w:p w14:paraId="0A56506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2C576C5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Muskelspasmer og kramper, muskuloskeletale smerter herunder myalgi</w:t>
            </w:r>
            <w:r w:rsidR="001658C2" w:rsidRPr="00AA499E">
              <w:rPr>
                <w:rFonts w:ascii="Times New Roman" w:hAnsi="Times New Roman"/>
                <w:vertAlign w:val="superscript"/>
                <w:lang w:val="da-DK"/>
              </w:rPr>
              <w:t>9</w:t>
            </w:r>
            <w:r w:rsidRPr="00AA499E">
              <w:rPr>
                <w:rFonts w:ascii="Times New Roman" w:hAnsi="Times New Roman"/>
                <w:lang w:val="da-DK"/>
              </w:rPr>
              <w:t>, artralgi, knoglesmerter</w:t>
            </w:r>
            <w:r w:rsidR="001658C2" w:rsidRPr="00AA499E">
              <w:rPr>
                <w:rFonts w:ascii="Times New Roman" w:hAnsi="Times New Roman"/>
                <w:vertAlign w:val="superscript"/>
                <w:lang w:val="da-DK"/>
              </w:rPr>
              <w:t>10</w:t>
            </w:r>
          </w:p>
        </w:tc>
      </w:tr>
      <w:tr w:rsidR="006478AD" w:rsidRPr="00AA499E" w14:paraId="0C0442AE" w14:textId="77777777">
        <w:tc>
          <w:tcPr>
            <w:tcW w:w="2235" w:type="dxa"/>
          </w:tcPr>
          <w:p w14:paraId="5DB0D5D0"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64076D9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Hævelse af led</w:t>
            </w:r>
          </w:p>
        </w:tc>
      </w:tr>
      <w:tr w:rsidR="006478AD" w:rsidRPr="00AA499E" w14:paraId="69431D36" w14:textId="77777777">
        <w:tc>
          <w:tcPr>
            <w:tcW w:w="2235" w:type="dxa"/>
          </w:tcPr>
          <w:p w14:paraId="1A7EB440"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09D5C71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Stivhed i led og muskler</w:t>
            </w:r>
          </w:p>
        </w:tc>
      </w:tr>
      <w:tr w:rsidR="006478AD" w:rsidRPr="00AA499E" w14:paraId="2F863579" w14:textId="77777777">
        <w:tc>
          <w:tcPr>
            <w:tcW w:w="2235" w:type="dxa"/>
          </w:tcPr>
          <w:p w14:paraId="4EC47D6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630AC72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Musklesvaghed, arthritis, rabdomyolyse/myopati</w:t>
            </w:r>
          </w:p>
        </w:tc>
      </w:tr>
      <w:tr w:rsidR="001A200F" w:rsidRPr="00AA499E" w14:paraId="0B4970AD" w14:textId="77777777">
        <w:tc>
          <w:tcPr>
            <w:tcW w:w="2235" w:type="dxa"/>
          </w:tcPr>
          <w:p w14:paraId="4ABE3FCB" w14:textId="77777777" w:rsidR="001A200F" w:rsidRPr="00AA499E" w:rsidRDefault="001A200F" w:rsidP="00A41DDA">
            <w:pPr>
              <w:tabs>
                <w:tab w:val="right" w:pos="2019"/>
              </w:tabs>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Ikke kendt:</w:t>
            </w:r>
            <w:r w:rsidRPr="00AA499E">
              <w:rPr>
                <w:rFonts w:ascii="Times New Roman" w:hAnsi="Times New Roman"/>
                <w:i/>
                <w:lang w:val="da-DK"/>
              </w:rPr>
              <w:tab/>
            </w:r>
          </w:p>
        </w:tc>
        <w:tc>
          <w:tcPr>
            <w:tcW w:w="7311" w:type="dxa"/>
          </w:tcPr>
          <w:p w14:paraId="7FA22A9B" w14:textId="77777777" w:rsidR="001A200F" w:rsidRPr="00AA499E" w:rsidRDefault="001A200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Avaskulær nekrose/hoftenekrose*, væksthæmning hos børn*</w:t>
            </w:r>
          </w:p>
        </w:tc>
      </w:tr>
      <w:tr w:rsidR="006478AD" w:rsidRPr="00AA499E" w14:paraId="58BE8BE0" w14:textId="77777777">
        <w:tc>
          <w:tcPr>
            <w:tcW w:w="9546" w:type="dxa"/>
            <w:gridSpan w:val="2"/>
          </w:tcPr>
          <w:p w14:paraId="1B7453C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Nyrer og urinveje</w:t>
            </w:r>
          </w:p>
        </w:tc>
      </w:tr>
      <w:tr w:rsidR="006478AD" w:rsidRPr="00AA499E" w14:paraId="0361FA70" w14:textId="77777777">
        <w:tc>
          <w:tcPr>
            <w:tcW w:w="2235" w:type="dxa"/>
          </w:tcPr>
          <w:p w14:paraId="2108EC04"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6E530E8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Nyresmerter, hæmaturi, akut nyresvigt, øget vandladningsfrekvens</w:t>
            </w:r>
          </w:p>
        </w:tc>
      </w:tr>
      <w:tr w:rsidR="003D2826" w:rsidRPr="00AA499E" w14:paraId="5EDBDD91" w14:textId="77777777">
        <w:tc>
          <w:tcPr>
            <w:tcW w:w="2235" w:type="dxa"/>
          </w:tcPr>
          <w:p w14:paraId="60D14B9D" w14:textId="77777777" w:rsidR="003D2826" w:rsidRPr="00AA499E" w:rsidRDefault="003D2826">
            <w:pPr>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Ikke kendt:</w:t>
            </w:r>
          </w:p>
        </w:tc>
        <w:tc>
          <w:tcPr>
            <w:tcW w:w="7311" w:type="dxa"/>
          </w:tcPr>
          <w:p w14:paraId="584EB753" w14:textId="77777777" w:rsidR="003D2826" w:rsidRPr="00AA499E" w:rsidRDefault="003D282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Kronisk nyresvigt</w:t>
            </w:r>
          </w:p>
        </w:tc>
      </w:tr>
      <w:tr w:rsidR="006478AD" w:rsidRPr="00AA499E" w14:paraId="4A8B6A71" w14:textId="77777777">
        <w:tc>
          <w:tcPr>
            <w:tcW w:w="9546" w:type="dxa"/>
            <w:gridSpan w:val="2"/>
          </w:tcPr>
          <w:p w14:paraId="33CFEB8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Det reproduktive system og mammae</w:t>
            </w:r>
          </w:p>
        </w:tc>
      </w:tr>
      <w:tr w:rsidR="006478AD" w:rsidRPr="00AA499E" w14:paraId="39259577" w14:textId="77777777">
        <w:tc>
          <w:tcPr>
            <w:tcW w:w="2235" w:type="dxa"/>
          </w:tcPr>
          <w:p w14:paraId="617F471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6AD6451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Gynækomasti, erektil dysfunktion, menoragi, uregelmæssig menstruation, seksuel dysfunktion, smerter i brystvorterne, brystforstørrelse, skrotalt ødem</w:t>
            </w:r>
          </w:p>
        </w:tc>
      </w:tr>
      <w:tr w:rsidR="006478AD" w:rsidRPr="00AA499E" w14:paraId="565939C9" w14:textId="77777777">
        <w:tc>
          <w:tcPr>
            <w:tcW w:w="2235" w:type="dxa"/>
          </w:tcPr>
          <w:p w14:paraId="71E3D7DC"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4CDD06C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Hæmoragisk corpus luteum/ hæmoragisk ovariecyste</w:t>
            </w:r>
          </w:p>
        </w:tc>
      </w:tr>
      <w:tr w:rsidR="006478AD" w:rsidRPr="00AA499E" w14:paraId="0D2CBD8E" w14:textId="77777777">
        <w:tc>
          <w:tcPr>
            <w:tcW w:w="9546" w:type="dxa"/>
            <w:gridSpan w:val="2"/>
          </w:tcPr>
          <w:p w14:paraId="380AB0C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Almene symptomer og reaktioner på administrationsstedet</w:t>
            </w:r>
          </w:p>
        </w:tc>
      </w:tr>
      <w:tr w:rsidR="006478AD" w:rsidRPr="00AA499E" w14:paraId="790092B2" w14:textId="77777777">
        <w:tc>
          <w:tcPr>
            <w:tcW w:w="2235" w:type="dxa"/>
          </w:tcPr>
          <w:p w14:paraId="08709C59"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632AB8C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Væskeretention og ødem, træthed</w:t>
            </w:r>
          </w:p>
        </w:tc>
      </w:tr>
      <w:tr w:rsidR="006478AD" w:rsidRPr="00AA499E" w14:paraId="57DD8C53" w14:textId="77777777">
        <w:tc>
          <w:tcPr>
            <w:tcW w:w="2235" w:type="dxa"/>
          </w:tcPr>
          <w:p w14:paraId="2608AB0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359608D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Svaghed, pyrexia, anasarka, kuldegysninger og kulderystelser</w:t>
            </w:r>
          </w:p>
        </w:tc>
      </w:tr>
      <w:tr w:rsidR="006478AD" w:rsidRPr="00AA499E" w14:paraId="7A1FD4AD" w14:textId="77777777">
        <w:tc>
          <w:tcPr>
            <w:tcW w:w="2235" w:type="dxa"/>
          </w:tcPr>
          <w:p w14:paraId="695D27CA"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35CC4FD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Brystsmerter, utilpashed</w:t>
            </w:r>
          </w:p>
        </w:tc>
      </w:tr>
      <w:tr w:rsidR="006478AD" w:rsidRPr="00AA499E" w14:paraId="4D7DB5EC" w14:textId="77777777">
        <w:tc>
          <w:tcPr>
            <w:tcW w:w="9546" w:type="dxa"/>
            <w:gridSpan w:val="2"/>
          </w:tcPr>
          <w:p w14:paraId="322EEE6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Undersøgelser</w:t>
            </w:r>
          </w:p>
        </w:tc>
      </w:tr>
      <w:tr w:rsidR="006478AD" w:rsidRPr="00AA499E" w14:paraId="73C5E365" w14:textId="77777777">
        <w:tc>
          <w:tcPr>
            <w:tcW w:w="2235" w:type="dxa"/>
          </w:tcPr>
          <w:p w14:paraId="6AB8EEE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53B221C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Vægtstigning</w:t>
            </w:r>
          </w:p>
        </w:tc>
      </w:tr>
      <w:tr w:rsidR="006478AD" w:rsidRPr="00AA499E" w14:paraId="4C8B3209" w14:textId="77777777">
        <w:tc>
          <w:tcPr>
            <w:tcW w:w="2235" w:type="dxa"/>
          </w:tcPr>
          <w:p w14:paraId="09B1845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7A2DDD2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Vægttab</w:t>
            </w:r>
          </w:p>
        </w:tc>
      </w:tr>
      <w:tr w:rsidR="006478AD" w:rsidRPr="00AA499E" w14:paraId="7294001A" w14:textId="77777777">
        <w:tc>
          <w:tcPr>
            <w:tcW w:w="2235" w:type="dxa"/>
          </w:tcPr>
          <w:p w14:paraId="130B54B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34BDDB5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Forhøjet serumkreatinin, forhøjet serumkreatinfosfokinase og øget serumlaktatdehydrogenase, forhøjet alkalisk fosfatase</w:t>
            </w:r>
          </w:p>
        </w:tc>
      </w:tr>
      <w:tr w:rsidR="006478AD" w:rsidRPr="00AA499E" w14:paraId="0F8C7269" w14:textId="77777777">
        <w:tc>
          <w:tcPr>
            <w:tcW w:w="2235" w:type="dxa"/>
          </w:tcPr>
          <w:p w14:paraId="32D4D670"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2A335D3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Forhøjet serumamylase</w:t>
            </w:r>
          </w:p>
        </w:tc>
      </w:tr>
    </w:tbl>
    <w:p w14:paraId="1A0DCEAF" w14:textId="77777777" w:rsidR="006478AD" w:rsidRPr="00AA499E" w:rsidRDefault="006478AD">
      <w:pPr>
        <w:autoSpaceDE w:val="0"/>
        <w:autoSpaceDN w:val="0"/>
        <w:adjustRightInd w:val="0"/>
        <w:spacing w:after="0" w:line="240" w:lineRule="auto"/>
        <w:rPr>
          <w:rFonts w:ascii="Times New Roman" w:hAnsi="Times New Roman"/>
          <w:lang w:val="da-DK"/>
        </w:rPr>
      </w:pPr>
    </w:p>
    <w:p w14:paraId="1EBECD51" w14:textId="77777777" w:rsidR="001A200F" w:rsidRPr="00AA499E" w:rsidRDefault="001A200F" w:rsidP="00A41DDA">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Denne type bivirkningerreaktioner er hovedsageligt blevet rapporteret fra erfaring med imatinib efter markedsføring af imatinib. Dette inkluderer spontane kasuistikker såvel som alvorlige bivirkninger fra igangværende studier, expanded accessde udvidede adgangs programmer, kliniske farmakologiske studier og eksplorative forskningsstudier med ikke godkendte indikationer. Eftersom disse reaktionerbivirkninger er rapporteret fra en population af ukendt størrelse, er det ikke altid muligt at bestemme frekvensen pålideligt eller at fastlægge en kausal sammenhæng med eksponering formed imatinib.</w:t>
      </w:r>
    </w:p>
    <w:p w14:paraId="18D769A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Pneumoni blev oftest observeret hos patienter med transformeret CML og hos patienter med GIST.</w:t>
      </w:r>
    </w:p>
    <w:p w14:paraId="1AFDF61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Hovedpine var almindeligst hos GIST-patienter.</w:t>
      </w:r>
    </w:p>
    <w:p w14:paraId="1BD71EA3"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På patientårsbasis blev kardielle hændelser, herunder hjerteinsufficiens, observeret oftere hos patienter med transformeret CML end hos patienter med kronisk CML.</w:t>
      </w:r>
    </w:p>
    <w:p w14:paraId="26BF08D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Flushing var almindeligst host patienter med GIST, og blødning (hæmatom og blødning) var almindeligst hos patienter med GIST og med transformeret CML (CML-AP og CML-BC).</w:t>
      </w:r>
    </w:p>
    <w:p w14:paraId="09C3E23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5</w:t>
      </w:r>
      <w:r w:rsidRPr="00AA499E">
        <w:rPr>
          <w:rFonts w:ascii="Times New Roman" w:hAnsi="Times New Roman"/>
          <w:lang w:val="da-DK"/>
        </w:rPr>
        <w:tab/>
        <w:t>Pleural effusion blev observeret oftere hos patienter med GIST og hos patienter med transformeret CML (CML-AP og CML-BC) end hos patienter med kronisk CML.</w:t>
      </w:r>
    </w:p>
    <w:p w14:paraId="3ACA79A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6+7</w:t>
      </w:r>
      <w:r w:rsidRPr="00AA499E">
        <w:rPr>
          <w:rFonts w:ascii="Times New Roman" w:hAnsi="Times New Roman"/>
          <w:lang w:val="da-DK"/>
        </w:rPr>
        <w:tab/>
        <w:t>Abdominalsmerter og gastrointestinalblødning blev oftest observeret hos patienter med GIST.</w:t>
      </w:r>
    </w:p>
    <w:p w14:paraId="04AABAF1"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8</w:t>
      </w:r>
      <w:r w:rsidRPr="00AA499E">
        <w:rPr>
          <w:rFonts w:ascii="Times New Roman" w:hAnsi="Times New Roman"/>
          <w:lang w:val="da-DK"/>
        </w:rPr>
        <w:tab/>
        <w:t>Der er rapporteret tilfælde af letalt leversvigt og levernekrose.</w:t>
      </w:r>
    </w:p>
    <w:p w14:paraId="24D261E8" w14:textId="77777777" w:rsidR="001658C2"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9</w:t>
      </w:r>
      <w:r w:rsidRPr="00AA499E">
        <w:rPr>
          <w:rFonts w:ascii="Times New Roman" w:hAnsi="Times New Roman"/>
          <w:lang w:val="da-DK"/>
        </w:rPr>
        <w:tab/>
      </w:r>
      <w:r w:rsidR="001658C2" w:rsidRPr="00AA499E">
        <w:rPr>
          <w:rFonts w:ascii="Times New Roman" w:hAnsi="Times New Roman"/>
          <w:lang w:val="da-DK"/>
        </w:rPr>
        <w:t>Muskuloskeletale smerter under behandling med imatinib, eller efter seponering, er blevet observeret efter markedsføring.</w:t>
      </w:r>
    </w:p>
    <w:p w14:paraId="3602B728" w14:textId="77777777" w:rsidR="006478AD" w:rsidRPr="00AA499E" w:rsidRDefault="001658C2">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10</w:t>
      </w:r>
      <w:r w:rsidRPr="00AA499E">
        <w:rPr>
          <w:rFonts w:ascii="Times New Roman" w:hAnsi="Times New Roman"/>
          <w:lang w:val="da-DK"/>
        </w:rPr>
        <w:tab/>
      </w:r>
      <w:r w:rsidR="00616F3C" w:rsidRPr="00AA499E">
        <w:rPr>
          <w:rFonts w:ascii="Times New Roman" w:hAnsi="Times New Roman"/>
          <w:lang w:val="da-DK"/>
        </w:rPr>
        <w:t>Muskuloskeletale smerter og relaterede hændelser blev observeret oftere hos patienter med CML end hos patienter med GIST.</w:t>
      </w:r>
    </w:p>
    <w:p w14:paraId="21394403" w14:textId="77777777" w:rsidR="00F9753E" w:rsidRPr="00AA499E" w:rsidRDefault="00F9753E">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001658C2" w:rsidRPr="00AA499E">
        <w:rPr>
          <w:rFonts w:ascii="Times New Roman" w:hAnsi="Times New Roman"/>
          <w:lang w:val="da-DK"/>
        </w:rPr>
        <w:t>1</w:t>
      </w:r>
      <w:r w:rsidRPr="00AA499E">
        <w:rPr>
          <w:rFonts w:ascii="Times New Roman" w:hAnsi="Times New Roman"/>
          <w:lang w:val="da-DK"/>
        </w:rPr>
        <w:tab/>
        <w:t>Der er blevet rapporteret dødeligefatale tilfælde hos patienter med fremskreden sygdom, alvorlige infektioner, alvorlig neutropeni og andre alvorlige, samtidige kliniske lidelsertilstande.</w:t>
      </w:r>
    </w:p>
    <w:p w14:paraId="2CF2EFB2" w14:textId="77777777" w:rsidR="006478AD" w:rsidRPr="00AA499E" w:rsidRDefault="006478AD">
      <w:pPr>
        <w:autoSpaceDE w:val="0"/>
        <w:autoSpaceDN w:val="0"/>
        <w:adjustRightInd w:val="0"/>
        <w:spacing w:after="0" w:line="240" w:lineRule="auto"/>
        <w:rPr>
          <w:rFonts w:ascii="Times New Roman" w:hAnsi="Times New Roman"/>
          <w:lang w:val="da-DK"/>
        </w:rPr>
      </w:pPr>
    </w:p>
    <w:p w14:paraId="7EE259E0" w14:textId="77777777" w:rsidR="006478AD" w:rsidRPr="00AA499E" w:rsidRDefault="006478AD">
      <w:pPr>
        <w:autoSpaceDE w:val="0"/>
        <w:autoSpaceDN w:val="0"/>
        <w:adjustRightInd w:val="0"/>
        <w:spacing w:after="0" w:line="240" w:lineRule="auto"/>
        <w:rPr>
          <w:rFonts w:ascii="Times New Roman" w:hAnsi="Times New Roman"/>
          <w:lang w:val="da-DK"/>
        </w:rPr>
      </w:pPr>
    </w:p>
    <w:p w14:paraId="4C9EDAE3" w14:textId="77777777" w:rsidR="006478AD" w:rsidRPr="00AA499E" w:rsidRDefault="00616F3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Afvigelser i laboratorieværdier</w:t>
      </w:r>
    </w:p>
    <w:p w14:paraId="054021B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Hæmatologi</w:t>
      </w:r>
    </w:p>
    <w:p w14:paraId="0859340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Cytopeni hos CML-patienter, særligt neutropeni og trombocytopeni, har været gennemgående fund i alle undersøgelser med tegn på større hyppighed ved doser ≥ 750 mg (fase I undersøgelse). Incidensen af cytopeni hang imidlertid også tydeligt sammen med sygdomsstadiet, idet hyppighed af 3. eller 4. grads neutropeni (ANC &lt;1,0 x 10</w:t>
      </w:r>
      <w:r w:rsidRPr="00AA499E">
        <w:rPr>
          <w:rFonts w:ascii="Times New Roman" w:hAnsi="Times New Roman"/>
          <w:vertAlign w:val="superscript"/>
          <w:lang w:val="da-DK"/>
        </w:rPr>
        <w:t>9</w:t>
      </w:r>
      <w:r w:rsidRPr="00AA499E">
        <w:rPr>
          <w:rFonts w:ascii="Times New Roman" w:hAnsi="Times New Roman"/>
          <w:lang w:val="da-DK"/>
        </w:rPr>
        <w:t>/l) og thrombocytopenias (platelet count &lt; 50 x 10</w:t>
      </w:r>
      <w:r w:rsidRPr="00AA499E">
        <w:rPr>
          <w:rFonts w:ascii="Times New Roman" w:hAnsi="Times New Roman"/>
          <w:vertAlign w:val="superscript"/>
          <w:lang w:val="da-DK"/>
        </w:rPr>
        <w:t>9</w:t>
      </w:r>
      <w:r w:rsidRPr="00AA499E">
        <w:rPr>
          <w:rFonts w:ascii="Times New Roman" w:hAnsi="Times New Roman"/>
          <w:lang w:val="da-DK"/>
        </w:rPr>
        <w:t>/l) var 4–6 gange højere ved blastkrise og accelereret fase (59–64 % og 44–63 % for henholdsvis neutropeni og trombopeni) end ved sammenligning med nydiagnosticerede patienter med kronisk fase CML (16,7 % neutropeni og 8,9 % trombocytopeni). Der sås 4. grads neutropeni (ANC &lt;0,5 x 10</w:t>
      </w:r>
      <w:r w:rsidRPr="00AA499E">
        <w:rPr>
          <w:rFonts w:ascii="Times New Roman" w:hAnsi="Times New Roman"/>
          <w:vertAlign w:val="superscript"/>
          <w:lang w:val="da-DK"/>
        </w:rPr>
        <w:t>9</w:t>
      </w:r>
      <w:r w:rsidRPr="00AA499E">
        <w:rPr>
          <w:rFonts w:ascii="Times New Roman" w:hAnsi="Times New Roman"/>
          <w:lang w:val="da-DK"/>
        </w:rPr>
        <w:t>/l) og trombopeni (trombocyttal &lt;10 x 10</w:t>
      </w:r>
      <w:r w:rsidRPr="00AA499E">
        <w:rPr>
          <w:rFonts w:ascii="Times New Roman" w:hAnsi="Times New Roman"/>
          <w:vertAlign w:val="superscript"/>
          <w:lang w:val="da-DK"/>
        </w:rPr>
        <w:t>9</w:t>
      </w:r>
      <w:r w:rsidRPr="00AA499E">
        <w:rPr>
          <w:rFonts w:ascii="Times New Roman" w:hAnsi="Times New Roman"/>
          <w:lang w:val="da-DK"/>
        </w:rPr>
        <w:t>/l) hos henholdsvis 3,6 % og &lt;</w:t>
      </w:r>
      <w:r w:rsidR="00975813" w:rsidRPr="00AA499E">
        <w:rPr>
          <w:rFonts w:ascii="Times New Roman" w:hAnsi="Times New Roman"/>
          <w:lang w:val="da-DK"/>
        </w:rPr>
        <w:t> </w:t>
      </w:r>
      <w:r w:rsidRPr="00AA499E">
        <w:rPr>
          <w:rFonts w:ascii="Times New Roman" w:hAnsi="Times New Roman"/>
          <w:lang w:val="da-DK"/>
        </w:rPr>
        <w:t>1 % af patienterne med nydiagnosticeret CML i kronisk fase. Den gennemsnitlige varighed af neutropeni- og trombocytopeniepisoderne varierede sædvanligvis fra henholdsvis 2–3 uger og 3–4 uger. Disse episoder kan sædvanligvis behandles med enten dosisreduktion eller seponering af imatinib, men kan i sjældne tilfælde medføre permanent seponering af behandlingen. De hyppigst observerede alvorlige bivirkninger hos børn med CML var grad 3 eller 4 cytopenier med neutropeni, trombocytopeni og anæmi. Disse opstår almindeligvis indenfor de første måneders behandling.</w:t>
      </w:r>
    </w:p>
    <w:p w14:paraId="612CE6C0" w14:textId="77777777" w:rsidR="006478AD" w:rsidRPr="00AA499E" w:rsidRDefault="006478AD">
      <w:pPr>
        <w:autoSpaceDE w:val="0"/>
        <w:autoSpaceDN w:val="0"/>
        <w:adjustRightInd w:val="0"/>
        <w:spacing w:after="0" w:line="240" w:lineRule="auto"/>
        <w:rPr>
          <w:rFonts w:ascii="Times New Roman" w:hAnsi="Times New Roman"/>
          <w:lang w:val="da-DK"/>
        </w:rPr>
      </w:pPr>
    </w:p>
    <w:p w14:paraId="129D2C2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undersøgelsen med patienter med inoperabel og/eller metastaserende GIST rapporteredes anæmi grad 3 og 4 hos henholdsvis 5,4 % og 0,7 % af patienterne, hvilket kan hænge sammen med gastrointestinal eller intra-tumoral blødning, i hvert fald hos enkelte af patienterne. Grad 3 og 4 neutropeni sås hos henholdsvis 7,5 % og 2,7 % af patienterne og grad 3 trombocytopeni hos 0,7 % af patienterne. Ingen patienter udviklede grad 4 trombocytopeni. Fald i leukocytter (WBC) og neutrofiltal sås primært i løbet af de første 6 uger af behandlingen, herefter sås relativ stabilisering af værdierne.</w:t>
      </w:r>
    </w:p>
    <w:p w14:paraId="32B42DFC" w14:textId="77777777" w:rsidR="006478AD" w:rsidRPr="00AA499E" w:rsidRDefault="006478AD">
      <w:pPr>
        <w:autoSpaceDE w:val="0"/>
        <w:autoSpaceDN w:val="0"/>
        <w:adjustRightInd w:val="0"/>
        <w:spacing w:after="0" w:line="240" w:lineRule="auto"/>
        <w:rPr>
          <w:rFonts w:ascii="Times New Roman" w:hAnsi="Times New Roman"/>
          <w:lang w:val="da-DK"/>
        </w:rPr>
      </w:pPr>
    </w:p>
    <w:p w14:paraId="4554F783"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Biokemi</w:t>
      </w:r>
    </w:p>
    <w:p w14:paraId="67A823B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Svære stigninger i transaminaser (&lt;5 %) eller bilirubin (&lt;1 %) blev observeret hos CML-patienterne og blev sædvanligvis behandlet med dosisreduktion eller seponering (den gennemsnitlige varighed af disse episoder var ca. 1 uge). Færre end 1 % af CML-patienterne fik seponeret behandlingen permanent på grund af abnormaliteter i levertal. Der blev hos GIST patienter (studie B2222) observeret stigning i grad 3 eller 4 ALAT (alaninaminotransferase) hos 6,8 % og stigning i grad 3 eller 4 ASAT (aspartataminotransferase) hos 4,8 %. Stigning af bilirubin var under 3 %. </w:t>
      </w:r>
    </w:p>
    <w:p w14:paraId="386E4BF7" w14:textId="77777777" w:rsidR="006478AD" w:rsidRPr="00AA499E" w:rsidRDefault="006478AD">
      <w:pPr>
        <w:autoSpaceDE w:val="0"/>
        <w:autoSpaceDN w:val="0"/>
        <w:adjustRightInd w:val="0"/>
        <w:spacing w:after="0" w:line="240" w:lineRule="auto"/>
        <w:rPr>
          <w:rFonts w:ascii="Times New Roman" w:hAnsi="Times New Roman"/>
          <w:lang w:val="da-DK"/>
        </w:rPr>
      </w:pPr>
    </w:p>
    <w:p w14:paraId="7A65169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har været tilfælde af cytolytisk og cholestatisk hepatitis samt leversvigt, i nogle tilfælde var udfaldet letalt, inkluderende én patient, der fik højdosis paracetamol.</w:t>
      </w:r>
    </w:p>
    <w:p w14:paraId="131FE90F" w14:textId="77777777" w:rsidR="007371D5" w:rsidRPr="00AA499E" w:rsidRDefault="007371D5">
      <w:pPr>
        <w:autoSpaceDE w:val="0"/>
        <w:autoSpaceDN w:val="0"/>
        <w:adjustRightInd w:val="0"/>
        <w:spacing w:after="0" w:line="240" w:lineRule="auto"/>
        <w:rPr>
          <w:rFonts w:ascii="Times New Roman" w:hAnsi="Times New Roman"/>
          <w:lang w:val="da-DK"/>
        </w:rPr>
      </w:pPr>
    </w:p>
    <w:p w14:paraId="4A3CAE67" w14:textId="77777777" w:rsidR="001658C2" w:rsidRPr="00AA499E" w:rsidRDefault="001658C2" w:rsidP="001658C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Beskrivelse af udvalgte bivirkninger</w:t>
      </w:r>
    </w:p>
    <w:p w14:paraId="14FB89FA" w14:textId="77777777" w:rsidR="001658C2" w:rsidRPr="00AA499E" w:rsidRDefault="001658C2" w:rsidP="001658C2">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Reaktivering af hepatitis B</w:t>
      </w:r>
    </w:p>
    <w:p w14:paraId="10E8E628" w14:textId="77777777" w:rsidR="001658C2" w:rsidRPr="00AA499E" w:rsidRDefault="001658C2" w:rsidP="001658C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Reaktivering af hepatitis B er beskrevet i forbindelse med behandling med BCR-ABL-tyrosinkinasehæmmere. I nogle tilfælde har dette medført akut leversvigt eller fulminant hepatitis, førende til levertransplantation eller død (se pkt. 4.4).</w:t>
      </w:r>
    </w:p>
    <w:p w14:paraId="51D2580F" w14:textId="77777777" w:rsidR="001658C2" w:rsidRPr="00AA499E" w:rsidRDefault="001658C2">
      <w:pPr>
        <w:autoSpaceDE w:val="0"/>
        <w:autoSpaceDN w:val="0"/>
        <w:adjustRightInd w:val="0"/>
        <w:spacing w:after="0" w:line="240" w:lineRule="auto"/>
        <w:rPr>
          <w:rFonts w:ascii="Times New Roman" w:hAnsi="Times New Roman"/>
          <w:lang w:val="da-DK"/>
        </w:rPr>
      </w:pPr>
    </w:p>
    <w:p w14:paraId="0D8914E3" w14:textId="77777777" w:rsidR="007371D5" w:rsidRPr="00AA499E" w:rsidRDefault="007371D5" w:rsidP="00694BC7">
      <w:pPr>
        <w:keepNext/>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Indberetning af </w:t>
      </w:r>
      <w:r w:rsidR="00C35D31" w:rsidRPr="00AA499E">
        <w:rPr>
          <w:rFonts w:ascii="Times New Roman" w:hAnsi="Times New Roman"/>
          <w:u w:val="single"/>
          <w:lang w:val="da-DK"/>
        </w:rPr>
        <w:t>formodede</w:t>
      </w:r>
      <w:r w:rsidRPr="00AA499E">
        <w:rPr>
          <w:rFonts w:ascii="Times New Roman" w:hAnsi="Times New Roman"/>
          <w:u w:val="single"/>
          <w:lang w:val="da-DK"/>
        </w:rPr>
        <w:t xml:space="preserve"> bivirkninger</w:t>
      </w:r>
    </w:p>
    <w:p w14:paraId="5EF30F58" w14:textId="00885142" w:rsidR="007371D5" w:rsidRPr="00AA499E" w:rsidRDefault="007371D5" w:rsidP="007371D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Når lægemidlet er godkendt, er indberetning af </w:t>
      </w:r>
      <w:r w:rsidR="00C35D31" w:rsidRPr="00AA499E">
        <w:rPr>
          <w:rFonts w:ascii="Times New Roman" w:hAnsi="Times New Roman"/>
          <w:lang w:val="da-DK"/>
        </w:rPr>
        <w:t>formodede</w:t>
      </w:r>
      <w:r w:rsidRPr="00AA499E">
        <w:rPr>
          <w:rFonts w:ascii="Times New Roman" w:hAnsi="Times New Roman"/>
          <w:lang w:val="da-DK"/>
        </w:rPr>
        <w:t xml:space="preserve"> bivirkninger vigtig. Det muliggør løbende overvågning af benefit/risk-forholdet for lægemidlet. </w:t>
      </w:r>
      <w:r w:rsidR="00624E76" w:rsidRPr="00AA499E">
        <w:rPr>
          <w:rFonts w:ascii="Times New Roman" w:hAnsi="Times New Roman"/>
          <w:lang w:val="da-DK"/>
        </w:rPr>
        <w:t>S</w:t>
      </w:r>
      <w:r w:rsidRPr="00AA499E">
        <w:rPr>
          <w:rFonts w:ascii="Times New Roman" w:hAnsi="Times New Roman"/>
          <w:lang w:val="da-DK"/>
        </w:rPr>
        <w:t>undhedsperson</w:t>
      </w:r>
      <w:r w:rsidR="00624E76" w:rsidRPr="00AA499E">
        <w:rPr>
          <w:rFonts w:ascii="Times New Roman" w:hAnsi="Times New Roman"/>
          <w:lang w:val="da-DK"/>
        </w:rPr>
        <w:t>er</w:t>
      </w:r>
      <w:r w:rsidRPr="00AA499E">
        <w:rPr>
          <w:rFonts w:ascii="Times New Roman" w:hAnsi="Times New Roman"/>
          <w:lang w:val="da-DK"/>
        </w:rPr>
        <w:t xml:space="preserve"> anmodes om at indberette alle </w:t>
      </w:r>
      <w:r w:rsidR="00C35D31" w:rsidRPr="00AA499E">
        <w:rPr>
          <w:rFonts w:ascii="Times New Roman" w:hAnsi="Times New Roman"/>
          <w:lang w:val="da-DK"/>
        </w:rPr>
        <w:t>formodede</w:t>
      </w:r>
      <w:r w:rsidRPr="00AA499E">
        <w:rPr>
          <w:rFonts w:ascii="Times New Roman" w:hAnsi="Times New Roman"/>
          <w:lang w:val="da-DK"/>
        </w:rPr>
        <w:t xml:space="preserve"> bivirkninger via </w:t>
      </w:r>
      <w:r w:rsidRPr="00AA499E">
        <w:rPr>
          <w:rFonts w:ascii="Times New Roman" w:hAnsi="Times New Roman"/>
          <w:noProof/>
          <w:highlight w:val="lightGray"/>
          <w:lang w:val="da-DK"/>
        </w:rPr>
        <w:t xml:space="preserve">det nationale rapporteringssystem anført i </w:t>
      </w:r>
      <w:hyperlink r:id="rId11" w:history="1">
        <w:r w:rsidRPr="00AA499E">
          <w:rPr>
            <w:rStyle w:val="Hyperlink"/>
            <w:rFonts w:ascii="Times New Roman" w:hAnsi="Times New Roman"/>
            <w:noProof/>
            <w:highlight w:val="lightGray"/>
            <w:lang w:val="da-DK"/>
          </w:rPr>
          <w:t>Appendiks V</w:t>
        </w:r>
      </w:hyperlink>
      <w:r w:rsidRPr="00AA499E">
        <w:rPr>
          <w:rFonts w:ascii="Times New Roman" w:hAnsi="Times New Roman"/>
          <w:lang w:val="da-DK"/>
        </w:rPr>
        <w:t>.</w:t>
      </w:r>
    </w:p>
    <w:p w14:paraId="2DA09CBB" w14:textId="77777777" w:rsidR="006478AD" w:rsidRPr="00AA499E" w:rsidRDefault="006478AD">
      <w:pPr>
        <w:autoSpaceDE w:val="0"/>
        <w:autoSpaceDN w:val="0"/>
        <w:adjustRightInd w:val="0"/>
        <w:spacing w:after="0" w:line="240" w:lineRule="auto"/>
        <w:rPr>
          <w:rFonts w:ascii="Times New Roman" w:hAnsi="Times New Roman"/>
          <w:lang w:val="da-DK"/>
        </w:rPr>
      </w:pPr>
    </w:p>
    <w:p w14:paraId="05A96BC8"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4.9</w:t>
      </w:r>
      <w:r w:rsidRPr="00AA499E">
        <w:rPr>
          <w:rFonts w:ascii="Times New Roman" w:hAnsi="Times New Roman"/>
          <w:b/>
          <w:bCs/>
          <w:lang w:val="da-DK"/>
        </w:rPr>
        <w:tab/>
        <w:t>Overdosering</w:t>
      </w:r>
    </w:p>
    <w:p w14:paraId="4F9893D3" w14:textId="77777777" w:rsidR="006478AD" w:rsidRPr="00AA499E" w:rsidRDefault="006478AD">
      <w:pPr>
        <w:autoSpaceDE w:val="0"/>
        <w:autoSpaceDN w:val="0"/>
        <w:adjustRightInd w:val="0"/>
        <w:spacing w:after="0" w:line="240" w:lineRule="auto"/>
        <w:rPr>
          <w:rFonts w:ascii="Times New Roman" w:hAnsi="Times New Roman"/>
          <w:lang w:val="da-DK"/>
        </w:rPr>
      </w:pPr>
    </w:p>
    <w:p w14:paraId="2B6BDA0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Der er begrænset erfaring med doser højere end den anbefalede terapeutiske dosis. Enkelte tilfælde af overdosering med imatinib er blevet spontant rapporteret i literaturen. I tilfælde af overdosis bør patienten observeres og passende symptomatisk behandling institueres. Generelt var de rapporterede udfald i disse sager ”forbedret” eller ”blevet rask”. Tilfælde, der er blevet rapporteret i forskellige dosisintervaller, er følgende:</w:t>
      </w:r>
    </w:p>
    <w:p w14:paraId="6397DFE2" w14:textId="77777777" w:rsidR="006478AD" w:rsidRPr="00AA499E" w:rsidRDefault="006478AD">
      <w:pPr>
        <w:autoSpaceDE w:val="0"/>
        <w:autoSpaceDN w:val="0"/>
        <w:adjustRightInd w:val="0"/>
        <w:spacing w:after="0" w:line="240" w:lineRule="auto"/>
        <w:rPr>
          <w:rFonts w:ascii="Times New Roman" w:hAnsi="Times New Roman"/>
          <w:lang w:val="da-DK"/>
        </w:rPr>
      </w:pPr>
    </w:p>
    <w:p w14:paraId="5474DAC9"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Voksen population</w:t>
      </w:r>
    </w:p>
    <w:p w14:paraId="21FA2A4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1200 til 1600 mg (varighed varierer mellem 1 og 10 dage): Kvalme, opkastning, diarré, rødme, erytem, ødem, hævelse, træthed, muskelkramper, trombocytopeni, pancytopeni, abdominalsmerter, hovedpine, nedsat appetit.</w:t>
      </w:r>
    </w:p>
    <w:p w14:paraId="15340CA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1800 til 3200 mg (så høj som 3200 mg daglig i 6 dage): Svaghed, myalgi, øget kreatininfosfokinase, øget bilirubin, gastrointestinale smerter.</w:t>
      </w:r>
    </w:p>
    <w:p w14:paraId="08D5507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6400 mg (enkeltdosis): Der er beskrevet et tilfælde i litteraturen om en patient, der fik kvalme, opkastning, abdominalsmerter, feber, hævelse af ansigt, nedsat neutrofiltal, stigning i transaminaser.</w:t>
      </w:r>
    </w:p>
    <w:p w14:paraId="7A7D704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8 til 10 g (enkeltdosis): Opkastning og gastrointestinale smerter er blevet rapporteret.</w:t>
      </w:r>
    </w:p>
    <w:p w14:paraId="3949155B" w14:textId="77777777" w:rsidR="006478AD" w:rsidRPr="00AA499E" w:rsidRDefault="006478AD">
      <w:pPr>
        <w:autoSpaceDE w:val="0"/>
        <w:autoSpaceDN w:val="0"/>
        <w:adjustRightInd w:val="0"/>
        <w:spacing w:after="0" w:line="240" w:lineRule="auto"/>
        <w:rPr>
          <w:rFonts w:ascii="Times New Roman" w:hAnsi="Times New Roman"/>
          <w:lang w:val="da-DK"/>
        </w:rPr>
      </w:pPr>
    </w:p>
    <w:p w14:paraId="43C51B80"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Pædiatrisk population</w:t>
      </w:r>
    </w:p>
    <w:p w14:paraId="7BBCD65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En 3-årig dreng, der fik en enkelt dosis på 400 mg, oplevede opkastning, diarré og appetitløshed, og en anden 3-årig dreng, der fik en enkelt dosis på 980 mg, oplevede nedsat antal hvide blodlegemer og diarré.</w:t>
      </w:r>
    </w:p>
    <w:p w14:paraId="167897F6" w14:textId="77777777" w:rsidR="006478AD" w:rsidRPr="00AA499E" w:rsidRDefault="006478AD">
      <w:pPr>
        <w:autoSpaceDE w:val="0"/>
        <w:autoSpaceDN w:val="0"/>
        <w:adjustRightInd w:val="0"/>
        <w:spacing w:after="0" w:line="240" w:lineRule="auto"/>
        <w:rPr>
          <w:rFonts w:ascii="Times New Roman" w:hAnsi="Times New Roman"/>
          <w:lang w:val="da-DK"/>
        </w:rPr>
      </w:pPr>
    </w:p>
    <w:p w14:paraId="2B6A7AA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tilfælde af overdosering bør patienten observeres, og der bør gives relevant understøttende behandling.</w:t>
      </w:r>
    </w:p>
    <w:p w14:paraId="2EF13589" w14:textId="77777777" w:rsidR="006478AD" w:rsidRPr="00AA499E" w:rsidRDefault="006478AD">
      <w:pPr>
        <w:autoSpaceDE w:val="0"/>
        <w:autoSpaceDN w:val="0"/>
        <w:adjustRightInd w:val="0"/>
        <w:spacing w:after="0" w:line="240" w:lineRule="auto"/>
        <w:rPr>
          <w:rFonts w:ascii="Times New Roman" w:hAnsi="Times New Roman"/>
          <w:lang w:val="da-DK"/>
        </w:rPr>
      </w:pPr>
    </w:p>
    <w:p w14:paraId="769F97D1" w14:textId="77777777" w:rsidR="006478AD" w:rsidRPr="00AA499E" w:rsidRDefault="006478AD">
      <w:pPr>
        <w:autoSpaceDE w:val="0"/>
        <w:autoSpaceDN w:val="0"/>
        <w:adjustRightInd w:val="0"/>
        <w:spacing w:after="0" w:line="240" w:lineRule="auto"/>
        <w:rPr>
          <w:rFonts w:ascii="Times New Roman" w:hAnsi="Times New Roman"/>
          <w:lang w:val="da-DK"/>
        </w:rPr>
      </w:pPr>
    </w:p>
    <w:p w14:paraId="63901EF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w:t>
      </w:r>
      <w:r w:rsidRPr="00AA499E">
        <w:rPr>
          <w:rFonts w:ascii="Times New Roman" w:hAnsi="Times New Roman"/>
          <w:b/>
          <w:bCs/>
          <w:lang w:val="da-DK"/>
        </w:rPr>
        <w:tab/>
        <w:t>FARMAKOLOGISKE EGENSKABER</w:t>
      </w:r>
    </w:p>
    <w:p w14:paraId="2B00D541" w14:textId="77777777" w:rsidR="006478AD" w:rsidRPr="00AA499E" w:rsidRDefault="006478AD">
      <w:pPr>
        <w:autoSpaceDE w:val="0"/>
        <w:autoSpaceDN w:val="0"/>
        <w:adjustRightInd w:val="0"/>
        <w:spacing w:after="0" w:line="240" w:lineRule="auto"/>
        <w:rPr>
          <w:rFonts w:ascii="Times New Roman" w:hAnsi="Times New Roman"/>
          <w:lang w:val="da-DK"/>
        </w:rPr>
      </w:pPr>
    </w:p>
    <w:p w14:paraId="5A01EB3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5.1</w:t>
      </w:r>
      <w:r w:rsidRPr="00AA499E">
        <w:rPr>
          <w:rFonts w:ascii="Times New Roman" w:hAnsi="Times New Roman"/>
          <w:b/>
          <w:bCs/>
          <w:lang w:val="da-DK"/>
        </w:rPr>
        <w:tab/>
        <w:t>Farmakodynamiske egenskaber</w:t>
      </w:r>
    </w:p>
    <w:p w14:paraId="16A882B5" w14:textId="77777777" w:rsidR="006478AD" w:rsidRPr="00AA499E" w:rsidRDefault="006478AD">
      <w:pPr>
        <w:autoSpaceDE w:val="0"/>
        <w:autoSpaceDN w:val="0"/>
        <w:adjustRightInd w:val="0"/>
        <w:spacing w:after="0" w:line="240" w:lineRule="auto"/>
        <w:rPr>
          <w:rFonts w:ascii="Times New Roman" w:hAnsi="Times New Roman"/>
          <w:lang w:val="da-DK"/>
        </w:rPr>
      </w:pPr>
    </w:p>
    <w:p w14:paraId="59AB0D4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Farmakoterapeutisk klassifikation: Antineoplastiske stoffer, protein-kinasehæmmer, ATC-kode: L01XE01</w:t>
      </w:r>
    </w:p>
    <w:p w14:paraId="122A41FB" w14:textId="77777777" w:rsidR="006478AD" w:rsidRPr="00AA499E" w:rsidRDefault="006478AD">
      <w:pPr>
        <w:autoSpaceDE w:val="0"/>
        <w:autoSpaceDN w:val="0"/>
        <w:adjustRightInd w:val="0"/>
        <w:spacing w:after="0" w:line="240" w:lineRule="auto"/>
        <w:rPr>
          <w:rFonts w:ascii="Times New Roman" w:hAnsi="Times New Roman"/>
          <w:lang w:val="da-DK"/>
        </w:rPr>
      </w:pPr>
    </w:p>
    <w:p w14:paraId="7A31E916"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Virkningsmekanisme</w:t>
      </w:r>
    </w:p>
    <w:p w14:paraId="67C7E5F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er et lille molekyle. Det er en potent protein-tyrosinkinasehæmmer, der hæmmer aktiviteten af Bcr</w:t>
      </w:r>
      <w:r w:rsidR="00D8731B" w:rsidRPr="00AA499E">
        <w:rPr>
          <w:rFonts w:ascii="Times New Roman" w:hAnsi="Times New Roman"/>
          <w:lang w:val="da-DK"/>
        </w:rPr>
        <w:noBreakHyphen/>
      </w:r>
      <w:r w:rsidRPr="00AA499E">
        <w:rPr>
          <w:rFonts w:ascii="Times New Roman" w:hAnsi="Times New Roman"/>
          <w:lang w:val="da-DK"/>
        </w:rPr>
        <w:t>Abl-tyrosinkinase (TK) såvel som adskillige TK-receptorer: Kit, receptoren for stamcellefaktoren (SCF) kodet for af c-kit proto-onkogenet, discoidin-domænereceptorerne (DDR1 og DDR2), receptoren for den kolonistimulerende faktor (CSF-1R) og receptorerne for trombocytafledte vækstfaktorer alfa og beta (PDGFR-alfa og PDGFR-beta). Imatinib kan også hæmme cellulære signaler medieret ved aktivering af disse receptorkinaser.</w:t>
      </w:r>
    </w:p>
    <w:p w14:paraId="7ACDB04E" w14:textId="77777777" w:rsidR="006478AD" w:rsidRPr="00AA499E" w:rsidRDefault="006478AD">
      <w:pPr>
        <w:autoSpaceDE w:val="0"/>
        <w:autoSpaceDN w:val="0"/>
        <w:adjustRightInd w:val="0"/>
        <w:spacing w:after="0" w:line="240" w:lineRule="auto"/>
        <w:rPr>
          <w:rFonts w:ascii="Times New Roman" w:hAnsi="Times New Roman"/>
          <w:lang w:val="da-DK"/>
        </w:rPr>
      </w:pPr>
    </w:p>
    <w:p w14:paraId="3FF1AB67"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Farmakodynamisk virkning</w:t>
      </w:r>
    </w:p>
    <w:p w14:paraId="35496D0E" w14:textId="77777777" w:rsidR="00DA2D57" w:rsidRPr="00AA499E" w:rsidRDefault="00616F3C" w:rsidP="00DA2D57">
      <w:pPr>
        <w:autoSpaceDE w:val="0"/>
        <w:autoSpaceDN w:val="0"/>
        <w:adjustRightInd w:val="0"/>
        <w:spacing w:after="0" w:line="225" w:lineRule="exact"/>
        <w:ind w:left="40" w:right="-20"/>
        <w:rPr>
          <w:rFonts w:ascii="Times New Roman" w:hAnsi="Times New Roman"/>
          <w:lang w:val="da-DK" w:eastAsia="sv-SE"/>
        </w:rPr>
      </w:pPr>
      <w:r w:rsidRPr="00AA499E">
        <w:rPr>
          <w:rFonts w:ascii="Times New Roman" w:hAnsi="Times New Roman"/>
          <w:lang w:val="da-DK"/>
        </w:rPr>
        <w:t xml:space="preserve">Imatinib er en protein-tyrosinkinasehæmmer, som potent hæmmer Bcr-Abl tyrosinkinasen </w:t>
      </w:r>
      <w:r w:rsidRPr="00AA499E">
        <w:rPr>
          <w:rFonts w:ascii="Times New Roman" w:hAnsi="Times New Roman"/>
          <w:i/>
          <w:iCs/>
          <w:lang w:val="da-DK"/>
        </w:rPr>
        <w:t>in</w:t>
      </w:r>
      <w:r w:rsidR="00975813" w:rsidRPr="00AA499E">
        <w:rPr>
          <w:rFonts w:ascii="Times New Roman" w:hAnsi="Times New Roman"/>
          <w:i/>
          <w:iCs/>
          <w:lang w:val="da-DK"/>
        </w:rPr>
        <w:t> </w:t>
      </w:r>
      <w:r w:rsidRPr="00AA499E">
        <w:rPr>
          <w:rFonts w:ascii="Times New Roman" w:hAnsi="Times New Roman"/>
          <w:i/>
          <w:iCs/>
          <w:lang w:val="da-DK"/>
        </w:rPr>
        <w:t>vitro</w:t>
      </w:r>
      <w:r w:rsidRPr="00AA499E">
        <w:rPr>
          <w:rFonts w:ascii="Times New Roman" w:hAnsi="Times New Roman"/>
          <w:lang w:val="da-DK"/>
        </w:rPr>
        <w:t xml:space="preserve">, </w:t>
      </w:r>
      <w:r w:rsidRPr="00AA499E">
        <w:rPr>
          <w:rFonts w:ascii="Times New Roman" w:hAnsi="Times New Roman"/>
          <w:i/>
          <w:iCs/>
          <w:lang w:val="da-DK"/>
        </w:rPr>
        <w:t>in</w:t>
      </w:r>
      <w:r w:rsidR="00975813" w:rsidRPr="00AA499E">
        <w:rPr>
          <w:rFonts w:ascii="Times New Roman" w:hAnsi="Times New Roman"/>
          <w:i/>
          <w:iCs/>
          <w:lang w:val="da-DK"/>
        </w:rPr>
        <w:t> </w:t>
      </w:r>
      <w:r w:rsidRPr="00AA499E">
        <w:rPr>
          <w:rFonts w:ascii="Times New Roman" w:hAnsi="Times New Roman"/>
          <w:i/>
          <w:iCs/>
          <w:lang w:val="da-DK"/>
        </w:rPr>
        <w:t xml:space="preserve">vivo </w:t>
      </w:r>
      <w:r w:rsidRPr="00AA499E">
        <w:rPr>
          <w:rFonts w:ascii="Times New Roman" w:hAnsi="Times New Roman"/>
          <w:lang w:val="da-DK"/>
        </w:rPr>
        <w:t xml:space="preserve">og på cellulært niveau. Stoffet hæmmer selektivt proliferationen og inducerer apoptosis i Bcr-Abl-positive cellelinier såvel som i friske leukæmiceller fra Philadelphia-kromosompositiv (Ph+) CML </w:t>
      </w:r>
      <w:r w:rsidR="00DA2D57" w:rsidRPr="00AA499E">
        <w:rPr>
          <w:rFonts w:ascii="Times New Roman" w:hAnsi="Times New Roman"/>
          <w:lang w:val="da-DK" w:eastAsia="sv-SE"/>
        </w:rPr>
        <w:t>og</w:t>
      </w:r>
      <w:r w:rsidR="00DA2D57" w:rsidRPr="00AA499E">
        <w:rPr>
          <w:rFonts w:ascii="Times New Roman" w:hAnsi="Times New Roman"/>
          <w:spacing w:val="-2"/>
          <w:lang w:val="da-DK" w:eastAsia="sv-SE"/>
        </w:rPr>
        <w:t xml:space="preserve"> </w:t>
      </w:r>
      <w:r w:rsidR="00DA2D57" w:rsidRPr="00AA499E">
        <w:rPr>
          <w:rFonts w:ascii="Times New Roman" w:hAnsi="Times New Roman"/>
          <w:lang w:val="da-DK" w:eastAsia="sv-SE"/>
        </w:rPr>
        <w:t>hos p</w:t>
      </w:r>
      <w:r w:rsidR="00DA2D57" w:rsidRPr="00AA499E">
        <w:rPr>
          <w:rFonts w:ascii="Times New Roman" w:hAnsi="Times New Roman"/>
          <w:spacing w:val="1"/>
          <w:lang w:val="da-DK" w:eastAsia="sv-SE"/>
        </w:rPr>
        <w:t>ati</w:t>
      </w:r>
      <w:r w:rsidR="00DA2D57" w:rsidRPr="00AA499E">
        <w:rPr>
          <w:rFonts w:ascii="Times New Roman" w:hAnsi="Times New Roman"/>
          <w:lang w:val="da-DK" w:eastAsia="sv-SE"/>
        </w:rPr>
        <w:t>en</w:t>
      </w:r>
      <w:r w:rsidR="00DA2D57" w:rsidRPr="00AA499E">
        <w:rPr>
          <w:rFonts w:ascii="Times New Roman" w:hAnsi="Times New Roman"/>
          <w:spacing w:val="1"/>
          <w:lang w:val="da-DK" w:eastAsia="sv-SE"/>
        </w:rPr>
        <w:t>t</w:t>
      </w:r>
      <w:r w:rsidR="00DA2D57" w:rsidRPr="00AA499E">
        <w:rPr>
          <w:rFonts w:ascii="Times New Roman" w:hAnsi="Times New Roman"/>
          <w:lang w:val="da-DK" w:eastAsia="sv-SE"/>
        </w:rPr>
        <w:t>er</w:t>
      </w:r>
      <w:r w:rsidR="00DA2D57" w:rsidRPr="00AA499E">
        <w:rPr>
          <w:rFonts w:ascii="Times New Roman" w:hAnsi="Times New Roman"/>
          <w:spacing w:val="1"/>
          <w:lang w:val="da-DK" w:eastAsia="sv-SE"/>
        </w:rPr>
        <w:t xml:space="preserve"> </w:t>
      </w:r>
      <w:r w:rsidR="00DA2D57" w:rsidRPr="00AA499E">
        <w:rPr>
          <w:rFonts w:ascii="Times New Roman" w:hAnsi="Times New Roman"/>
          <w:spacing w:val="-4"/>
          <w:lang w:val="da-DK" w:eastAsia="sv-SE"/>
        </w:rPr>
        <w:t>m</w:t>
      </w:r>
      <w:r w:rsidR="00DA2D57" w:rsidRPr="00AA499E">
        <w:rPr>
          <w:rFonts w:ascii="Times New Roman" w:hAnsi="Times New Roman"/>
          <w:lang w:val="da-DK" w:eastAsia="sv-SE"/>
        </w:rPr>
        <w:t>ed a</w:t>
      </w:r>
      <w:r w:rsidR="00DA2D57" w:rsidRPr="00AA499E">
        <w:rPr>
          <w:rFonts w:ascii="Times New Roman" w:hAnsi="Times New Roman"/>
          <w:spacing w:val="-2"/>
          <w:lang w:val="da-DK" w:eastAsia="sv-SE"/>
        </w:rPr>
        <w:t>k</w:t>
      </w:r>
      <w:r w:rsidR="00DA2D57" w:rsidRPr="00AA499E">
        <w:rPr>
          <w:rFonts w:ascii="Times New Roman" w:hAnsi="Times New Roman"/>
          <w:lang w:val="da-DK" w:eastAsia="sv-SE"/>
        </w:rPr>
        <w:t>ut</w:t>
      </w:r>
      <w:r w:rsidR="00DA2D57" w:rsidRPr="00AA499E">
        <w:rPr>
          <w:rFonts w:ascii="Times New Roman" w:hAnsi="Times New Roman"/>
          <w:spacing w:val="1"/>
          <w:lang w:val="da-DK" w:eastAsia="sv-SE"/>
        </w:rPr>
        <w:t xml:space="preserve"> l</w:t>
      </w:r>
      <w:r w:rsidR="00DA2D57" w:rsidRPr="00AA499E">
        <w:rPr>
          <w:rFonts w:ascii="Times New Roman" w:hAnsi="Times New Roman"/>
          <w:spacing w:val="-2"/>
          <w:lang w:val="da-DK" w:eastAsia="sv-SE"/>
        </w:rPr>
        <w:t>y</w:t>
      </w:r>
      <w:r w:rsidR="00DA2D57" w:rsidRPr="00AA499E">
        <w:rPr>
          <w:rFonts w:ascii="Times New Roman" w:hAnsi="Times New Roman"/>
          <w:spacing w:val="-4"/>
          <w:lang w:val="da-DK" w:eastAsia="sv-SE"/>
        </w:rPr>
        <w:t>m</w:t>
      </w:r>
      <w:r w:rsidR="00DA2D57" w:rsidRPr="00AA499E">
        <w:rPr>
          <w:rFonts w:ascii="Times New Roman" w:hAnsi="Times New Roman"/>
          <w:spacing w:val="1"/>
          <w:lang w:val="da-DK" w:eastAsia="sv-SE"/>
        </w:rPr>
        <w:t>f</w:t>
      </w:r>
      <w:r w:rsidR="00DA2D57" w:rsidRPr="00AA499E">
        <w:rPr>
          <w:rFonts w:ascii="Times New Roman" w:hAnsi="Times New Roman"/>
          <w:lang w:val="da-DK" w:eastAsia="sv-SE"/>
        </w:rPr>
        <w:t>ob</w:t>
      </w:r>
      <w:r w:rsidR="00DA2D57" w:rsidRPr="00AA499E">
        <w:rPr>
          <w:rFonts w:ascii="Times New Roman" w:hAnsi="Times New Roman"/>
          <w:spacing w:val="1"/>
          <w:lang w:val="da-DK" w:eastAsia="sv-SE"/>
        </w:rPr>
        <w:t>l</w:t>
      </w:r>
      <w:r w:rsidR="00DA2D57" w:rsidRPr="00AA499E">
        <w:rPr>
          <w:rFonts w:ascii="Times New Roman" w:hAnsi="Times New Roman"/>
          <w:lang w:val="da-DK" w:eastAsia="sv-SE"/>
        </w:rPr>
        <w:t>a</w:t>
      </w:r>
      <w:r w:rsidR="00DA2D57" w:rsidRPr="00AA499E">
        <w:rPr>
          <w:rFonts w:ascii="Times New Roman" w:hAnsi="Times New Roman"/>
          <w:spacing w:val="1"/>
          <w:lang w:val="da-DK" w:eastAsia="sv-SE"/>
        </w:rPr>
        <w:t>sti</w:t>
      </w:r>
      <w:r w:rsidR="00DA2D57" w:rsidRPr="00AA499E">
        <w:rPr>
          <w:rFonts w:ascii="Times New Roman" w:hAnsi="Times New Roman"/>
          <w:lang w:val="da-DK" w:eastAsia="sv-SE"/>
        </w:rPr>
        <w:t>sk</w:t>
      </w:r>
      <w:r w:rsidR="00DA2D57" w:rsidRPr="00AA499E">
        <w:rPr>
          <w:rFonts w:ascii="Times New Roman" w:hAnsi="Times New Roman"/>
          <w:spacing w:val="-2"/>
          <w:lang w:val="da-DK" w:eastAsia="sv-SE"/>
        </w:rPr>
        <w:t xml:space="preserve"> </w:t>
      </w:r>
      <w:r w:rsidR="00DA2D57" w:rsidRPr="00AA499E">
        <w:rPr>
          <w:rFonts w:ascii="Times New Roman" w:hAnsi="Times New Roman"/>
          <w:spacing w:val="1"/>
          <w:lang w:val="da-DK" w:eastAsia="sv-SE"/>
        </w:rPr>
        <w:t>l</w:t>
      </w:r>
      <w:r w:rsidR="00DA2D57" w:rsidRPr="00AA499E">
        <w:rPr>
          <w:rFonts w:ascii="Times New Roman" w:hAnsi="Times New Roman"/>
          <w:lang w:val="da-DK" w:eastAsia="sv-SE"/>
        </w:rPr>
        <w:t>eu</w:t>
      </w:r>
      <w:r w:rsidR="00DA2D57" w:rsidRPr="00AA499E">
        <w:rPr>
          <w:rFonts w:ascii="Times New Roman" w:hAnsi="Times New Roman"/>
          <w:spacing w:val="-2"/>
          <w:lang w:val="da-DK" w:eastAsia="sv-SE"/>
        </w:rPr>
        <w:t>k</w:t>
      </w:r>
      <w:r w:rsidR="00DA2D57" w:rsidRPr="00AA499E">
        <w:rPr>
          <w:rFonts w:ascii="Times New Roman" w:hAnsi="Times New Roman"/>
          <w:spacing w:val="-1"/>
          <w:lang w:val="da-DK" w:eastAsia="sv-SE"/>
        </w:rPr>
        <w:t>æ</w:t>
      </w:r>
      <w:r w:rsidR="00DA2D57" w:rsidRPr="00AA499E">
        <w:rPr>
          <w:rFonts w:ascii="Times New Roman" w:hAnsi="Times New Roman"/>
          <w:spacing w:val="-4"/>
          <w:lang w:val="da-DK" w:eastAsia="sv-SE"/>
        </w:rPr>
        <w:t>m</w:t>
      </w:r>
      <w:r w:rsidR="00DA2D57" w:rsidRPr="00AA499E">
        <w:rPr>
          <w:rFonts w:ascii="Times New Roman" w:hAnsi="Times New Roman"/>
          <w:lang w:val="da-DK" w:eastAsia="sv-SE"/>
        </w:rPr>
        <w:t>i</w:t>
      </w:r>
      <w:r w:rsidR="00DA2D57" w:rsidRPr="00AA499E">
        <w:rPr>
          <w:rFonts w:ascii="Times New Roman" w:hAnsi="Times New Roman"/>
          <w:spacing w:val="1"/>
          <w:lang w:val="da-DK" w:eastAsia="sv-SE"/>
        </w:rPr>
        <w:t xml:space="preserve"> (</w:t>
      </w:r>
      <w:r w:rsidR="00DA2D57" w:rsidRPr="00AA499E">
        <w:rPr>
          <w:rFonts w:ascii="Times New Roman" w:hAnsi="Times New Roman"/>
          <w:spacing w:val="-1"/>
          <w:lang w:val="da-DK" w:eastAsia="sv-SE"/>
        </w:rPr>
        <w:t>A</w:t>
      </w:r>
      <w:r w:rsidR="00DA2D57" w:rsidRPr="00AA499E">
        <w:rPr>
          <w:rFonts w:ascii="Times New Roman" w:hAnsi="Times New Roman"/>
          <w:lang w:val="da-DK" w:eastAsia="sv-SE"/>
        </w:rPr>
        <w:t>L</w:t>
      </w:r>
      <w:r w:rsidR="00DA2D57" w:rsidRPr="00AA499E">
        <w:rPr>
          <w:rFonts w:ascii="Times New Roman" w:hAnsi="Times New Roman"/>
          <w:spacing w:val="-1"/>
          <w:lang w:val="da-DK" w:eastAsia="sv-SE"/>
        </w:rPr>
        <w:t>L</w:t>
      </w:r>
      <w:r w:rsidR="00DA2D57" w:rsidRPr="00AA499E">
        <w:rPr>
          <w:rFonts w:ascii="Times New Roman" w:hAnsi="Times New Roman"/>
          <w:spacing w:val="1"/>
          <w:lang w:val="da-DK" w:eastAsia="sv-SE"/>
        </w:rPr>
        <w:t>)</w:t>
      </w:r>
      <w:r w:rsidR="00DA2D57" w:rsidRPr="00AA499E">
        <w:rPr>
          <w:rFonts w:ascii="Times New Roman" w:hAnsi="Times New Roman"/>
          <w:lang w:val="da-DK" w:eastAsia="sv-SE"/>
        </w:rPr>
        <w:t>.</w:t>
      </w:r>
    </w:p>
    <w:p w14:paraId="5CE9755F" w14:textId="77777777" w:rsidR="006478AD" w:rsidRPr="00AA499E" w:rsidRDefault="006478AD">
      <w:pPr>
        <w:autoSpaceDE w:val="0"/>
        <w:autoSpaceDN w:val="0"/>
        <w:adjustRightInd w:val="0"/>
        <w:spacing w:after="0" w:line="240" w:lineRule="auto"/>
        <w:rPr>
          <w:rFonts w:ascii="Times New Roman" w:hAnsi="Times New Roman"/>
          <w:lang w:val="da-DK"/>
        </w:rPr>
      </w:pPr>
    </w:p>
    <w:p w14:paraId="03489BB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 dyremodeller, hvor der anvendes Bcr-Abl-positive tumorceller, har stoffet som enkeltstof </w:t>
      </w:r>
      <w:r w:rsidRPr="00AA499E">
        <w:rPr>
          <w:rFonts w:ascii="Times New Roman" w:hAnsi="Times New Roman"/>
          <w:i/>
          <w:iCs/>
          <w:lang w:val="da-DK"/>
        </w:rPr>
        <w:t xml:space="preserve">in vivo </w:t>
      </w:r>
      <w:r w:rsidRPr="00AA499E">
        <w:rPr>
          <w:rFonts w:ascii="Times New Roman" w:hAnsi="Times New Roman"/>
          <w:lang w:val="da-DK"/>
        </w:rPr>
        <w:t xml:space="preserve"> antitumoraktivitet.</w:t>
      </w:r>
    </w:p>
    <w:p w14:paraId="1389E1DF" w14:textId="77777777" w:rsidR="00996002" w:rsidRPr="00AA499E" w:rsidRDefault="00996002">
      <w:pPr>
        <w:autoSpaceDE w:val="0"/>
        <w:autoSpaceDN w:val="0"/>
        <w:adjustRightInd w:val="0"/>
        <w:spacing w:after="0" w:line="240" w:lineRule="auto"/>
        <w:rPr>
          <w:rFonts w:ascii="Times New Roman" w:hAnsi="Times New Roman"/>
          <w:lang w:val="da-DK"/>
        </w:rPr>
      </w:pPr>
    </w:p>
    <w:p w14:paraId="2BAAD233" w14:textId="77777777" w:rsidR="00996002" w:rsidRPr="00AA499E" w:rsidRDefault="00996002" w:rsidP="0099600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hæmmer også receptortyrosinkinaserne for trombocytafledte vækstfaktorer (PDGF), PDGF-R, og  hæmmer PDGF-medierede cellulære signaler. Vedvarende aktivering af PDGF receptoren eller Abl protein tyrosinkinase, der opstår på grund af en fusion med andre proteiner eller konstitutiv produktion af PDGF er blevet impliceret i patogenesen af MDS/MPD, HES/CEL og DFSP. Imatinib hæmmer signalleringen og vækst af celler, der drives af dysreguleret PDGFR og Abl kinaseaktivitet.</w:t>
      </w:r>
    </w:p>
    <w:p w14:paraId="534EC31F" w14:textId="77777777" w:rsidR="00996002" w:rsidRPr="00AA499E" w:rsidRDefault="00996002">
      <w:pPr>
        <w:autoSpaceDE w:val="0"/>
        <w:autoSpaceDN w:val="0"/>
        <w:adjustRightInd w:val="0"/>
        <w:spacing w:after="0" w:line="240" w:lineRule="auto"/>
        <w:rPr>
          <w:rFonts w:ascii="Times New Roman" w:hAnsi="Times New Roman"/>
          <w:lang w:val="da-DK"/>
        </w:rPr>
      </w:pPr>
    </w:p>
    <w:p w14:paraId="0FA058E0" w14:textId="77777777" w:rsidR="006478AD" w:rsidRPr="00AA499E" w:rsidRDefault="00616F3C" w:rsidP="008370B1">
      <w:pPr>
        <w:keepNext/>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Kliniske undersøgelser vedrørende kronisk myeloid leukæmi</w:t>
      </w:r>
    </w:p>
    <w:p w14:paraId="157E505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Imatinibs effekt er baseret på generelle hæmatologiske og cytogene responsrater og progressionsfri overlevelse. Der er ingen kontrollerede undersøgelser</w:t>
      </w:r>
      <w:r w:rsidR="00BE3521" w:rsidRPr="00AA499E">
        <w:rPr>
          <w:rFonts w:ascii="Times New Roman" w:hAnsi="Times New Roman"/>
          <w:lang w:val="da-DK"/>
        </w:rPr>
        <w:t xml:space="preserve"> </w:t>
      </w:r>
      <w:r w:rsidRPr="00AA499E">
        <w:rPr>
          <w:rFonts w:ascii="Times New Roman" w:hAnsi="Times New Roman"/>
          <w:lang w:val="da-DK"/>
        </w:rPr>
        <w:t>der har vist klinisk bedring såsom forbedring af sygdomsrelaterede symptomer eller øget overlevelse.</w:t>
      </w:r>
    </w:p>
    <w:p w14:paraId="29DCA73E" w14:textId="77777777" w:rsidR="006478AD" w:rsidRPr="00AA499E" w:rsidRDefault="006478AD">
      <w:pPr>
        <w:autoSpaceDE w:val="0"/>
        <w:autoSpaceDN w:val="0"/>
        <w:adjustRightInd w:val="0"/>
        <w:spacing w:after="0" w:line="240" w:lineRule="auto"/>
        <w:rPr>
          <w:rFonts w:ascii="Times New Roman" w:hAnsi="Times New Roman"/>
          <w:lang w:val="da-DK"/>
        </w:rPr>
      </w:pPr>
    </w:p>
    <w:p w14:paraId="1108D19D" w14:textId="77777777" w:rsidR="006478AD" w:rsidRPr="00AA499E" w:rsidRDefault="004279F3" w:rsidP="002B4CB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En stor</w:t>
      </w:r>
      <w:r w:rsidR="00616F3C" w:rsidRPr="00AA499E">
        <w:rPr>
          <w:rFonts w:ascii="Times New Roman" w:hAnsi="Times New Roman"/>
          <w:lang w:val="da-DK"/>
        </w:rPr>
        <w:t xml:space="preserve"> international, åb</w:t>
      </w:r>
      <w:r w:rsidR="00BE3521" w:rsidRPr="00AA499E">
        <w:rPr>
          <w:rFonts w:ascii="Times New Roman" w:hAnsi="Times New Roman"/>
          <w:lang w:val="da-DK"/>
        </w:rPr>
        <w:t>e</w:t>
      </w:r>
      <w:r w:rsidR="00616F3C" w:rsidRPr="00AA499E">
        <w:rPr>
          <w:rFonts w:ascii="Times New Roman" w:hAnsi="Times New Roman"/>
          <w:lang w:val="da-DK"/>
        </w:rPr>
        <w:t>n, ikke-kontrollere</w:t>
      </w:r>
      <w:r w:rsidR="00BE3521" w:rsidRPr="00AA499E">
        <w:rPr>
          <w:rFonts w:ascii="Times New Roman" w:hAnsi="Times New Roman"/>
          <w:lang w:val="da-DK"/>
        </w:rPr>
        <w:t>t</w:t>
      </w:r>
      <w:r w:rsidR="00616F3C" w:rsidRPr="00AA499E">
        <w:rPr>
          <w:rFonts w:ascii="Times New Roman" w:hAnsi="Times New Roman"/>
          <w:lang w:val="da-DK"/>
        </w:rPr>
        <w:t xml:space="preserve"> fase II undersøgelse</w:t>
      </w:r>
      <w:r w:rsidRPr="00AA499E">
        <w:rPr>
          <w:rFonts w:ascii="Times New Roman" w:hAnsi="Times New Roman"/>
          <w:lang w:val="da-DK"/>
        </w:rPr>
        <w:t xml:space="preserve"> var udført</w:t>
      </w:r>
      <w:r w:rsidR="00616F3C" w:rsidRPr="00AA499E">
        <w:rPr>
          <w:rFonts w:ascii="Times New Roman" w:hAnsi="Times New Roman"/>
          <w:lang w:val="da-DK"/>
        </w:rPr>
        <w:t xml:space="preserve"> med patienter med Philadelphia-kromosompositiv (Ph+) CML i</w:t>
      </w:r>
      <w:r w:rsidR="001B07B9" w:rsidRPr="00AA499E">
        <w:rPr>
          <w:rFonts w:ascii="Times New Roman" w:hAnsi="Times New Roman"/>
          <w:lang w:val="da-DK"/>
        </w:rPr>
        <w:t xml:space="preserve"> </w:t>
      </w:r>
      <w:r w:rsidR="009C3373" w:rsidRPr="00AA499E">
        <w:rPr>
          <w:rFonts w:ascii="Times New Roman" w:hAnsi="Times New Roman"/>
          <w:lang w:val="da-DK"/>
        </w:rPr>
        <w:t>blaskritisk fase af sygdommen</w:t>
      </w:r>
      <w:r w:rsidR="00616F3C" w:rsidRPr="00AA499E">
        <w:rPr>
          <w:rFonts w:ascii="Times New Roman" w:hAnsi="Times New Roman"/>
          <w:lang w:val="da-DK"/>
        </w:rPr>
        <w:t>. Derudover er der behandlet børn</w:t>
      </w:r>
      <w:r w:rsidR="009A46E5" w:rsidRPr="00AA499E">
        <w:rPr>
          <w:rFonts w:ascii="Times New Roman" w:hAnsi="Times New Roman"/>
          <w:lang w:val="da-DK"/>
        </w:rPr>
        <w:t xml:space="preserve"> </w:t>
      </w:r>
      <w:r w:rsidR="00616F3C" w:rsidRPr="00AA499E">
        <w:rPr>
          <w:rFonts w:ascii="Times New Roman" w:hAnsi="Times New Roman"/>
          <w:lang w:val="da-DK"/>
        </w:rPr>
        <w:t>i 2 fase I undersøgelser</w:t>
      </w:r>
      <w:r w:rsidR="001B07B9" w:rsidRPr="00AA499E">
        <w:rPr>
          <w:rFonts w:ascii="Times New Roman" w:hAnsi="Times New Roman"/>
          <w:lang w:val="da-DK"/>
        </w:rPr>
        <w:t xml:space="preserve"> (</w:t>
      </w:r>
      <w:r w:rsidR="009C3373" w:rsidRPr="00AA499E">
        <w:rPr>
          <w:rFonts w:ascii="Times New Roman" w:hAnsi="Times New Roman"/>
          <w:lang w:val="da-DK"/>
        </w:rPr>
        <w:t>hos patienter med CML eller Ph+ akut leukæ</w:t>
      </w:r>
      <w:r w:rsidR="001B07B9" w:rsidRPr="00AA499E">
        <w:rPr>
          <w:rFonts w:ascii="Times New Roman" w:hAnsi="Times New Roman"/>
          <w:lang w:val="da-DK"/>
        </w:rPr>
        <w:t>mi)</w:t>
      </w:r>
      <w:r w:rsidR="00616F3C" w:rsidRPr="00AA499E">
        <w:rPr>
          <w:rFonts w:ascii="Times New Roman" w:hAnsi="Times New Roman"/>
          <w:lang w:val="da-DK"/>
        </w:rPr>
        <w:t xml:space="preserve"> og et fase II studie.</w:t>
      </w:r>
    </w:p>
    <w:p w14:paraId="1A5E3094" w14:textId="77777777" w:rsidR="006478AD" w:rsidRPr="00AA499E" w:rsidRDefault="006478AD">
      <w:pPr>
        <w:autoSpaceDE w:val="0"/>
        <w:autoSpaceDN w:val="0"/>
        <w:adjustRightInd w:val="0"/>
        <w:spacing w:after="0" w:line="240" w:lineRule="auto"/>
        <w:rPr>
          <w:rFonts w:ascii="Times New Roman" w:hAnsi="Times New Roman"/>
          <w:lang w:val="da-DK"/>
        </w:rPr>
      </w:pPr>
    </w:p>
    <w:p w14:paraId="2A7A6E9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de kliniske undersøgelser var 38 % af patienterne ≥ 60 år, og 12 % af patienterne var ≥ 70 år.</w:t>
      </w:r>
    </w:p>
    <w:p w14:paraId="35F25680" w14:textId="77777777" w:rsidR="006478AD" w:rsidRPr="00AA499E" w:rsidRDefault="006478AD">
      <w:pPr>
        <w:autoSpaceDE w:val="0"/>
        <w:autoSpaceDN w:val="0"/>
        <w:adjustRightInd w:val="0"/>
        <w:spacing w:after="0" w:line="240" w:lineRule="auto"/>
        <w:rPr>
          <w:rFonts w:ascii="Times New Roman" w:hAnsi="Times New Roman"/>
          <w:lang w:val="da-DK"/>
        </w:rPr>
      </w:pPr>
    </w:p>
    <w:p w14:paraId="2CED41B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 xml:space="preserve">Myeloid blastkrise: </w:t>
      </w:r>
      <w:r w:rsidRPr="00AA499E">
        <w:rPr>
          <w:rFonts w:ascii="Times New Roman" w:hAnsi="Times New Roman"/>
          <w:lang w:val="da-DK"/>
        </w:rPr>
        <w:t>Der inkluderedes 260 patienter med myeloid blastkrise. 95 (37 %) havde tidligere modtaget kemoterapi til behandling af enten accelereret fase eller blastkrise (”tidligere behandlede patienter”), hvorimod 165 (63 %) ikke havde (”ubehandlede patienter”). De første 37 patienter startede med 400 mg, protokollen blev efterfølgende ændret og tillod højere doser, hvorefter de resterende 223 patienter startede med 600 mg.</w:t>
      </w:r>
    </w:p>
    <w:p w14:paraId="24FE114C" w14:textId="77777777" w:rsidR="006478AD" w:rsidRPr="00AA499E" w:rsidRDefault="006478AD">
      <w:pPr>
        <w:autoSpaceDE w:val="0"/>
        <w:autoSpaceDN w:val="0"/>
        <w:adjustRightInd w:val="0"/>
        <w:spacing w:after="0" w:line="240" w:lineRule="auto"/>
        <w:rPr>
          <w:rFonts w:ascii="Times New Roman" w:hAnsi="Times New Roman"/>
          <w:lang w:val="da-DK"/>
        </w:rPr>
      </w:pPr>
    </w:p>
    <w:p w14:paraId="41EA5CF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Den primære effektvariable var graden af hæmatologisk hovedrespons, rapporteret enten som fuldstændigt hæmatologisk respons, intet tegn på leukæmi</w:t>
      </w:r>
      <w:r w:rsidR="001B07B9" w:rsidRPr="00AA499E">
        <w:rPr>
          <w:rFonts w:ascii="Times New Roman" w:hAnsi="Times New Roman"/>
          <w:lang w:val="da-DK"/>
        </w:rPr>
        <w:t xml:space="preserve"> </w:t>
      </w:r>
      <w:r w:rsidR="009C3373" w:rsidRPr="00AA499E">
        <w:rPr>
          <w:rFonts w:ascii="Times New Roman" w:hAnsi="Times New Roman"/>
          <w:lang w:val="da-DK"/>
        </w:rPr>
        <w:t>(det vil sige clearance af</w:t>
      </w:r>
      <w:r w:rsidR="001B07B9" w:rsidRPr="00AA499E">
        <w:rPr>
          <w:rFonts w:ascii="Times New Roman" w:hAnsi="Times New Roman"/>
          <w:lang w:val="da-DK"/>
        </w:rPr>
        <w:t xml:space="preserve"> blast</w:t>
      </w:r>
      <w:r w:rsidR="00077C0E" w:rsidRPr="00AA499E">
        <w:rPr>
          <w:rFonts w:ascii="Times New Roman" w:hAnsi="Times New Roman"/>
          <w:lang w:val="da-DK"/>
        </w:rPr>
        <w:t>er</w:t>
      </w:r>
      <w:r w:rsidR="001B07B9" w:rsidRPr="00AA499E">
        <w:rPr>
          <w:rFonts w:ascii="Times New Roman" w:hAnsi="Times New Roman"/>
          <w:lang w:val="da-DK"/>
        </w:rPr>
        <w:t xml:space="preserve"> </w:t>
      </w:r>
      <w:r w:rsidR="009C3373" w:rsidRPr="00AA499E">
        <w:rPr>
          <w:rFonts w:ascii="Times New Roman" w:hAnsi="Times New Roman"/>
          <w:lang w:val="da-DK"/>
        </w:rPr>
        <w:t>fra knoglemarven og blod</w:t>
      </w:r>
      <w:r w:rsidR="001B07B9" w:rsidRPr="00AA499E">
        <w:rPr>
          <w:rFonts w:ascii="Times New Roman" w:hAnsi="Times New Roman"/>
          <w:lang w:val="da-DK"/>
        </w:rPr>
        <w:t xml:space="preserve">, </w:t>
      </w:r>
      <w:r w:rsidR="009C3373" w:rsidRPr="00AA499E">
        <w:rPr>
          <w:rFonts w:ascii="Times New Roman" w:hAnsi="Times New Roman"/>
          <w:lang w:val="da-DK"/>
        </w:rPr>
        <w:t xml:space="preserve">men uden en </w:t>
      </w:r>
      <w:r w:rsidR="00077C0E" w:rsidRPr="00AA499E">
        <w:rPr>
          <w:rFonts w:ascii="Times New Roman" w:hAnsi="Times New Roman"/>
          <w:lang w:val="da-DK"/>
        </w:rPr>
        <w:t>fuldstændig resitution i perifert blod som ved fuldstændigt respons)</w:t>
      </w:r>
      <w:r w:rsidRPr="00AA499E">
        <w:rPr>
          <w:rFonts w:ascii="Times New Roman" w:hAnsi="Times New Roman"/>
          <w:lang w:val="da-DK"/>
        </w:rPr>
        <w:t xml:space="preserve"> eller remission til CML i kronisk fase. I denne undersøgelse opnåede 31 % af patienterne et hæmatologisk respons (36 % af de tidligere ”ubehandlede patienter” og 22 % af de ”tidligere behandlede patienter”)</w:t>
      </w:r>
      <w:r w:rsidR="001B07B9" w:rsidRPr="00AA499E">
        <w:rPr>
          <w:rFonts w:ascii="Times New Roman" w:hAnsi="Times New Roman"/>
          <w:lang w:val="da-DK"/>
        </w:rPr>
        <w:t xml:space="preserve"> (Tabel </w:t>
      </w:r>
      <w:r w:rsidR="00F9753E" w:rsidRPr="00AA499E">
        <w:rPr>
          <w:rFonts w:ascii="Times New Roman" w:hAnsi="Times New Roman"/>
          <w:lang w:val="da-DK"/>
        </w:rPr>
        <w:t>2</w:t>
      </w:r>
      <w:r w:rsidR="001B07B9" w:rsidRPr="00AA499E">
        <w:rPr>
          <w:rFonts w:ascii="Times New Roman" w:hAnsi="Times New Roman"/>
          <w:lang w:val="da-DK"/>
        </w:rPr>
        <w:t>)</w:t>
      </w:r>
      <w:r w:rsidRPr="00AA499E">
        <w:rPr>
          <w:rFonts w:ascii="Times New Roman" w:hAnsi="Times New Roman"/>
          <w:lang w:val="da-DK"/>
        </w:rPr>
        <w:t>. Hovedresponsniveauet var også større hos patienter behandlet med 600 mg (33 %) sammenlignet med patienter behandlet med 400 mg (16 %, p=0,0220). Den aktuelle estimerede gennemsnitlige overlevelse hos tidligere ”ubehandlede” og ”behandlede patienter” var henholdsvis 7,7 og 4,7 måneder.</w:t>
      </w:r>
    </w:p>
    <w:p w14:paraId="56FD26BA" w14:textId="77777777" w:rsidR="006478AD" w:rsidRPr="00AA499E" w:rsidRDefault="006478AD">
      <w:pPr>
        <w:autoSpaceDE w:val="0"/>
        <w:autoSpaceDN w:val="0"/>
        <w:adjustRightInd w:val="0"/>
        <w:spacing w:after="0" w:line="240" w:lineRule="auto"/>
        <w:rPr>
          <w:rFonts w:ascii="Times New Roman" w:hAnsi="Times New Roman"/>
          <w:lang w:val="da-DK"/>
        </w:rPr>
      </w:pPr>
    </w:p>
    <w:p w14:paraId="48C393D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Lymfoid blastkrise</w:t>
      </w:r>
      <w:r w:rsidRPr="00AA499E">
        <w:rPr>
          <w:rFonts w:ascii="Times New Roman" w:hAnsi="Times New Roman"/>
          <w:lang w:val="da-DK"/>
        </w:rPr>
        <w:t>: der inkluderedes et begrænset antal patienter i fase I undersøgelser (n=10). Incidensen af hæmatologisk respons var 70 % med en varighed på 2</w:t>
      </w:r>
      <w:r w:rsidRPr="00AA499E">
        <w:rPr>
          <w:rFonts w:ascii="Times New Roman" w:hAnsi="Times New Roman"/>
          <w:b/>
          <w:bCs/>
          <w:i/>
          <w:iCs/>
          <w:lang w:val="da-DK"/>
        </w:rPr>
        <w:t>–</w:t>
      </w:r>
      <w:r w:rsidRPr="00AA499E">
        <w:rPr>
          <w:rFonts w:ascii="Times New Roman" w:hAnsi="Times New Roman"/>
          <w:lang w:val="da-DK"/>
        </w:rPr>
        <w:t>3 måneder.</w:t>
      </w:r>
    </w:p>
    <w:p w14:paraId="120BC35A" w14:textId="77777777" w:rsidR="006478AD" w:rsidRPr="00AA499E" w:rsidRDefault="006478AD">
      <w:pPr>
        <w:autoSpaceDE w:val="0"/>
        <w:autoSpaceDN w:val="0"/>
        <w:adjustRightInd w:val="0"/>
        <w:spacing w:after="0" w:line="240" w:lineRule="auto"/>
        <w:rPr>
          <w:rFonts w:ascii="Times New Roman" w:hAnsi="Times New Roman"/>
          <w:lang w:val="da-DK"/>
        </w:rPr>
      </w:pPr>
    </w:p>
    <w:p w14:paraId="68520D2A" w14:textId="77777777" w:rsidR="00F7182C"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Tabel</w:t>
      </w:r>
      <w:r w:rsidR="004D391E" w:rsidRPr="00AA499E">
        <w:rPr>
          <w:rFonts w:ascii="Times New Roman" w:hAnsi="Times New Roman"/>
          <w:b/>
          <w:bCs/>
          <w:lang w:val="da-DK"/>
        </w:rPr>
        <w:t> </w:t>
      </w:r>
      <w:r w:rsidR="00F9753E" w:rsidRPr="00AA499E">
        <w:rPr>
          <w:rFonts w:ascii="Times New Roman" w:hAnsi="Times New Roman"/>
          <w:b/>
          <w:bCs/>
          <w:lang w:val="da-DK"/>
        </w:rPr>
        <w:t>2</w:t>
      </w:r>
      <w:r w:rsidRPr="00AA499E">
        <w:rPr>
          <w:rFonts w:ascii="Times New Roman" w:hAnsi="Times New Roman"/>
          <w:b/>
          <w:bCs/>
          <w:lang w:val="da-DK"/>
        </w:rPr>
        <w:t xml:space="preserve"> Respons hos voksne CML-patienter</w:t>
      </w:r>
      <w:r w:rsidR="00EE7592" w:rsidRPr="00AA499E">
        <w:rPr>
          <w:rFonts w:ascii="Times New Roman" w:hAnsi="Times New Roman"/>
          <w:b/>
          <w:bCs/>
          <w:lang w:val="da-DK"/>
        </w:rPr>
        <w:t xml:space="preserve"> (studie)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6343"/>
      </w:tblGrid>
      <w:tr w:rsidR="001B07B9" w:rsidRPr="00AA499E" w14:paraId="3E10ABA0" w14:textId="77777777" w:rsidTr="00722CDA">
        <w:tc>
          <w:tcPr>
            <w:tcW w:w="3085" w:type="dxa"/>
          </w:tcPr>
          <w:p w14:paraId="2ECFEA50" w14:textId="77777777" w:rsidR="001B07B9" w:rsidRPr="00AA499E" w:rsidRDefault="001B07B9">
            <w:pPr>
              <w:autoSpaceDE w:val="0"/>
              <w:autoSpaceDN w:val="0"/>
              <w:adjustRightInd w:val="0"/>
              <w:spacing w:after="0" w:line="240" w:lineRule="auto"/>
              <w:rPr>
                <w:rFonts w:ascii="Times New Roman" w:hAnsi="Times New Roman"/>
                <w:lang w:val="da-DK"/>
              </w:rPr>
            </w:pPr>
          </w:p>
        </w:tc>
        <w:tc>
          <w:tcPr>
            <w:tcW w:w="6462" w:type="dxa"/>
          </w:tcPr>
          <w:p w14:paraId="795CC1AC"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Undersøgelse 0102</w:t>
            </w:r>
          </w:p>
          <w:p w14:paraId="767ECFAE"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38 måneders data</w:t>
            </w:r>
          </w:p>
          <w:p w14:paraId="79F22B23"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Myeloid blast-</w:t>
            </w:r>
          </w:p>
          <w:p w14:paraId="5A6DD154"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krise</w:t>
            </w:r>
          </w:p>
          <w:p w14:paraId="420467D8"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(n=260)</w:t>
            </w:r>
          </w:p>
        </w:tc>
      </w:tr>
      <w:tr w:rsidR="006478AD" w:rsidRPr="00AA499E" w14:paraId="0CEF02C5" w14:textId="77777777" w:rsidTr="007E16DF">
        <w:tc>
          <w:tcPr>
            <w:tcW w:w="9547" w:type="dxa"/>
            <w:gridSpan w:val="2"/>
          </w:tcPr>
          <w:p w14:paraId="2094F105" w14:textId="77777777" w:rsidR="006478AD" w:rsidRPr="00AA499E" w:rsidRDefault="00616F3C"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 patienter (CI</w:t>
            </w:r>
            <w:r w:rsidRPr="00AA499E">
              <w:rPr>
                <w:rFonts w:ascii="Times New Roman" w:hAnsi="Times New Roman"/>
                <w:vertAlign w:val="subscript"/>
                <w:lang w:val="da-DK"/>
              </w:rPr>
              <w:t>95%</w:t>
            </w:r>
            <w:r w:rsidRPr="00AA499E">
              <w:rPr>
                <w:rFonts w:ascii="Times New Roman" w:hAnsi="Times New Roman"/>
                <w:lang w:val="da-DK"/>
              </w:rPr>
              <w:t>)</w:t>
            </w:r>
          </w:p>
        </w:tc>
      </w:tr>
      <w:tr w:rsidR="001B07B9" w:rsidRPr="00AA499E" w14:paraId="4925B48E" w14:textId="77777777" w:rsidTr="00722CDA">
        <w:tc>
          <w:tcPr>
            <w:tcW w:w="3085" w:type="dxa"/>
          </w:tcPr>
          <w:p w14:paraId="4849EAA6" w14:textId="77777777" w:rsidR="001B07B9" w:rsidRPr="00AA499E" w:rsidRDefault="001B07B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Hæmatologisk respons</w:t>
            </w:r>
            <w:r w:rsidRPr="00AA499E">
              <w:rPr>
                <w:rFonts w:ascii="Times New Roman" w:hAnsi="Times New Roman"/>
                <w:vertAlign w:val="superscript"/>
                <w:lang w:val="da-DK"/>
              </w:rPr>
              <w:t>1</w:t>
            </w:r>
          </w:p>
          <w:p w14:paraId="56BBCD27" w14:textId="77777777" w:rsidR="001B07B9" w:rsidRPr="00AA499E" w:rsidRDefault="001B07B9" w:rsidP="00A272E7">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tab/>
              <w:t>Fuldstændigt hæmatologisk respons (CHR)</w:t>
            </w:r>
          </w:p>
          <w:p w14:paraId="7DBA2BC1" w14:textId="77777777" w:rsidR="001B07B9" w:rsidRPr="00AA499E" w:rsidRDefault="001B07B9" w:rsidP="00A272E7">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tab/>
              <w:t>Intet tegn på leukæmi (NEL)</w:t>
            </w:r>
          </w:p>
          <w:p w14:paraId="6A2D7C1A" w14:textId="77777777" w:rsidR="001B07B9" w:rsidRPr="00AA499E" w:rsidRDefault="001B07B9" w:rsidP="00A272E7">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tab/>
              <w:t>Remission til kronisk fase (RTC)</w:t>
            </w:r>
          </w:p>
        </w:tc>
        <w:tc>
          <w:tcPr>
            <w:tcW w:w="6462" w:type="dxa"/>
          </w:tcPr>
          <w:p w14:paraId="6DFEEE59"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31 % (25,2–36,8)</w:t>
            </w:r>
          </w:p>
          <w:p w14:paraId="680AC4AA"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8 %</w:t>
            </w:r>
          </w:p>
          <w:p w14:paraId="0027A32D"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p>
          <w:p w14:paraId="0BAB9AAA"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5 %</w:t>
            </w:r>
          </w:p>
          <w:p w14:paraId="515930C4"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p>
          <w:p w14:paraId="65B0C295"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18 %</w:t>
            </w:r>
          </w:p>
        </w:tc>
      </w:tr>
      <w:tr w:rsidR="001B07B9" w:rsidRPr="00AA499E" w14:paraId="3322C8B7" w14:textId="77777777" w:rsidTr="00722CDA">
        <w:tc>
          <w:tcPr>
            <w:tcW w:w="3085" w:type="dxa"/>
          </w:tcPr>
          <w:p w14:paraId="468C910A" w14:textId="77777777" w:rsidR="001B07B9" w:rsidRPr="00AA499E" w:rsidRDefault="001B07B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Cytogenetisk hovedrespons</w:t>
            </w:r>
            <w:r w:rsidRPr="00AA499E">
              <w:rPr>
                <w:rFonts w:ascii="Times New Roman" w:hAnsi="Times New Roman"/>
                <w:vertAlign w:val="superscript"/>
                <w:lang w:val="da-DK"/>
              </w:rPr>
              <w:t>2</w:t>
            </w:r>
          </w:p>
          <w:p w14:paraId="19A5043A" w14:textId="77777777" w:rsidR="001B07B9" w:rsidRPr="00AA499E" w:rsidRDefault="001B07B9" w:rsidP="00A272E7">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tab/>
              <w:t>Fuldstændigt</w:t>
            </w:r>
          </w:p>
          <w:p w14:paraId="6A9FE582" w14:textId="77777777" w:rsidR="001B07B9" w:rsidRPr="00AA499E" w:rsidRDefault="001B07B9" w:rsidP="00A272E7">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tab/>
              <w:t>(Bekræftet</w:t>
            </w:r>
            <w:r w:rsidRPr="00AA499E">
              <w:rPr>
                <w:rFonts w:ascii="Times New Roman" w:hAnsi="Times New Roman"/>
                <w:vertAlign w:val="superscript"/>
                <w:lang w:val="da-DK"/>
              </w:rPr>
              <w:t>3</w:t>
            </w:r>
            <w:r w:rsidRPr="00AA499E">
              <w:rPr>
                <w:rFonts w:ascii="Times New Roman" w:hAnsi="Times New Roman"/>
                <w:lang w:val="da-DK"/>
              </w:rPr>
              <w:t>) [95 % CI]</w:t>
            </w:r>
          </w:p>
          <w:p w14:paraId="13348E29" w14:textId="77777777" w:rsidR="001B07B9" w:rsidRPr="00AA499E" w:rsidRDefault="001B07B9" w:rsidP="00A272E7">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tab/>
              <w:t>Delvist</w:t>
            </w:r>
          </w:p>
        </w:tc>
        <w:tc>
          <w:tcPr>
            <w:tcW w:w="6462" w:type="dxa"/>
          </w:tcPr>
          <w:p w14:paraId="623E7DE1"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15 % (11,2–20,4)</w:t>
            </w:r>
          </w:p>
          <w:p w14:paraId="1270096B"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7 %</w:t>
            </w:r>
          </w:p>
          <w:p w14:paraId="6F25F7D4"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(2 %) [0,6–4,4]</w:t>
            </w:r>
          </w:p>
          <w:p w14:paraId="1EA1756E" w14:textId="77777777" w:rsidR="001B07B9" w:rsidRPr="00AA499E" w:rsidRDefault="001B07B9"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8 %</w:t>
            </w:r>
          </w:p>
        </w:tc>
      </w:tr>
      <w:tr w:rsidR="006478AD" w:rsidRPr="00AA499E" w14:paraId="32A81426" w14:textId="77777777" w:rsidTr="007E16DF">
        <w:tc>
          <w:tcPr>
            <w:tcW w:w="9547" w:type="dxa"/>
            <w:gridSpan w:val="2"/>
          </w:tcPr>
          <w:p w14:paraId="587AE075"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vertAlign w:val="superscript"/>
                <w:lang w:val="da-DK"/>
              </w:rPr>
              <w:t>1</w:t>
            </w:r>
            <w:r w:rsidRPr="00AA499E">
              <w:rPr>
                <w:rFonts w:ascii="Times New Roman" w:hAnsi="Times New Roman"/>
                <w:b/>
                <w:bCs/>
                <w:lang w:val="da-DK"/>
              </w:rPr>
              <w:t xml:space="preserve"> 1Hæmatologiske responskriterier (hvert respons skal bekræftes </w:t>
            </w:r>
            <w:r w:rsidRPr="00AA499E">
              <w:rPr>
                <w:rFonts w:ascii="Times New Roman" w:hAnsi="Times New Roman"/>
                <w:lang w:val="da-DK"/>
              </w:rPr>
              <w:t xml:space="preserve">≥ </w:t>
            </w:r>
            <w:r w:rsidRPr="00AA499E">
              <w:rPr>
                <w:rFonts w:ascii="Times New Roman" w:hAnsi="Times New Roman"/>
                <w:b/>
                <w:bCs/>
                <w:lang w:val="da-DK"/>
              </w:rPr>
              <w:t>4 uger):</w:t>
            </w:r>
          </w:p>
          <w:p w14:paraId="7D01C962"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CHR:</w:t>
            </w:r>
            <w:r w:rsidRPr="00AA499E">
              <w:rPr>
                <w:rFonts w:ascii="Times New Roman" w:hAnsi="Times New Roman"/>
                <w:lang w:val="da-DK"/>
              </w:rPr>
              <w:tab/>
            </w:r>
            <w:r w:rsidR="001B07B9" w:rsidRPr="00AA499E">
              <w:rPr>
                <w:rFonts w:ascii="Times New Roman" w:hAnsi="Times New Roman"/>
                <w:lang w:val="da-DK"/>
              </w:rPr>
              <w:t>I studie 0102</w:t>
            </w:r>
            <w:r w:rsidRPr="00AA499E">
              <w:rPr>
                <w:rFonts w:ascii="Times New Roman" w:hAnsi="Times New Roman"/>
                <w:lang w:val="da-DK"/>
              </w:rPr>
              <w:t xml:space="preserve"> [ANC </w:t>
            </w:r>
            <w:r w:rsidR="00EE7592" w:rsidRPr="00AA499E">
              <w:rPr>
                <w:rFonts w:ascii="Times New Roman" w:hAnsi="Times New Roman"/>
                <w:lang w:val="da-DK"/>
              </w:rPr>
              <w:t>≥ </w:t>
            </w:r>
            <w:r w:rsidRPr="00AA499E">
              <w:rPr>
                <w:rFonts w:ascii="Times New Roman" w:hAnsi="Times New Roman"/>
                <w:lang w:val="da-DK"/>
              </w:rPr>
              <w:t>1,5 x 10</w:t>
            </w:r>
            <w:r w:rsidRPr="00AA499E">
              <w:rPr>
                <w:rFonts w:ascii="Times New Roman" w:hAnsi="Times New Roman"/>
                <w:vertAlign w:val="superscript"/>
                <w:lang w:val="da-DK"/>
              </w:rPr>
              <w:t>9</w:t>
            </w:r>
            <w:r w:rsidRPr="00AA499E">
              <w:rPr>
                <w:rFonts w:ascii="Times New Roman" w:hAnsi="Times New Roman"/>
                <w:lang w:val="da-DK"/>
              </w:rPr>
              <w:t>/l, trombocytter ≥ 100 x 10</w:t>
            </w:r>
            <w:r w:rsidRPr="00AA499E">
              <w:rPr>
                <w:rFonts w:ascii="Times New Roman" w:hAnsi="Times New Roman"/>
                <w:vertAlign w:val="superscript"/>
                <w:lang w:val="da-DK"/>
              </w:rPr>
              <w:t>9</w:t>
            </w:r>
            <w:r w:rsidRPr="00AA499E">
              <w:rPr>
                <w:rFonts w:ascii="Times New Roman" w:hAnsi="Times New Roman"/>
                <w:lang w:val="da-DK"/>
              </w:rPr>
              <w:t>/l, ingen blaster i blodet, BM-blaster &lt;5 % og ingen ekstramedullær sygdom].</w:t>
            </w:r>
          </w:p>
          <w:p w14:paraId="4897AF7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NEL</w:t>
            </w:r>
            <w:r w:rsidRPr="00AA499E">
              <w:rPr>
                <w:rFonts w:ascii="Times New Roman" w:hAnsi="Times New Roman"/>
                <w:lang w:val="da-DK"/>
              </w:rPr>
              <w:tab/>
              <w:t>Samme kriterier som for CHR, men ANC ≥ 1 x 10</w:t>
            </w:r>
            <w:r w:rsidRPr="00AA499E">
              <w:rPr>
                <w:rFonts w:ascii="Times New Roman" w:hAnsi="Times New Roman"/>
                <w:vertAlign w:val="superscript"/>
                <w:lang w:val="da-DK"/>
              </w:rPr>
              <w:t>9</w:t>
            </w:r>
            <w:r w:rsidRPr="00AA499E">
              <w:rPr>
                <w:rFonts w:ascii="Times New Roman" w:hAnsi="Times New Roman"/>
                <w:lang w:val="da-DK"/>
              </w:rPr>
              <w:t>/l og trombocytter ≥ 20 x 10</w:t>
            </w:r>
            <w:r w:rsidRPr="00AA499E">
              <w:rPr>
                <w:rFonts w:ascii="Times New Roman" w:hAnsi="Times New Roman"/>
                <w:vertAlign w:val="superscript"/>
                <w:lang w:val="da-DK"/>
              </w:rPr>
              <w:t>9</w:t>
            </w:r>
            <w:r w:rsidRPr="00AA499E">
              <w:rPr>
                <w:rFonts w:ascii="Times New Roman" w:hAnsi="Times New Roman"/>
                <w:lang w:val="da-DK"/>
              </w:rPr>
              <w:t>/l.</w:t>
            </w:r>
          </w:p>
          <w:p w14:paraId="7E33FDB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RTC &lt;15 % blaster I BM og PB, &lt;30 % blaster + promyelocytter in BM og PB, &lt;20 % basofilocytter i PB, ingen ekstramedullær sygdom andet end milt og lever.</w:t>
            </w:r>
          </w:p>
          <w:p w14:paraId="2B983A6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BM = Knoglemarv; PB = Perifert blod.</w:t>
            </w:r>
          </w:p>
          <w:p w14:paraId="0A047561"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vertAlign w:val="superscript"/>
                <w:lang w:val="da-DK"/>
              </w:rPr>
              <w:t>2</w:t>
            </w:r>
            <w:r w:rsidRPr="00AA499E">
              <w:rPr>
                <w:rFonts w:ascii="Times New Roman" w:hAnsi="Times New Roman"/>
                <w:b/>
                <w:bCs/>
                <w:lang w:val="da-DK"/>
              </w:rPr>
              <w:t xml:space="preserve"> Cytogenetiske responskriterier:</w:t>
            </w:r>
          </w:p>
          <w:p w14:paraId="6817D16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Et hovedrespons kombinerer både fuldstændig og partiel respons: Fuldstændig (0 % Ph+ metafaser),</w:t>
            </w:r>
          </w:p>
          <w:p w14:paraId="74C9E52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delvis (1–35 %).</w:t>
            </w:r>
          </w:p>
          <w:p w14:paraId="006865C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vertAlign w:val="superscript"/>
                <w:lang w:val="da-DK"/>
              </w:rPr>
              <w:t>3</w:t>
            </w:r>
            <w:r w:rsidRPr="00AA499E">
              <w:rPr>
                <w:rFonts w:ascii="Times New Roman" w:hAnsi="Times New Roman"/>
                <w:lang w:val="da-DK"/>
              </w:rPr>
              <w:t xml:space="preserve"> Fuldstændigt cytogenetisk respons bekræftet ved endnu en cytogenetisk knoglemarvsundersøgelse</w:t>
            </w:r>
          </w:p>
          <w:p w14:paraId="40164D8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udført mindst 1 måned efter den initiale knoglemarvsundersøgelse.</w:t>
            </w:r>
          </w:p>
        </w:tc>
      </w:tr>
    </w:tbl>
    <w:p w14:paraId="7519C633" w14:textId="77777777" w:rsidR="006478AD" w:rsidRPr="00AA499E" w:rsidRDefault="006478AD">
      <w:pPr>
        <w:autoSpaceDE w:val="0"/>
        <w:autoSpaceDN w:val="0"/>
        <w:adjustRightInd w:val="0"/>
        <w:spacing w:after="0" w:line="240" w:lineRule="auto"/>
        <w:rPr>
          <w:rFonts w:ascii="Times New Roman" w:hAnsi="Times New Roman"/>
          <w:lang w:val="da-DK"/>
        </w:rPr>
      </w:pPr>
    </w:p>
    <w:p w14:paraId="78D58EE8" w14:textId="77777777" w:rsidR="00F7182C" w:rsidRPr="00AA499E" w:rsidRDefault="00F7182C">
      <w:pPr>
        <w:autoSpaceDE w:val="0"/>
        <w:autoSpaceDN w:val="0"/>
        <w:adjustRightInd w:val="0"/>
        <w:spacing w:after="0" w:line="240" w:lineRule="auto"/>
        <w:rPr>
          <w:rFonts w:ascii="Times New Roman" w:hAnsi="Times New Roman"/>
          <w:lang w:val="da-DK"/>
        </w:rPr>
      </w:pPr>
    </w:p>
    <w:p w14:paraId="33D8483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Pædiatriske patienter</w:t>
      </w:r>
      <w:r w:rsidRPr="00AA499E">
        <w:rPr>
          <w:rFonts w:ascii="Times New Roman" w:hAnsi="Times New Roman"/>
          <w:lang w:val="da-DK"/>
        </w:rPr>
        <w:t>: I alt 26 pædiatriske patienter i alderen &lt;18 år med enten CML i kronisk fase (n=11) eller CML i blastkrise eller Ph+ akut leukæmi (n=15) blev inkluderet i en fase I undersøgelse med dosis</w:t>
      </w:r>
      <w:r w:rsidR="007105B5" w:rsidRPr="00AA499E">
        <w:rPr>
          <w:rFonts w:ascii="Times New Roman" w:hAnsi="Times New Roman"/>
          <w:lang w:val="da-DK"/>
        </w:rPr>
        <w:noBreakHyphen/>
      </w:r>
      <w:r w:rsidRPr="00AA499E">
        <w:rPr>
          <w:rFonts w:ascii="Times New Roman" w:hAnsi="Times New Roman"/>
          <w:lang w:val="da-DK"/>
        </w:rPr>
        <w:t>eskalering. Det var en population af patienter, der i udtalt grad tidligere havde modtaget anden behandling, eftersom 46 % tidligere havde modtaget BMT, og 73 % tidligere havde modtaget multi-stof kemoterapi. Patienterne blev behandlet med imatinib-doser på 260 mg/m</w:t>
      </w:r>
      <w:r w:rsidRPr="00AA499E">
        <w:rPr>
          <w:rFonts w:ascii="Times New Roman" w:hAnsi="Times New Roman"/>
          <w:vertAlign w:val="superscript"/>
          <w:lang w:val="da-DK"/>
        </w:rPr>
        <w:t>2</w:t>
      </w:r>
      <w:r w:rsidRPr="00AA499E">
        <w:rPr>
          <w:rFonts w:ascii="Times New Roman" w:hAnsi="Times New Roman"/>
          <w:lang w:val="da-DK"/>
        </w:rPr>
        <w:t>/dag (n=5), 340 mg/m</w:t>
      </w:r>
      <w:r w:rsidRPr="00AA499E">
        <w:rPr>
          <w:rFonts w:ascii="Times New Roman" w:hAnsi="Times New Roman"/>
          <w:vertAlign w:val="superscript"/>
          <w:lang w:val="da-DK"/>
        </w:rPr>
        <w:t>2</w:t>
      </w:r>
      <w:r w:rsidRPr="00AA499E">
        <w:rPr>
          <w:rFonts w:ascii="Times New Roman" w:hAnsi="Times New Roman"/>
          <w:lang w:val="da-DK"/>
        </w:rPr>
        <w:t>/dag (n=9), 440 mg/m</w:t>
      </w:r>
      <w:r w:rsidRPr="00AA499E">
        <w:rPr>
          <w:rFonts w:ascii="Times New Roman" w:hAnsi="Times New Roman"/>
          <w:vertAlign w:val="superscript"/>
          <w:lang w:val="da-DK"/>
        </w:rPr>
        <w:t>2</w:t>
      </w:r>
      <w:r w:rsidRPr="00AA499E">
        <w:rPr>
          <w:rFonts w:ascii="Times New Roman" w:hAnsi="Times New Roman"/>
          <w:lang w:val="da-DK"/>
        </w:rPr>
        <w:t>/dag (n=7) og 570 mg/m</w:t>
      </w:r>
      <w:r w:rsidRPr="00AA499E">
        <w:rPr>
          <w:rFonts w:ascii="Times New Roman" w:hAnsi="Times New Roman"/>
          <w:vertAlign w:val="superscript"/>
          <w:lang w:val="da-DK"/>
        </w:rPr>
        <w:t>2</w:t>
      </w:r>
      <w:r w:rsidRPr="00AA499E">
        <w:rPr>
          <w:rFonts w:ascii="Times New Roman" w:hAnsi="Times New Roman"/>
          <w:lang w:val="da-DK"/>
        </w:rPr>
        <w:t>/dag (n=5). Af 9 patienter med kronisk fase CML og tilgængelige cytogenetiske data opnåede henholdsvis 4 (44 %) og 3 (33 %) fuldstændigt og delvist cytogenetisk respons, med en McyR-rate på 77 %.</w:t>
      </w:r>
    </w:p>
    <w:p w14:paraId="0B56B85A" w14:textId="77777777" w:rsidR="006478AD" w:rsidRPr="00AA499E" w:rsidRDefault="006478AD">
      <w:pPr>
        <w:autoSpaceDE w:val="0"/>
        <w:autoSpaceDN w:val="0"/>
        <w:adjustRightInd w:val="0"/>
        <w:spacing w:after="0" w:line="240" w:lineRule="auto"/>
        <w:rPr>
          <w:rFonts w:ascii="Times New Roman" w:hAnsi="Times New Roman"/>
          <w:lang w:val="da-DK"/>
        </w:rPr>
      </w:pPr>
    </w:p>
    <w:p w14:paraId="18EB16C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alt 51 børn med nydiagnosticeret og ubehandlet CML i kronisk fase blev inkluderet i en åben, multicenter, enkeltarm fase II undersøgelse. Hvis der ikke var dosisbegrænsende toksicitet, blev patienterne behandlet med 340 mg/m</w:t>
      </w:r>
      <w:r w:rsidRPr="00AA499E">
        <w:rPr>
          <w:rFonts w:ascii="Times New Roman" w:hAnsi="Times New Roman"/>
          <w:vertAlign w:val="superscript"/>
          <w:lang w:val="da-DK"/>
        </w:rPr>
        <w:t>2</w:t>
      </w:r>
      <w:r w:rsidRPr="00AA499E">
        <w:rPr>
          <w:rFonts w:ascii="Times New Roman" w:hAnsi="Times New Roman"/>
          <w:lang w:val="da-DK"/>
        </w:rPr>
        <w:t>/dag uden afbrydelse. Imatinib-behandling inducerer et hurtigt respons hos nydiagnosticerede pædiatriske CML-patienter med en CHR hos 78 % efter 8 ugers behandling. Den høje rate af CHR er ledsaget af udvikling af komplet cytogenetisk respons (CCyR) hos 65 %, hvilket er sammenligneligt med resultater observeret hos voksne. Derudover sås partielt cytogetisk respons (PCyR) hos 16 %, dermed MCyR hos 81 %. Hovedparten af patienterne, som opnåede CCyR, udviklede dette mellem</w:t>
      </w:r>
      <w:r w:rsidR="001C43D6" w:rsidRPr="00AA499E">
        <w:rPr>
          <w:rFonts w:ascii="Times New Roman" w:hAnsi="Times New Roman"/>
          <w:lang w:val="da-DK"/>
        </w:rPr>
        <w:t> </w:t>
      </w:r>
      <w:r w:rsidRPr="00AA499E">
        <w:rPr>
          <w:rFonts w:ascii="Times New Roman" w:hAnsi="Times New Roman"/>
          <w:lang w:val="da-DK"/>
        </w:rPr>
        <w:t>3. og 10. måned med en mediantid til respons på 5,6 måneder baseret på et Kaplan-Meier estimat.</w:t>
      </w:r>
    </w:p>
    <w:p w14:paraId="0DD5D871" w14:textId="77777777" w:rsidR="00C70D67" w:rsidRPr="00AA499E" w:rsidRDefault="00C70D67">
      <w:pPr>
        <w:autoSpaceDE w:val="0"/>
        <w:autoSpaceDN w:val="0"/>
        <w:adjustRightInd w:val="0"/>
        <w:spacing w:after="0" w:line="240" w:lineRule="auto"/>
        <w:rPr>
          <w:rFonts w:ascii="Times New Roman" w:hAnsi="Times New Roman"/>
          <w:lang w:val="da-DK"/>
        </w:rPr>
      </w:pPr>
    </w:p>
    <w:p w14:paraId="5FDD1C19" w14:textId="77777777" w:rsidR="00C70D67" w:rsidRPr="00AA499E" w:rsidRDefault="00C70D67" w:rsidP="007E16DF">
      <w:pPr>
        <w:pStyle w:val="Endnotentext"/>
        <w:tabs>
          <w:tab w:val="clear" w:pos="567"/>
        </w:tabs>
        <w:rPr>
          <w:color w:val="000000"/>
          <w:szCs w:val="22"/>
        </w:rPr>
      </w:pPr>
      <w:r w:rsidRPr="00AA499E">
        <w:rPr>
          <w:color w:val="000000"/>
          <w:szCs w:val="22"/>
        </w:rPr>
        <w:t>Det Europæiske Lægemiddelagentur har dispenseret fra kravet om at fremlægge resultaterne af studier med</w:t>
      </w:r>
      <w:r w:rsidR="00EF3CB5" w:rsidRPr="00AA499E">
        <w:rPr>
          <w:color w:val="000000"/>
          <w:szCs w:val="22"/>
        </w:rPr>
        <w:t xml:space="preserve"> </w:t>
      </w:r>
      <w:r w:rsidR="00EF3CB5" w:rsidRPr="00AA499E">
        <w:rPr>
          <w:szCs w:val="22"/>
        </w:rPr>
        <w:t>imatinib</w:t>
      </w:r>
      <w:r w:rsidRPr="00AA499E">
        <w:rPr>
          <w:color w:val="000000"/>
          <w:szCs w:val="22"/>
        </w:rPr>
        <w:t xml:space="preserve"> i alle undergrupper af den pædiatriske population med Philadelphiakromosom (bcr-abl translokation)-positiv kronisk myeloid leukæmi (se pkt. 4.2 for oplysninger om pædiatrisk anvendelse).</w:t>
      </w:r>
    </w:p>
    <w:p w14:paraId="408BDC00" w14:textId="77777777" w:rsidR="00A272E7" w:rsidRPr="00AA499E" w:rsidRDefault="00A272E7" w:rsidP="007E16DF">
      <w:pPr>
        <w:pStyle w:val="Endnotentext"/>
        <w:tabs>
          <w:tab w:val="clear" w:pos="567"/>
        </w:tabs>
        <w:rPr>
          <w:color w:val="000000"/>
          <w:szCs w:val="22"/>
        </w:rPr>
      </w:pPr>
    </w:p>
    <w:p w14:paraId="5083BB93" w14:textId="77777777" w:rsidR="00A272E7" w:rsidRPr="00AA499E" w:rsidRDefault="00A272E7" w:rsidP="00A272E7">
      <w:pPr>
        <w:pStyle w:val="Endnotentext"/>
        <w:rPr>
          <w:color w:val="000000"/>
        </w:rPr>
      </w:pPr>
      <w:r w:rsidRPr="00AA499E">
        <w:rPr>
          <w:color w:val="000000"/>
          <w:u w:val="single"/>
        </w:rPr>
        <w:t>Kliniske studier ved Ph+ ALL</w:t>
      </w:r>
    </w:p>
    <w:p w14:paraId="68BFCC7E" w14:textId="77777777" w:rsidR="00A272E7" w:rsidRPr="00AA499E" w:rsidRDefault="00A272E7" w:rsidP="00A272E7">
      <w:pPr>
        <w:pStyle w:val="Endnotentext"/>
        <w:rPr>
          <w:color w:val="000000"/>
        </w:rPr>
      </w:pPr>
      <w:r w:rsidRPr="00AA499E">
        <w:rPr>
          <w:i/>
          <w:iCs/>
          <w:color w:val="000000"/>
        </w:rPr>
        <w:t>Nydiagnostiseret Ph+ ALL</w:t>
      </w:r>
      <w:r w:rsidRPr="00AA499E">
        <w:rPr>
          <w:color w:val="000000"/>
        </w:rPr>
        <w:t>: I et kontrolleret studie (ADE10) hvor imatinib blev sammenlignet med</w:t>
      </w:r>
    </w:p>
    <w:p w14:paraId="2114F2AA" w14:textId="77777777" w:rsidR="00A272E7" w:rsidRPr="00AA499E" w:rsidRDefault="00A272E7" w:rsidP="00A272E7">
      <w:pPr>
        <w:pStyle w:val="Endnotentext"/>
        <w:rPr>
          <w:color w:val="000000"/>
        </w:rPr>
      </w:pPr>
      <w:r w:rsidRPr="00AA499E">
        <w:rPr>
          <w:color w:val="000000"/>
        </w:rPr>
        <w:t>kemoterapi-induktion hos 55 nydiagnostiserede patienter i alderen 55 år og derover, gav imatinib</w:t>
      </w:r>
    </w:p>
    <w:p w14:paraId="3BAE2505" w14:textId="77777777" w:rsidR="00A272E7" w:rsidRPr="00AA499E" w:rsidRDefault="00A272E7" w:rsidP="00A272E7">
      <w:pPr>
        <w:pStyle w:val="Endnotentext"/>
        <w:rPr>
          <w:color w:val="000000"/>
        </w:rPr>
      </w:pPr>
      <w:r w:rsidRPr="00AA499E">
        <w:rPr>
          <w:color w:val="000000"/>
        </w:rPr>
        <w:t xml:space="preserve">brugt som monoterapi anledning til en signifikant højere ratio af hæmalogisk respons end kemopterapi (96,3% </w:t>
      </w:r>
      <w:r w:rsidRPr="00AA499E">
        <w:rPr>
          <w:i/>
          <w:iCs/>
          <w:color w:val="000000"/>
        </w:rPr>
        <w:t xml:space="preserve">vs. </w:t>
      </w:r>
      <w:r w:rsidRPr="00AA499E">
        <w:rPr>
          <w:color w:val="000000"/>
        </w:rPr>
        <w:t>50%, p=0,0001). Da imatinib blev givet som ”salvage therapy” til patienter, som ikke responderede eller som responderede dårligt på kemoterapi, opnåedes komplet hæmatologisk respons hos 9 (81,8%) ud af 11 patienter. Denne kliniske effekt var efter 2 ugers behandling forbundet med en højere reduktion i bcr-abl transkriptionen hos de imatinibbehandlede patienter end i kemoterapiarmen (p=0,02). Alle patienter blev efter induktion behandlet med imatinib og standard kemoterapi (se</w:t>
      </w:r>
    </w:p>
    <w:p w14:paraId="22CF12AD" w14:textId="77777777" w:rsidR="00A272E7" w:rsidRPr="00AA499E" w:rsidRDefault="00A272E7" w:rsidP="00A272E7">
      <w:pPr>
        <w:pStyle w:val="Endnotentext"/>
        <w:rPr>
          <w:color w:val="000000"/>
        </w:rPr>
      </w:pPr>
      <w:r w:rsidRPr="00AA499E">
        <w:rPr>
          <w:color w:val="000000"/>
        </w:rPr>
        <w:t xml:space="preserve">Tabel </w:t>
      </w:r>
      <w:r w:rsidR="00F9753E" w:rsidRPr="00AA499E">
        <w:rPr>
          <w:color w:val="000000"/>
        </w:rPr>
        <w:t>3</w:t>
      </w:r>
      <w:r w:rsidRPr="00AA499E">
        <w:rPr>
          <w:color w:val="000000"/>
        </w:rPr>
        <w:t>), og bcr-abl transkriptionerne var identiske i de to arme efter 8 ugers behandling. Som det var forventet på basis af studiedesignet, sås ingen forskel i varighed af remission, sygdomsfri overlevelse</w:t>
      </w:r>
    </w:p>
    <w:p w14:paraId="7D0C32DD" w14:textId="77777777" w:rsidR="00E742EF" w:rsidRPr="00AA499E" w:rsidRDefault="00E742EF" w:rsidP="00E742EF">
      <w:pPr>
        <w:pStyle w:val="Endnotentext"/>
        <w:rPr>
          <w:color w:val="000000"/>
        </w:rPr>
      </w:pPr>
      <w:r w:rsidRPr="00AA499E">
        <w:rPr>
          <w:color w:val="000000"/>
        </w:rPr>
        <w:t xml:space="preserve">eller generel overlevelse, skønt patienter med komplet molekylær respons og forblivende i minimal residual sygdom havde større udbytte af behandlingen i form af både varighed af remission (p=0,01) og sygdomsfri overlevelse (p=0,02). </w:t>
      </w:r>
    </w:p>
    <w:p w14:paraId="58083514" w14:textId="77777777" w:rsidR="00E742EF" w:rsidRPr="00AA499E" w:rsidRDefault="00E742EF" w:rsidP="00E742EF">
      <w:pPr>
        <w:pStyle w:val="Endnotentext"/>
        <w:rPr>
          <w:color w:val="000000"/>
        </w:rPr>
      </w:pPr>
    </w:p>
    <w:p w14:paraId="4DE93694" w14:textId="77777777" w:rsidR="00A272E7" w:rsidRPr="00AA499E" w:rsidRDefault="00E742EF" w:rsidP="00E742EF">
      <w:pPr>
        <w:pStyle w:val="Endnotentext"/>
        <w:tabs>
          <w:tab w:val="clear" w:pos="567"/>
        </w:tabs>
        <w:rPr>
          <w:color w:val="000000"/>
          <w:szCs w:val="22"/>
        </w:rPr>
      </w:pPr>
      <w:r w:rsidRPr="00AA499E">
        <w:rPr>
          <w:color w:val="000000"/>
          <w:szCs w:val="22"/>
        </w:rPr>
        <w:t xml:space="preserve">Resultaterne, som blev opnået i en population af 211 nydiagnosticerede Ph+ ALL patienter i fire ikke </w:t>
      </w:r>
      <w:r w:rsidRPr="00AA499E">
        <w:rPr>
          <w:color w:val="000000"/>
          <w:szCs w:val="22"/>
        </w:rPr>
        <w:lastRenderedPageBreak/>
        <w:t xml:space="preserve">kontrollerede studier (AAU02, ADE04, AJP01 og AUS01), er i overensstemmelse med resultaterne beskrevet ovenfor. Imatinib givet i kombination med kemoterapi-induktion (se Tabel </w:t>
      </w:r>
      <w:r w:rsidR="00F9753E" w:rsidRPr="00AA499E">
        <w:rPr>
          <w:color w:val="000000"/>
          <w:szCs w:val="22"/>
        </w:rPr>
        <w:t>3</w:t>
      </w:r>
      <w:r w:rsidRPr="00AA499E">
        <w:rPr>
          <w:color w:val="000000"/>
          <w:szCs w:val="22"/>
        </w:rPr>
        <w:t>) resulterede i en komplet hæmatologisk responsrate på 93% (147 ud af 158 evaluerbare patienter), og i en væsentlig cytogenetisk responsrate på 90% (19 ud af 21 evaluerbare patienter). Den samlede molekylære responsrate var 48% (49 ud af 102 evaluerbare patienter). Sygdomsfri overlevelse (disease-free survival DFS) og overordnede overlevelse (overall survival OS) var konstant mere end 1 år og var superior til historiske kontroller (DFS p&lt;0,001; OS p&lt;0,0001) i to studier (AJp01 og AUS01).</w:t>
      </w:r>
    </w:p>
    <w:p w14:paraId="06DF9E57" w14:textId="77777777" w:rsidR="00FE604F" w:rsidRPr="00AA499E" w:rsidRDefault="00FE604F" w:rsidP="00E742EF">
      <w:pPr>
        <w:pStyle w:val="Endnotentext"/>
        <w:tabs>
          <w:tab w:val="clear" w:pos="567"/>
        </w:tabs>
        <w:rPr>
          <w:color w:val="000000"/>
          <w:szCs w:val="22"/>
        </w:rPr>
      </w:pPr>
    </w:p>
    <w:p w14:paraId="4BCA2986" w14:textId="77777777" w:rsidR="00FE604F" w:rsidRPr="00AA499E" w:rsidRDefault="00FE604F" w:rsidP="00E742EF">
      <w:pPr>
        <w:pStyle w:val="Endnotentext"/>
        <w:tabs>
          <w:tab w:val="clear" w:pos="567"/>
        </w:tabs>
        <w:rPr>
          <w:color w:val="000000"/>
          <w:szCs w:val="22"/>
        </w:rPr>
      </w:pPr>
      <w:r w:rsidRPr="00AA499E">
        <w:rPr>
          <w:b/>
          <w:bCs/>
          <w:color w:val="000000"/>
          <w:szCs w:val="22"/>
        </w:rPr>
        <w:t>Tabel</w:t>
      </w:r>
      <w:r w:rsidR="00E64EFD" w:rsidRPr="00AA499E">
        <w:rPr>
          <w:b/>
          <w:bCs/>
          <w:color w:val="000000"/>
          <w:szCs w:val="22"/>
        </w:rPr>
        <w:t> </w:t>
      </w:r>
      <w:r w:rsidR="00F9753E" w:rsidRPr="00AA499E">
        <w:rPr>
          <w:b/>
          <w:bCs/>
          <w:color w:val="000000"/>
          <w:szCs w:val="22"/>
        </w:rPr>
        <w:t>3</w:t>
      </w:r>
      <w:r w:rsidRPr="00AA499E">
        <w:rPr>
          <w:b/>
          <w:bCs/>
          <w:color w:val="000000"/>
          <w:szCs w:val="22"/>
        </w:rPr>
        <w:t xml:space="preserve"> Kemoterapiregime anvendt i kombination med imatinib</w:t>
      </w:r>
    </w:p>
    <w:p w14:paraId="25A7E32E"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6798"/>
      </w:tblGrid>
      <w:tr w:rsidR="00FE604F" w:rsidRPr="00AA499E" w14:paraId="3E7A4473" w14:textId="77777777" w:rsidTr="00063A26">
        <w:trPr>
          <w:trHeight w:hRule="exact" w:val="329"/>
        </w:trPr>
        <w:tc>
          <w:tcPr>
            <w:tcW w:w="9033" w:type="dxa"/>
            <w:gridSpan w:val="2"/>
            <w:shd w:val="clear" w:color="auto" w:fill="auto"/>
            <w:tcMar>
              <w:top w:w="57" w:type="dxa"/>
              <w:bottom w:w="57" w:type="dxa"/>
            </w:tcMar>
          </w:tcPr>
          <w:p w14:paraId="34C32BF6" w14:textId="77777777" w:rsidR="00FE604F"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ADE10</w:t>
            </w:r>
          </w:p>
        </w:tc>
      </w:tr>
      <w:tr w:rsidR="00FE604F" w:rsidRPr="00AA499E" w14:paraId="111CA098" w14:textId="77777777" w:rsidTr="00063A26">
        <w:trPr>
          <w:trHeight w:hRule="exact" w:val="765"/>
        </w:trPr>
        <w:tc>
          <w:tcPr>
            <w:tcW w:w="2235" w:type="dxa"/>
            <w:tcBorders>
              <w:right w:val="nil"/>
            </w:tcBorders>
            <w:shd w:val="clear" w:color="auto" w:fill="auto"/>
            <w:tcMar>
              <w:top w:w="57" w:type="dxa"/>
              <w:bottom w:w="57" w:type="dxa"/>
            </w:tcMar>
          </w:tcPr>
          <w:p w14:paraId="73A0BF93" w14:textId="77777777" w:rsidR="00FE604F" w:rsidRPr="00AA499E" w:rsidRDefault="00FE604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Præfase </w:t>
            </w:r>
          </w:p>
        </w:tc>
        <w:tc>
          <w:tcPr>
            <w:tcW w:w="6798" w:type="dxa"/>
            <w:tcBorders>
              <w:left w:val="nil"/>
            </w:tcBorders>
            <w:shd w:val="clear" w:color="auto" w:fill="auto"/>
            <w:tcMar>
              <w:top w:w="57" w:type="dxa"/>
              <w:bottom w:w="57" w:type="dxa"/>
            </w:tcMar>
          </w:tcPr>
          <w:p w14:paraId="78E25566" w14:textId="77777777" w:rsidR="00FE604F" w:rsidRPr="00AA499E" w:rsidRDefault="00FE604F" w:rsidP="00063A26">
            <w:pPr>
              <w:pStyle w:val="Default"/>
              <w:rPr>
                <w:sz w:val="22"/>
                <w:szCs w:val="22"/>
                <w:lang w:val="da-DK"/>
              </w:rPr>
            </w:pPr>
            <w:r w:rsidRPr="00AA499E">
              <w:rPr>
                <w:sz w:val="22"/>
                <w:szCs w:val="22"/>
                <w:lang w:val="da-DK"/>
              </w:rPr>
              <w:t>DEX 10 mg/m</w:t>
            </w:r>
            <w:r w:rsidRPr="00AA499E">
              <w:rPr>
                <w:sz w:val="22"/>
                <w:szCs w:val="22"/>
                <w:vertAlign w:val="superscript"/>
                <w:lang w:val="da-DK"/>
              </w:rPr>
              <w:t>2</w:t>
            </w:r>
            <w:r w:rsidRPr="00AA499E">
              <w:rPr>
                <w:sz w:val="22"/>
                <w:szCs w:val="22"/>
                <w:lang w:val="da-DK"/>
              </w:rPr>
              <w:t xml:space="preserve"> oral, dag 1-5; CP 200 mg/m</w:t>
            </w:r>
            <w:r w:rsidRPr="00AA499E">
              <w:rPr>
                <w:sz w:val="22"/>
                <w:szCs w:val="22"/>
                <w:vertAlign w:val="superscript"/>
                <w:lang w:val="da-DK"/>
              </w:rPr>
              <w:t>2</w:t>
            </w:r>
            <w:r w:rsidRPr="00AA499E">
              <w:rPr>
                <w:sz w:val="22"/>
                <w:szCs w:val="22"/>
                <w:lang w:val="da-DK"/>
              </w:rPr>
              <w:t xml:space="preserve"> i.v., dag 3, 4, 5; MTX </w:t>
            </w:r>
          </w:p>
          <w:p w14:paraId="1DF31295" w14:textId="77777777" w:rsidR="00FE604F" w:rsidRPr="00AA499E" w:rsidRDefault="00FE604F" w:rsidP="00063A26">
            <w:pPr>
              <w:pStyle w:val="Default"/>
              <w:rPr>
                <w:sz w:val="22"/>
                <w:szCs w:val="22"/>
                <w:lang w:val="da-DK"/>
              </w:rPr>
            </w:pPr>
            <w:r w:rsidRPr="00AA499E">
              <w:rPr>
                <w:sz w:val="22"/>
                <w:szCs w:val="22"/>
                <w:lang w:val="da-DK"/>
              </w:rPr>
              <w:t xml:space="preserve">12 mg intrathecal, dag 1 </w:t>
            </w:r>
          </w:p>
        </w:tc>
      </w:tr>
      <w:tr w:rsidR="00FE604F" w:rsidRPr="00AA499E" w14:paraId="4DC4CD0A" w14:textId="77777777" w:rsidTr="00063A26">
        <w:trPr>
          <w:trHeight w:hRule="exact" w:val="1055"/>
        </w:trPr>
        <w:tc>
          <w:tcPr>
            <w:tcW w:w="2235" w:type="dxa"/>
            <w:tcBorders>
              <w:right w:val="nil"/>
            </w:tcBorders>
            <w:shd w:val="clear" w:color="auto" w:fill="auto"/>
            <w:tcMar>
              <w:top w:w="57" w:type="dxa"/>
              <w:bottom w:w="57" w:type="dxa"/>
            </w:tcMar>
          </w:tcPr>
          <w:p w14:paraId="12499F1E" w14:textId="77777777" w:rsidR="00FE604F" w:rsidRPr="00AA499E" w:rsidRDefault="00FE604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Remissionsinduktion </w:t>
            </w:r>
          </w:p>
        </w:tc>
        <w:tc>
          <w:tcPr>
            <w:tcW w:w="6798" w:type="dxa"/>
            <w:tcBorders>
              <w:left w:val="nil"/>
            </w:tcBorders>
            <w:shd w:val="clear" w:color="auto" w:fill="auto"/>
            <w:tcMar>
              <w:top w:w="57" w:type="dxa"/>
              <w:bottom w:w="57" w:type="dxa"/>
            </w:tcMar>
          </w:tcPr>
          <w:p w14:paraId="2D6A08B5" w14:textId="77777777" w:rsidR="00FE604F" w:rsidRPr="00AA499E" w:rsidRDefault="00FE604F">
            <w:pPr>
              <w:pStyle w:val="Default"/>
              <w:rPr>
                <w:sz w:val="22"/>
                <w:szCs w:val="22"/>
                <w:lang w:val="da-DK"/>
              </w:rPr>
            </w:pPr>
            <w:r w:rsidRPr="00AA499E">
              <w:rPr>
                <w:sz w:val="22"/>
                <w:szCs w:val="22"/>
                <w:lang w:val="da-DK"/>
              </w:rPr>
              <w:t>DEX 10 mg/m</w:t>
            </w:r>
            <w:r w:rsidRPr="00AA499E">
              <w:rPr>
                <w:sz w:val="14"/>
                <w:szCs w:val="14"/>
                <w:vertAlign w:val="superscript"/>
                <w:lang w:val="da-DK"/>
              </w:rPr>
              <w:t>2</w:t>
            </w:r>
            <w:r w:rsidRPr="00AA499E">
              <w:rPr>
                <w:sz w:val="14"/>
                <w:szCs w:val="14"/>
                <w:lang w:val="da-DK"/>
              </w:rPr>
              <w:t xml:space="preserve"> </w:t>
            </w:r>
            <w:r w:rsidRPr="00AA499E">
              <w:rPr>
                <w:sz w:val="22"/>
                <w:szCs w:val="22"/>
                <w:lang w:val="da-DK"/>
              </w:rPr>
              <w:t xml:space="preserve">oral, dag 6-7, 13-16; VCR 1 mg i.v., dag 7, 14; </w:t>
            </w:r>
          </w:p>
          <w:p w14:paraId="57DCD42E" w14:textId="77777777" w:rsidR="00FE604F" w:rsidRPr="00AA499E" w:rsidRDefault="00FE604F" w:rsidP="00063A26">
            <w:pPr>
              <w:pStyle w:val="Default"/>
              <w:rPr>
                <w:sz w:val="22"/>
                <w:szCs w:val="22"/>
                <w:lang w:val="da-DK"/>
              </w:rPr>
            </w:pPr>
            <w:r w:rsidRPr="00AA499E">
              <w:rPr>
                <w:sz w:val="22"/>
                <w:szCs w:val="22"/>
                <w:lang w:val="da-DK"/>
              </w:rPr>
              <w:t>IDA 8 mg/m</w:t>
            </w:r>
            <w:r w:rsidRPr="00AA499E">
              <w:rPr>
                <w:sz w:val="14"/>
                <w:szCs w:val="14"/>
                <w:vertAlign w:val="superscript"/>
                <w:lang w:val="da-DK"/>
              </w:rPr>
              <w:t>2</w:t>
            </w:r>
            <w:r w:rsidRPr="00AA499E">
              <w:rPr>
                <w:sz w:val="14"/>
                <w:szCs w:val="14"/>
                <w:lang w:val="da-DK"/>
              </w:rPr>
              <w:t xml:space="preserve"> </w:t>
            </w:r>
            <w:r w:rsidRPr="00AA499E">
              <w:rPr>
                <w:sz w:val="22"/>
                <w:szCs w:val="22"/>
                <w:lang w:val="da-DK"/>
              </w:rPr>
              <w:t>i.v. (0,5 time), dag 7, 8, 14, 15; CP 500 mg/m</w:t>
            </w:r>
            <w:r w:rsidRPr="00AA499E">
              <w:rPr>
                <w:sz w:val="14"/>
                <w:szCs w:val="14"/>
                <w:vertAlign w:val="superscript"/>
                <w:lang w:val="da-DK"/>
              </w:rPr>
              <w:t>2</w:t>
            </w:r>
            <w:r w:rsidRPr="00AA499E">
              <w:rPr>
                <w:sz w:val="14"/>
                <w:szCs w:val="14"/>
                <w:lang w:val="da-DK"/>
              </w:rPr>
              <w:t xml:space="preserve"> </w:t>
            </w:r>
            <w:r w:rsidRPr="00AA499E">
              <w:rPr>
                <w:sz w:val="22"/>
                <w:szCs w:val="22"/>
                <w:lang w:val="da-DK"/>
              </w:rPr>
              <w:t>i.v.(1 time) dag 1; Ara-C 60 mg/m</w:t>
            </w:r>
            <w:r w:rsidRPr="00AA499E">
              <w:rPr>
                <w:sz w:val="14"/>
                <w:szCs w:val="14"/>
                <w:vertAlign w:val="superscript"/>
                <w:lang w:val="da-DK"/>
              </w:rPr>
              <w:t>2</w:t>
            </w:r>
            <w:r w:rsidRPr="00AA499E">
              <w:rPr>
                <w:sz w:val="14"/>
                <w:szCs w:val="14"/>
                <w:lang w:val="da-DK"/>
              </w:rPr>
              <w:t xml:space="preserve"> </w:t>
            </w:r>
            <w:r w:rsidRPr="00AA499E">
              <w:rPr>
                <w:sz w:val="22"/>
                <w:szCs w:val="22"/>
                <w:lang w:val="da-DK"/>
              </w:rPr>
              <w:t xml:space="preserve">i.v., dag 22-25, 29-32 </w:t>
            </w:r>
          </w:p>
        </w:tc>
      </w:tr>
      <w:tr w:rsidR="00FE604F" w:rsidRPr="00AA499E" w14:paraId="3853A679" w14:textId="77777777" w:rsidTr="00063A26">
        <w:trPr>
          <w:trHeight w:hRule="exact" w:val="771"/>
        </w:trPr>
        <w:tc>
          <w:tcPr>
            <w:tcW w:w="2235" w:type="dxa"/>
            <w:tcBorders>
              <w:right w:val="nil"/>
            </w:tcBorders>
            <w:shd w:val="clear" w:color="auto" w:fill="auto"/>
            <w:tcMar>
              <w:top w:w="57" w:type="dxa"/>
              <w:bottom w:w="57" w:type="dxa"/>
            </w:tcMar>
          </w:tcPr>
          <w:p w14:paraId="11FADACB" w14:textId="77777777" w:rsidR="00FE604F" w:rsidRPr="00AA499E" w:rsidRDefault="00FE604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Konsoliderende behandling I, III, V </w:t>
            </w:r>
          </w:p>
        </w:tc>
        <w:tc>
          <w:tcPr>
            <w:tcW w:w="6798" w:type="dxa"/>
            <w:tcBorders>
              <w:left w:val="nil"/>
            </w:tcBorders>
            <w:shd w:val="clear" w:color="auto" w:fill="auto"/>
            <w:tcMar>
              <w:top w:w="57" w:type="dxa"/>
              <w:bottom w:w="57" w:type="dxa"/>
            </w:tcMar>
          </w:tcPr>
          <w:p w14:paraId="5FA84F46" w14:textId="77777777" w:rsidR="0028324B" w:rsidRPr="00AA499E" w:rsidRDefault="00FE604F" w:rsidP="00063A26">
            <w:pPr>
              <w:pStyle w:val="Default"/>
              <w:rPr>
                <w:sz w:val="22"/>
                <w:szCs w:val="22"/>
                <w:lang w:val="da-DK"/>
              </w:rPr>
            </w:pPr>
            <w:r w:rsidRPr="00AA499E">
              <w:rPr>
                <w:sz w:val="22"/>
                <w:szCs w:val="22"/>
                <w:lang w:val="da-DK"/>
              </w:rPr>
              <w:t>MTX 500 mg/m</w:t>
            </w:r>
            <w:r w:rsidRPr="00AA499E">
              <w:rPr>
                <w:sz w:val="22"/>
                <w:szCs w:val="22"/>
                <w:vertAlign w:val="superscript"/>
                <w:lang w:val="da-DK"/>
              </w:rPr>
              <w:t>2</w:t>
            </w:r>
            <w:r w:rsidRPr="00AA499E">
              <w:rPr>
                <w:sz w:val="22"/>
                <w:szCs w:val="22"/>
                <w:lang w:val="da-DK"/>
              </w:rPr>
              <w:t xml:space="preserve"> i.v. (24 timer), dag 1, 15; 6-MP 25 mg/m</w:t>
            </w:r>
            <w:r w:rsidRPr="00AA499E">
              <w:rPr>
                <w:sz w:val="22"/>
                <w:szCs w:val="22"/>
                <w:vertAlign w:val="superscript"/>
                <w:lang w:val="da-DK"/>
              </w:rPr>
              <w:t>2</w:t>
            </w:r>
            <w:r w:rsidRPr="00AA499E">
              <w:rPr>
                <w:sz w:val="22"/>
                <w:szCs w:val="22"/>
                <w:lang w:val="da-DK"/>
              </w:rPr>
              <w:t xml:space="preserve"> oral, dag </w:t>
            </w:r>
          </w:p>
          <w:p w14:paraId="56F60CBE" w14:textId="77777777" w:rsidR="00FE604F" w:rsidRPr="00AA499E" w:rsidRDefault="00FE604F" w:rsidP="00063A26">
            <w:pPr>
              <w:pStyle w:val="Default"/>
              <w:rPr>
                <w:sz w:val="22"/>
                <w:szCs w:val="22"/>
                <w:lang w:val="da-DK"/>
              </w:rPr>
            </w:pPr>
            <w:r w:rsidRPr="00AA499E">
              <w:rPr>
                <w:sz w:val="22"/>
                <w:szCs w:val="22"/>
                <w:lang w:val="da-DK"/>
              </w:rPr>
              <w:t xml:space="preserve">1-20 </w:t>
            </w:r>
          </w:p>
        </w:tc>
      </w:tr>
      <w:tr w:rsidR="00FE604F" w:rsidRPr="00AA499E" w14:paraId="5B303748" w14:textId="77777777" w:rsidTr="00063A26">
        <w:trPr>
          <w:trHeight w:hRule="exact" w:val="567"/>
        </w:trPr>
        <w:tc>
          <w:tcPr>
            <w:tcW w:w="2235" w:type="dxa"/>
            <w:tcBorders>
              <w:right w:val="nil"/>
            </w:tcBorders>
            <w:shd w:val="clear" w:color="auto" w:fill="auto"/>
            <w:tcMar>
              <w:top w:w="57" w:type="dxa"/>
              <w:bottom w:w="57" w:type="dxa"/>
            </w:tcMar>
          </w:tcPr>
          <w:p w14:paraId="7C263470" w14:textId="77777777" w:rsidR="00FE604F" w:rsidRPr="00AA499E" w:rsidRDefault="00FE604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Konsoliderende behandling II, IV </w:t>
            </w:r>
          </w:p>
        </w:tc>
        <w:tc>
          <w:tcPr>
            <w:tcW w:w="6798" w:type="dxa"/>
            <w:tcBorders>
              <w:left w:val="nil"/>
            </w:tcBorders>
            <w:shd w:val="clear" w:color="auto" w:fill="auto"/>
            <w:tcMar>
              <w:top w:w="57" w:type="dxa"/>
              <w:bottom w:w="57" w:type="dxa"/>
            </w:tcMar>
          </w:tcPr>
          <w:p w14:paraId="60B6ADA3" w14:textId="77777777" w:rsidR="00FE604F" w:rsidRPr="00AA499E" w:rsidRDefault="00FE604F" w:rsidP="00063A26">
            <w:pPr>
              <w:pStyle w:val="Default"/>
              <w:rPr>
                <w:sz w:val="22"/>
                <w:szCs w:val="22"/>
                <w:lang w:val="da-DK"/>
              </w:rPr>
            </w:pPr>
            <w:r w:rsidRPr="00AA499E">
              <w:rPr>
                <w:sz w:val="22"/>
                <w:szCs w:val="22"/>
                <w:lang w:val="da-DK"/>
              </w:rPr>
              <w:t>Ara-C 75 mg/m</w:t>
            </w:r>
            <w:r w:rsidRPr="00AA499E">
              <w:rPr>
                <w:sz w:val="22"/>
                <w:szCs w:val="22"/>
                <w:vertAlign w:val="superscript"/>
                <w:lang w:val="da-DK"/>
              </w:rPr>
              <w:t>2</w:t>
            </w:r>
            <w:r w:rsidRPr="00AA499E">
              <w:rPr>
                <w:sz w:val="22"/>
                <w:szCs w:val="22"/>
                <w:lang w:val="da-DK"/>
              </w:rPr>
              <w:t xml:space="preserve"> </w:t>
            </w:r>
            <w:r w:rsidR="0028324B" w:rsidRPr="00AA499E">
              <w:rPr>
                <w:sz w:val="22"/>
                <w:szCs w:val="22"/>
                <w:lang w:val="da-DK"/>
              </w:rPr>
              <w:t xml:space="preserve">i.v. (1 time), dag 1-5; </w:t>
            </w:r>
            <w:r w:rsidRPr="00AA499E">
              <w:rPr>
                <w:sz w:val="22"/>
                <w:szCs w:val="22"/>
                <w:lang w:val="da-DK"/>
              </w:rPr>
              <w:t>VM26 60 mg/m</w:t>
            </w:r>
            <w:r w:rsidRPr="00AA499E">
              <w:rPr>
                <w:sz w:val="22"/>
                <w:szCs w:val="22"/>
                <w:vertAlign w:val="superscript"/>
                <w:lang w:val="da-DK"/>
              </w:rPr>
              <w:t>2</w:t>
            </w:r>
            <w:r w:rsidRPr="00AA499E">
              <w:rPr>
                <w:sz w:val="22"/>
                <w:szCs w:val="22"/>
                <w:lang w:val="da-DK"/>
              </w:rPr>
              <w:t xml:space="preserve"> i.v. (1 time), dag 1-5 </w:t>
            </w:r>
          </w:p>
        </w:tc>
      </w:tr>
      <w:tr w:rsidR="00FE604F" w:rsidRPr="00AA499E" w14:paraId="2FFE47F9" w14:textId="77777777" w:rsidTr="00063A26">
        <w:trPr>
          <w:trHeight w:hRule="exact" w:val="329"/>
        </w:trPr>
        <w:tc>
          <w:tcPr>
            <w:tcW w:w="9033" w:type="dxa"/>
            <w:gridSpan w:val="2"/>
            <w:shd w:val="clear" w:color="auto" w:fill="auto"/>
            <w:tcMar>
              <w:top w:w="57" w:type="dxa"/>
              <w:bottom w:w="57" w:type="dxa"/>
            </w:tcMar>
          </w:tcPr>
          <w:p w14:paraId="63C5A2AA" w14:textId="77777777" w:rsidR="00FE604F"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AAU02</w:t>
            </w:r>
          </w:p>
        </w:tc>
      </w:tr>
      <w:tr w:rsidR="0028324B" w:rsidRPr="00AA499E" w14:paraId="23CCEEF7" w14:textId="77777777" w:rsidTr="00063A26">
        <w:trPr>
          <w:trHeight w:hRule="exact" w:val="1491"/>
        </w:trPr>
        <w:tc>
          <w:tcPr>
            <w:tcW w:w="2235" w:type="dxa"/>
            <w:tcBorders>
              <w:right w:val="nil"/>
            </w:tcBorders>
            <w:shd w:val="clear" w:color="auto" w:fill="auto"/>
            <w:tcMar>
              <w:top w:w="57" w:type="dxa"/>
              <w:bottom w:w="57" w:type="dxa"/>
            </w:tcMar>
          </w:tcPr>
          <w:p w14:paraId="491BEABB"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Induktionsbehandling (</w:t>
            </w:r>
            <w:r w:rsidRPr="00AA499E">
              <w:rPr>
                <w:rFonts w:ascii="Times New Roman" w:hAnsi="Times New Roman"/>
                <w:i/>
                <w:iCs/>
                <w:lang w:val="da-DK"/>
              </w:rPr>
              <w:t xml:space="preserve">de novo </w:t>
            </w:r>
            <w:r w:rsidRPr="00AA499E">
              <w:rPr>
                <w:rFonts w:ascii="Times New Roman" w:hAnsi="Times New Roman"/>
                <w:lang w:val="da-DK"/>
              </w:rPr>
              <w:t xml:space="preserve">Ph+ ALL) </w:t>
            </w:r>
          </w:p>
        </w:tc>
        <w:tc>
          <w:tcPr>
            <w:tcW w:w="6798" w:type="dxa"/>
            <w:tcBorders>
              <w:left w:val="nil"/>
            </w:tcBorders>
            <w:shd w:val="clear" w:color="auto" w:fill="auto"/>
            <w:tcMar>
              <w:top w:w="57" w:type="dxa"/>
              <w:bottom w:w="57" w:type="dxa"/>
            </w:tcMar>
          </w:tcPr>
          <w:p w14:paraId="4F08E884" w14:textId="77777777" w:rsidR="0028324B" w:rsidRPr="00AA499E" w:rsidRDefault="0028324B" w:rsidP="00063A26">
            <w:pPr>
              <w:pStyle w:val="Default"/>
              <w:rPr>
                <w:sz w:val="22"/>
                <w:szCs w:val="22"/>
                <w:lang w:val="da-DK"/>
              </w:rPr>
            </w:pPr>
            <w:r w:rsidRPr="00AA499E">
              <w:rPr>
                <w:sz w:val="22"/>
                <w:szCs w:val="22"/>
                <w:lang w:val="da-DK"/>
              </w:rPr>
              <w:t>Daunorubicin 30 mg/m</w:t>
            </w:r>
            <w:r w:rsidRPr="00AA499E">
              <w:rPr>
                <w:sz w:val="22"/>
                <w:szCs w:val="22"/>
                <w:vertAlign w:val="superscript"/>
                <w:lang w:val="da-DK"/>
              </w:rPr>
              <w:t>2</w:t>
            </w:r>
            <w:r w:rsidRPr="00AA499E">
              <w:rPr>
                <w:sz w:val="22"/>
                <w:szCs w:val="22"/>
                <w:lang w:val="da-DK"/>
              </w:rPr>
              <w:t xml:space="preserve"> i.v., dag 1-3, 15-16; VCR 2 mg total dose i.v., dag 1, 8, 15, 22; CP 750 mg/m</w:t>
            </w:r>
            <w:r w:rsidRPr="00AA499E">
              <w:rPr>
                <w:sz w:val="22"/>
                <w:szCs w:val="22"/>
                <w:vertAlign w:val="superscript"/>
                <w:lang w:val="da-DK"/>
              </w:rPr>
              <w:t>2</w:t>
            </w:r>
            <w:r w:rsidRPr="00AA499E">
              <w:rPr>
                <w:sz w:val="22"/>
                <w:szCs w:val="22"/>
                <w:lang w:val="da-DK"/>
              </w:rPr>
              <w:t xml:space="preserve"> i.v., dag 1, 8; Prednison 60 mg/m</w:t>
            </w:r>
            <w:r w:rsidRPr="00AA499E">
              <w:rPr>
                <w:sz w:val="22"/>
                <w:szCs w:val="22"/>
                <w:vertAlign w:val="superscript"/>
                <w:lang w:val="da-DK"/>
              </w:rPr>
              <w:t>2</w:t>
            </w:r>
            <w:r w:rsidRPr="00AA499E">
              <w:rPr>
                <w:sz w:val="22"/>
                <w:szCs w:val="22"/>
                <w:lang w:val="da-DK"/>
              </w:rPr>
              <w:t xml:space="preserve"> oral, dag 1-7, 15-21; IDA 9 mg/m</w:t>
            </w:r>
            <w:r w:rsidRPr="00AA499E">
              <w:rPr>
                <w:sz w:val="22"/>
                <w:szCs w:val="22"/>
                <w:vertAlign w:val="superscript"/>
                <w:lang w:val="da-DK"/>
              </w:rPr>
              <w:t>2</w:t>
            </w:r>
            <w:r w:rsidRPr="00AA499E">
              <w:rPr>
                <w:sz w:val="22"/>
                <w:szCs w:val="22"/>
                <w:lang w:val="da-DK"/>
              </w:rPr>
              <w:t xml:space="preserve"> oral, dag 1-28; MTX 15 mg intrathecal, dag 1, 8, 15, 22; Ara-C 40 mg intrathecal, dag 1, 8, 15, 22; Methylprednisolon 40 mg intrathecal, dag 1, 8, 15, 22 </w:t>
            </w:r>
          </w:p>
        </w:tc>
      </w:tr>
      <w:tr w:rsidR="0028324B" w:rsidRPr="00AA499E" w14:paraId="39B7028E" w14:textId="77777777" w:rsidTr="00063A26">
        <w:trPr>
          <w:trHeight w:hRule="exact" w:val="850"/>
        </w:trPr>
        <w:tc>
          <w:tcPr>
            <w:tcW w:w="2235" w:type="dxa"/>
            <w:tcBorders>
              <w:right w:val="nil"/>
            </w:tcBorders>
            <w:shd w:val="clear" w:color="auto" w:fill="auto"/>
            <w:tcMar>
              <w:top w:w="57" w:type="dxa"/>
              <w:bottom w:w="57" w:type="dxa"/>
            </w:tcMar>
          </w:tcPr>
          <w:p w14:paraId="07F83980"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Konsoliderende behandling (</w:t>
            </w:r>
            <w:r w:rsidRPr="00AA499E">
              <w:rPr>
                <w:rFonts w:ascii="Times New Roman" w:hAnsi="Times New Roman"/>
                <w:i/>
                <w:iCs/>
                <w:lang w:val="da-DK"/>
              </w:rPr>
              <w:t xml:space="preserve">de novo </w:t>
            </w:r>
            <w:r w:rsidRPr="00AA499E">
              <w:rPr>
                <w:rFonts w:ascii="Times New Roman" w:hAnsi="Times New Roman"/>
                <w:lang w:val="da-DK"/>
              </w:rPr>
              <w:t xml:space="preserve">Ph+ ALL) </w:t>
            </w:r>
          </w:p>
        </w:tc>
        <w:tc>
          <w:tcPr>
            <w:tcW w:w="6798" w:type="dxa"/>
            <w:tcBorders>
              <w:left w:val="nil"/>
            </w:tcBorders>
            <w:shd w:val="clear" w:color="auto" w:fill="auto"/>
            <w:tcMar>
              <w:top w:w="57" w:type="dxa"/>
              <w:bottom w:w="57" w:type="dxa"/>
            </w:tcMar>
          </w:tcPr>
          <w:p w14:paraId="58C286B7" w14:textId="77777777" w:rsidR="0028324B" w:rsidRPr="00AA499E" w:rsidRDefault="0028324B" w:rsidP="00063A26">
            <w:pPr>
              <w:pStyle w:val="Default"/>
              <w:rPr>
                <w:sz w:val="22"/>
                <w:szCs w:val="22"/>
                <w:lang w:val="da-DK"/>
              </w:rPr>
            </w:pPr>
            <w:r w:rsidRPr="00AA499E">
              <w:rPr>
                <w:sz w:val="22"/>
                <w:szCs w:val="22"/>
                <w:lang w:val="da-DK"/>
              </w:rPr>
              <w:t>Ara-C 1.000 mg/m</w:t>
            </w:r>
            <w:r w:rsidRPr="00AA499E">
              <w:rPr>
                <w:sz w:val="22"/>
                <w:szCs w:val="22"/>
                <w:vertAlign w:val="superscript"/>
                <w:lang w:val="da-DK"/>
              </w:rPr>
              <w:t>2</w:t>
            </w:r>
            <w:r w:rsidRPr="00AA499E">
              <w:rPr>
                <w:sz w:val="22"/>
                <w:szCs w:val="22"/>
                <w:lang w:val="da-DK"/>
              </w:rPr>
              <w:t>/12 timer i.v.(3 timer), dag 1-4; Mitoxantron 10 mg/m</w:t>
            </w:r>
            <w:r w:rsidRPr="00AA499E">
              <w:rPr>
                <w:sz w:val="22"/>
                <w:szCs w:val="22"/>
                <w:vertAlign w:val="superscript"/>
                <w:lang w:val="da-DK"/>
              </w:rPr>
              <w:t>2</w:t>
            </w:r>
            <w:r w:rsidRPr="00AA499E">
              <w:rPr>
                <w:sz w:val="22"/>
                <w:szCs w:val="22"/>
                <w:lang w:val="da-DK"/>
              </w:rPr>
              <w:t xml:space="preserve"> i.v. dag 3-5; </w:t>
            </w:r>
            <w:r w:rsidR="0040215F" w:rsidRPr="00AA499E">
              <w:rPr>
                <w:sz w:val="22"/>
                <w:szCs w:val="22"/>
                <w:lang w:val="da-DK"/>
              </w:rPr>
              <w:t xml:space="preserve">MTX 15 mg intrathecal, dag 1; </w:t>
            </w:r>
            <w:r w:rsidRPr="00AA499E">
              <w:rPr>
                <w:sz w:val="22"/>
                <w:szCs w:val="22"/>
                <w:lang w:val="da-DK"/>
              </w:rPr>
              <w:t xml:space="preserve">Methylprednisolon 40 mg intrathecal, dag 1 </w:t>
            </w:r>
          </w:p>
        </w:tc>
      </w:tr>
      <w:tr w:rsidR="00FE604F" w:rsidRPr="00AA499E" w14:paraId="744B827B" w14:textId="77777777" w:rsidTr="00063A26">
        <w:trPr>
          <w:trHeight w:hRule="exact" w:val="329"/>
        </w:trPr>
        <w:tc>
          <w:tcPr>
            <w:tcW w:w="9033" w:type="dxa"/>
            <w:gridSpan w:val="2"/>
            <w:tcBorders>
              <w:bottom w:val="single" w:sz="4" w:space="0" w:color="auto"/>
            </w:tcBorders>
            <w:shd w:val="clear" w:color="auto" w:fill="auto"/>
            <w:tcMar>
              <w:top w:w="57" w:type="dxa"/>
              <w:bottom w:w="57" w:type="dxa"/>
            </w:tcMar>
          </w:tcPr>
          <w:p w14:paraId="3CE9E6E4" w14:textId="77777777" w:rsidR="00FE604F"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ADE04</w:t>
            </w:r>
          </w:p>
        </w:tc>
      </w:tr>
      <w:tr w:rsidR="0028324B" w:rsidRPr="00AA499E" w14:paraId="44CFC4E2" w14:textId="77777777" w:rsidTr="00063A26">
        <w:trPr>
          <w:trHeight w:hRule="exact" w:val="567"/>
        </w:trPr>
        <w:tc>
          <w:tcPr>
            <w:tcW w:w="2235" w:type="dxa"/>
            <w:tcBorders>
              <w:right w:val="nil"/>
            </w:tcBorders>
            <w:shd w:val="clear" w:color="auto" w:fill="auto"/>
            <w:tcMar>
              <w:top w:w="57" w:type="dxa"/>
              <w:bottom w:w="57" w:type="dxa"/>
            </w:tcMar>
          </w:tcPr>
          <w:p w14:paraId="0FD997BB"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Præfase </w:t>
            </w:r>
          </w:p>
        </w:tc>
        <w:tc>
          <w:tcPr>
            <w:tcW w:w="6798" w:type="dxa"/>
            <w:tcBorders>
              <w:left w:val="nil"/>
            </w:tcBorders>
            <w:shd w:val="clear" w:color="auto" w:fill="auto"/>
            <w:tcMar>
              <w:top w:w="57" w:type="dxa"/>
              <w:bottom w:w="57" w:type="dxa"/>
            </w:tcMar>
          </w:tcPr>
          <w:p w14:paraId="299E9BE7" w14:textId="77777777" w:rsidR="0028324B" w:rsidRPr="00AA499E" w:rsidRDefault="0028324B" w:rsidP="00063A26">
            <w:pPr>
              <w:pStyle w:val="Default"/>
              <w:rPr>
                <w:sz w:val="22"/>
                <w:szCs w:val="22"/>
                <w:lang w:val="da-DK"/>
              </w:rPr>
            </w:pPr>
            <w:r w:rsidRPr="00AA499E">
              <w:rPr>
                <w:sz w:val="22"/>
                <w:szCs w:val="22"/>
                <w:lang w:val="da-DK"/>
              </w:rPr>
              <w:t>DEX 10 mg/m</w:t>
            </w:r>
            <w:r w:rsidRPr="00AA499E">
              <w:rPr>
                <w:sz w:val="22"/>
                <w:szCs w:val="22"/>
                <w:vertAlign w:val="superscript"/>
                <w:lang w:val="da-DK"/>
              </w:rPr>
              <w:t>2</w:t>
            </w:r>
            <w:r w:rsidRPr="00AA499E">
              <w:rPr>
                <w:sz w:val="22"/>
                <w:szCs w:val="22"/>
                <w:lang w:val="da-DK"/>
              </w:rPr>
              <w:t xml:space="preserve"> oral, dag 1-5; CP 200 mg/m</w:t>
            </w:r>
            <w:r w:rsidRPr="00AA499E">
              <w:rPr>
                <w:sz w:val="22"/>
                <w:szCs w:val="22"/>
                <w:vertAlign w:val="superscript"/>
                <w:lang w:val="da-DK"/>
              </w:rPr>
              <w:t>2</w:t>
            </w:r>
            <w:r w:rsidRPr="00AA499E">
              <w:rPr>
                <w:sz w:val="22"/>
                <w:szCs w:val="22"/>
                <w:lang w:val="da-DK"/>
              </w:rPr>
              <w:t xml:space="preserve"> i.v., dag 3-5; MTX 15 mg intrathecal, dag 1 </w:t>
            </w:r>
          </w:p>
        </w:tc>
      </w:tr>
      <w:tr w:rsidR="0028324B" w:rsidRPr="00AA499E" w14:paraId="2A7898DB" w14:textId="77777777" w:rsidTr="00063A26">
        <w:trPr>
          <w:trHeight w:hRule="exact" w:val="624"/>
        </w:trPr>
        <w:tc>
          <w:tcPr>
            <w:tcW w:w="2235" w:type="dxa"/>
            <w:tcBorders>
              <w:right w:val="nil"/>
            </w:tcBorders>
            <w:shd w:val="clear" w:color="auto" w:fill="auto"/>
            <w:tcMar>
              <w:top w:w="57" w:type="dxa"/>
              <w:bottom w:w="57" w:type="dxa"/>
            </w:tcMar>
          </w:tcPr>
          <w:p w14:paraId="71C0F561"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Induktionsbehandling I </w:t>
            </w:r>
          </w:p>
        </w:tc>
        <w:tc>
          <w:tcPr>
            <w:tcW w:w="6798" w:type="dxa"/>
            <w:tcBorders>
              <w:left w:val="nil"/>
            </w:tcBorders>
            <w:shd w:val="clear" w:color="auto" w:fill="auto"/>
            <w:tcMar>
              <w:top w:w="57" w:type="dxa"/>
              <w:bottom w:w="57" w:type="dxa"/>
            </w:tcMar>
          </w:tcPr>
          <w:p w14:paraId="12927DEE" w14:textId="77777777" w:rsidR="0028324B" w:rsidRPr="00AA499E" w:rsidRDefault="0028324B">
            <w:pPr>
              <w:pStyle w:val="Default"/>
              <w:rPr>
                <w:sz w:val="22"/>
                <w:szCs w:val="22"/>
                <w:lang w:val="da-DK"/>
              </w:rPr>
            </w:pPr>
            <w:r w:rsidRPr="00AA499E">
              <w:rPr>
                <w:sz w:val="22"/>
                <w:szCs w:val="22"/>
                <w:lang w:val="da-DK"/>
              </w:rPr>
              <w:t>DEX 10 mg/m</w:t>
            </w:r>
            <w:r w:rsidRPr="00AA499E">
              <w:rPr>
                <w:sz w:val="22"/>
                <w:szCs w:val="22"/>
                <w:vertAlign w:val="superscript"/>
                <w:lang w:val="da-DK"/>
              </w:rPr>
              <w:t>2</w:t>
            </w:r>
            <w:r w:rsidRPr="00AA499E">
              <w:rPr>
                <w:sz w:val="22"/>
                <w:szCs w:val="22"/>
                <w:lang w:val="da-DK"/>
              </w:rPr>
              <w:t xml:space="preserve"> oral, dag 1-5; VCR 2 mg i.v., dag 6, 13, 20; </w:t>
            </w:r>
          </w:p>
          <w:p w14:paraId="18F5D853"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Daunorubicin 45 mg/m</w:t>
            </w:r>
            <w:r w:rsidRPr="00AA499E">
              <w:rPr>
                <w:rFonts w:ascii="Times New Roman" w:hAnsi="Times New Roman"/>
                <w:vertAlign w:val="superscript"/>
                <w:lang w:val="da-DK"/>
              </w:rPr>
              <w:t>2</w:t>
            </w:r>
            <w:r w:rsidRPr="00AA499E">
              <w:rPr>
                <w:rFonts w:ascii="Times New Roman" w:hAnsi="Times New Roman"/>
                <w:lang w:val="da-DK"/>
              </w:rPr>
              <w:t xml:space="preserve"> i.v., dag 6-7, 13-14 </w:t>
            </w:r>
          </w:p>
        </w:tc>
      </w:tr>
      <w:tr w:rsidR="0028324B" w:rsidRPr="00AA499E" w14:paraId="3BC9763E" w14:textId="77777777" w:rsidTr="00063A26">
        <w:trPr>
          <w:trHeight w:hRule="exact" w:val="757"/>
        </w:trPr>
        <w:tc>
          <w:tcPr>
            <w:tcW w:w="2235" w:type="dxa"/>
            <w:tcBorders>
              <w:right w:val="nil"/>
            </w:tcBorders>
            <w:shd w:val="clear" w:color="auto" w:fill="auto"/>
            <w:tcMar>
              <w:top w:w="57" w:type="dxa"/>
              <w:bottom w:w="57" w:type="dxa"/>
            </w:tcMar>
          </w:tcPr>
          <w:p w14:paraId="6F8CE5F1"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Induktionsbehandling II </w:t>
            </w:r>
          </w:p>
        </w:tc>
        <w:tc>
          <w:tcPr>
            <w:tcW w:w="6798" w:type="dxa"/>
            <w:tcBorders>
              <w:left w:val="nil"/>
            </w:tcBorders>
            <w:shd w:val="clear" w:color="auto" w:fill="auto"/>
            <w:tcMar>
              <w:top w:w="57" w:type="dxa"/>
              <w:bottom w:w="57" w:type="dxa"/>
            </w:tcMar>
          </w:tcPr>
          <w:p w14:paraId="0B5E4D55" w14:textId="77777777" w:rsidR="0028324B" w:rsidRPr="00AA499E" w:rsidRDefault="0028324B" w:rsidP="00063A26">
            <w:pPr>
              <w:pStyle w:val="Default"/>
              <w:rPr>
                <w:sz w:val="22"/>
                <w:szCs w:val="22"/>
                <w:lang w:val="da-DK"/>
              </w:rPr>
            </w:pPr>
            <w:r w:rsidRPr="00AA499E">
              <w:rPr>
                <w:sz w:val="22"/>
                <w:szCs w:val="22"/>
                <w:lang w:val="da-DK"/>
              </w:rPr>
              <w:t>CP 1 g/m</w:t>
            </w:r>
            <w:r w:rsidRPr="00AA499E">
              <w:rPr>
                <w:sz w:val="22"/>
                <w:szCs w:val="22"/>
                <w:vertAlign w:val="superscript"/>
                <w:lang w:val="da-DK"/>
              </w:rPr>
              <w:t>2</w:t>
            </w:r>
            <w:r w:rsidRPr="00AA499E">
              <w:rPr>
                <w:sz w:val="22"/>
                <w:szCs w:val="22"/>
                <w:lang w:val="da-DK"/>
              </w:rPr>
              <w:t xml:space="preserve"> i.v. (1 time), dag 26, 46; Ara-C 75 mg/m</w:t>
            </w:r>
            <w:r w:rsidRPr="00AA499E">
              <w:rPr>
                <w:sz w:val="22"/>
                <w:szCs w:val="22"/>
                <w:vertAlign w:val="superscript"/>
                <w:lang w:val="da-DK"/>
              </w:rPr>
              <w:t>2</w:t>
            </w:r>
            <w:r w:rsidRPr="00AA499E">
              <w:rPr>
                <w:sz w:val="22"/>
                <w:szCs w:val="22"/>
                <w:lang w:val="da-DK"/>
              </w:rPr>
              <w:t xml:space="preserve"> i.v. (1 time), dag 28-31, 35-38, 42-45; 6-MP 60 mg/m</w:t>
            </w:r>
            <w:r w:rsidRPr="00AA499E">
              <w:rPr>
                <w:sz w:val="22"/>
                <w:szCs w:val="22"/>
                <w:vertAlign w:val="superscript"/>
                <w:lang w:val="da-DK"/>
              </w:rPr>
              <w:t xml:space="preserve">2 </w:t>
            </w:r>
            <w:r w:rsidRPr="00AA499E">
              <w:rPr>
                <w:sz w:val="22"/>
                <w:szCs w:val="22"/>
                <w:lang w:val="da-DK"/>
              </w:rPr>
              <w:t xml:space="preserve">oral, dag 26-46 </w:t>
            </w:r>
          </w:p>
        </w:tc>
      </w:tr>
      <w:tr w:rsidR="0028324B" w:rsidRPr="00AA499E" w14:paraId="4E17A275" w14:textId="77777777" w:rsidTr="00063A26">
        <w:trPr>
          <w:trHeight w:hRule="exact" w:val="1066"/>
        </w:trPr>
        <w:tc>
          <w:tcPr>
            <w:tcW w:w="2235" w:type="dxa"/>
            <w:tcBorders>
              <w:right w:val="nil"/>
            </w:tcBorders>
            <w:shd w:val="clear" w:color="auto" w:fill="auto"/>
            <w:tcMar>
              <w:top w:w="57" w:type="dxa"/>
              <w:bottom w:w="57" w:type="dxa"/>
            </w:tcMar>
          </w:tcPr>
          <w:p w14:paraId="3ACA037D"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Konsoliderende behandling </w:t>
            </w:r>
          </w:p>
        </w:tc>
        <w:tc>
          <w:tcPr>
            <w:tcW w:w="6798" w:type="dxa"/>
            <w:tcBorders>
              <w:left w:val="nil"/>
            </w:tcBorders>
            <w:shd w:val="clear" w:color="auto" w:fill="auto"/>
            <w:tcMar>
              <w:top w:w="57" w:type="dxa"/>
              <w:bottom w:w="57" w:type="dxa"/>
            </w:tcMar>
          </w:tcPr>
          <w:p w14:paraId="72F49984" w14:textId="77777777" w:rsidR="0028324B" w:rsidRPr="00AA499E" w:rsidRDefault="0028324B">
            <w:pPr>
              <w:pStyle w:val="Default"/>
              <w:rPr>
                <w:sz w:val="22"/>
                <w:szCs w:val="22"/>
                <w:lang w:val="da-DK"/>
              </w:rPr>
            </w:pPr>
            <w:r w:rsidRPr="00AA499E">
              <w:rPr>
                <w:sz w:val="22"/>
                <w:szCs w:val="22"/>
                <w:lang w:val="da-DK"/>
              </w:rPr>
              <w:t>DEX 10 mg/m</w:t>
            </w:r>
            <w:r w:rsidRPr="00AA499E">
              <w:rPr>
                <w:sz w:val="22"/>
                <w:szCs w:val="22"/>
                <w:vertAlign w:val="superscript"/>
                <w:lang w:val="da-DK"/>
              </w:rPr>
              <w:t>2</w:t>
            </w:r>
            <w:r w:rsidRPr="00AA499E">
              <w:rPr>
                <w:sz w:val="22"/>
                <w:szCs w:val="22"/>
                <w:lang w:val="da-DK"/>
              </w:rPr>
              <w:t xml:space="preserve"> oral, dag 1-5; Vindesin 3 mg/m</w:t>
            </w:r>
            <w:r w:rsidRPr="00AA499E">
              <w:rPr>
                <w:sz w:val="22"/>
                <w:szCs w:val="22"/>
                <w:vertAlign w:val="superscript"/>
                <w:lang w:val="da-DK"/>
              </w:rPr>
              <w:t>2</w:t>
            </w:r>
            <w:r w:rsidRPr="00AA499E">
              <w:rPr>
                <w:sz w:val="22"/>
                <w:szCs w:val="22"/>
                <w:lang w:val="da-DK"/>
              </w:rPr>
              <w:t xml:space="preserve"> i.v., dag 1; MTX 1,5 g/m</w:t>
            </w:r>
            <w:r w:rsidRPr="00AA499E">
              <w:rPr>
                <w:sz w:val="22"/>
                <w:szCs w:val="22"/>
                <w:vertAlign w:val="superscript"/>
                <w:lang w:val="da-DK"/>
              </w:rPr>
              <w:t>2</w:t>
            </w:r>
            <w:r w:rsidRPr="00AA499E">
              <w:rPr>
                <w:sz w:val="22"/>
                <w:szCs w:val="22"/>
                <w:lang w:val="da-DK"/>
              </w:rPr>
              <w:t xml:space="preserve"> i.v. (24 timer), dag 1; Etoposid 250 mg/m</w:t>
            </w:r>
            <w:r w:rsidRPr="00AA499E">
              <w:rPr>
                <w:sz w:val="22"/>
                <w:szCs w:val="22"/>
                <w:vertAlign w:val="superscript"/>
                <w:lang w:val="da-DK"/>
              </w:rPr>
              <w:t>2</w:t>
            </w:r>
            <w:r w:rsidRPr="00AA499E">
              <w:rPr>
                <w:sz w:val="22"/>
                <w:szCs w:val="22"/>
                <w:lang w:val="da-DK"/>
              </w:rPr>
              <w:t xml:space="preserve"> i.v. (1 time) dag 4-5; </w:t>
            </w:r>
          </w:p>
          <w:p w14:paraId="2CB24541"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Ara-C 2x 2 g/m</w:t>
            </w:r>
            <w:r w:rsidRPr="00AA499E">
              <w:rPr>
                <w:rFonts w:ascii="Times New Roman" w:hAnsi="Times New Roman"/>
                <w:vertAlign w:val="superscript"/>
                <w:lang w:val="da-DK"/>
              </w:rPr>
              <w:t>2</w:t>
            </w:r>
            <w:r w:rsidRPr="00AA499E">
              <w:rPr>
                <w:rFonts w:ascii="Times New Roman" w:hAnsi="Times New Roman"/>
                <w:lang w:val="da-DK"/>
              </w:rPr>
              <w:t xml:space="preserve"> i.v. (3 timer, q 12 timer), dag 5 </w:t>
            </w:r>
          </w:p>
        </w:tc>
      </w:tr>
      <w:tr w:rsidR="00FE604F" w:rsidRPr="00AA499E" w14:paraId="1A505CB4" w14:textId="77777777" w:rsidTr="00063A26">
        <w:trPr>
          <w:trHeight w:hRule="exact" w:val="329"/>
        </w:trPr>
        <w:tc>
          <w:tcPr>
            <w:tcW w:w="9033" w:type="dxa"/>
            <w:gridSpan w:val="2"/>
            <w:shd w:val="clear" w:color="auto" w:fill="auto"/>
            <w:tcMar>
              <w:top w:w="57" w:type="dxa"/>
              <w:bottom w:w="57" w:type="dxa"/>
            </w:tcMar>
          </w:tcPr>
          <w:p w14:paraId="7BC04628" w14:textId="77777777" w:rsidR="00FE604F"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lastRenderedPageBreak/>
              <w:t>Studie AJP01</w:t>
            </w:r>
          </w:p>
        </w:tc>
      </w:tr>
      <w:tr w:rsidR="0028324B" w:rsidRPr="00AA499E" w14:paraId="4A2199C5" w14:textId="77777777" w:rsidTr="00063A26">
        <w:trPr>
          <w:trHeight w:hRule="exact" w:val="974"/>
        </w:trPr>
        <w:tc>
          <w:tcPr>
            <w:tcW w:w="2235" w:type="dxa"/>
            <w:tcBorders>
              <w:right w:val="nil"/>
            </w:tcBorders>
            <w:shd w:val="clear" w:color="auto" w:fill="auto"/>
            <w:tcMar>
              <w:top w:w="57" w:type="dxa"/>
              <w:bottom w:w="57" w:type="dxa"/>
            </w:tcMar>
          </w:tcPr>
          <w:p w14:paraId="180115B9" w14:textId="77777777" w:rsidR="0028324B" w:rsidRPr="00AA499E" w:rsidRDefault="0028324B"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Induktionsbehandling </w:t>
            </w:r>
          </w:p>
        </w:tc>
        <w:tc>
          <w:tcPr>
            <w:tcW w:w="6798" w:type="dxa"/>
            <w:tcBorders>
              <w:left w:val="nil"/>
            </w:tcBorders>
            <w:shd w:val="clear" w:color="auto" w:fill="auto"/>
            <w:tcMar>
              <w:top w:w="57" w:type="dxa"/>
              <w:bottom w:w="57" w:type="dxa"/>
            </w:tcMar>
          </w:tcPr>
          <w:p w14:paraId="7CAB13C0" w14:textId="77777777" w:rsidR="0028324B" w:rsidRPr="00AA499E" w:rsidRDefault="0028324B" w:rsidP="00063A26">
            <w:pPr>
              <w:pStyle w:val="Default"/>
              <w:rPr>
                <w:sz w:val="22"/>
                <w:szCs w:val="22"/>
                <w:lang w:val="da-DK"/>
              </w:rPr>
            </w:pPr>
            <w:r w:rsidRPr="00AA499E">
              <w:rPr>
                <w:sz w:val="22"/>
                <w:szCs w:val="22"/>
                <w:lang w:val="da-DK"/>
              </w:rPr>
              <w:t>CP 1,2 g/m</w:t>
            </w:r>
            <w:r w:rsidRPr="00AA499E">
              <w:rPr>
                <w:sz w:val="22"/>
                <w:szCs w:val="22"/>
                <w:vertAlign w:val="superscript"/>
                <w:lang w:val="da-DK"/>
              </w:rPr>
              <w:t>2</w:t>
            </w:r>
            <w:r w:rsidRPr="00AA499E">
              <w:rPr>
                <w:sz w:val="22"/>
                <w:szCs w:val="22"/>
                <w:lang w:val="da-DK"/>
              </w:rPr>
              <w:t xml:space="preserve"> i.v. (3 timer), dag 1; Daunorubicin 60 mg/m</w:t>
            </w:r>
            <w:r w:rsidRPr="00AA499E">
              <w:rPr>
                <w:sz w:val="22"/>
                <w:szCs w:val="22"/>
                <w:vertAlign w:val="superscript"/>
                <w:lang w:val="da-DK"/>
              </w:rPr>
              <w:t>2</w:t>
            </w:r>
            <w:r w:rsidRPr="00AA499E">
              <w:rPr>
                <w:sz w:val="22"/>
                <w:szCs w:val="22"/>
                <w:lang w:val="da-DK"/>
              </w:rPr>
              <w:t xml:space="preserve"> i.v. (1 time), dag 1-3; Vinkistin 1,3 mg/m</w:t>
            </w:r>
            <w:r w:rsidRPr="00AA499E">
              <w:rPr>
                <w:sz w:val="22"/>
                <w:szCs w:val="22"/>
                <w:vertAlign w:val="superscript"/>
                <w:lang w:val="da-DK"/>
              </w:rPr>
              <w:t>2</w:t>
            </w:r>
            <w:r w:rsidRPr="00AA499E">
              <w:rPr>
                <w:sz w:val="22"/>
                <w:szCs w:val="22"/>
                <w:lang w:val="da-DK"/>
              </w:rPr>
              <w:t xml:space="preserve"> i.v., dag 1, 8, 15, 21; Prednisolon 60 mg/m</w:t>
            </w:r>
            <w:r w:rsidRPr="00AA499E">
              <w:rPr>
                <w:sz w:val="22"/>
                <w:szCs w:val="22"/>
                <w:vertAlign w:val="superscript"/>
                <w:lang w:val="da-DK"/>
              </w:rPr>
              <w:t>2</w:t>
            </w:r>
            <w:r w:rsidRPr="00AA499E">
              <w:rPr>
                <w:sz w:val="22"/>
                <w:szCs w:val="22"/>
                <w:lang w:val="da-DK"/>
              </w:rPr>
              <w:t xml:space="preserve">/dag oral </w:t>
            </w:r>
          </w:p>
        </w:tc>
      </w:tr>
      <w:tr w:rsidR="0040215F" w:rsidRPr="00AA499E" w14:paraId="37067259" w14:textId="77777777" w:rsidTr="00063A26">
        <w:trPr>
          <w:trHeight w:hRule="exact" w:val="850"/>
        </w:trPr>
        <w:tc>
          <w:tcPr>
            <w:tcW w:w="2235" w:type="dxa"/>
            <w:tcBorders>
              <w:right w:val="nil"/>
            </w:tcBorders>
            <w:shd w:val="clear" w:color="auto" w:fill="auto"/>
            <w:tcMar>
              <w:top w:w="57" w:type="dxa"/>
              <w:bottom w:w="57" w:type="dxa"/>
            </w:tcMar>
          </w:tcPr>
          <w:p w14:paraId="0614FF80" w14:textId="77777777" w:rsidR="0040215F" w:rsidRPr="00AA499E" w:rsidRDefault="0040215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Konsoliderende behandling </w:t>
            </w:r>
          </w:p>
        </w:tc>
        <w:tc>
          <w:tcPr>
            <w:tcW w:w="6798" w:type="dxa"/>
            <w:tcBorders>
              <w:left w:val="nil"/>
            </w:tcBorders>
            <w:shd w:val="clear" w:color="auto" w:fill="auto"/>
            <w:tcMar>
              <w:top w:w="57" w:type="dxa"/>
              <w:bottom w:w="57" w:type="dxa"/>
            </w:tcMar>
          </w:tcPr>
          <w:p w14:paraId="6E9A784F" w14:textId="77777777" w:rsidR="0040215F" w:rsidRPr="00AA499E" w:rsidRDefault="0040215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Supplerende kemoterapi omgange: høj-dosis kemoterapi med MTX 1 g/m</w:t>
            </w:r>
            <w:r w:rsidRPr="00AA499E">
              <w:rPr>
                <w:rFonts w:ascii="Times New Roman" w:hAnsi="Times New Roman"/>
                <w:vertAlign w:val="superscript"/>
                <w:lang w:val="da-DK"/>
              </w:rPr>
              <w:t>2</w:t>
            </w:r>
            <w:r w:rsidRPr="00AA499E">
              <w:rPr>
                <w:rFonts w:ascii="Times New Roman" w:hAnsi="Times New Roman"/>
                <w:lang w:val="da-DK"/>
              </w:rPr>
              <w:t xml:space="preserve"> i.v. (24 timer), dag 1, og Ara-C 2 g/m</w:t>
            </w:r>
            <w:r w:rsidRPr="00AA499E">
              <w:rPr>
                <w:rFonts w:ascii="Times New Roman" w:hAnsi="Times New Roman"/>
                <w:vertAlign w:val="superscript"/>
                <w:lang w:val="da-DK"/>
              </w:rPr>
              <w:t>2</w:t>
            </w:r>
            <w:r w:rsidRPr="00AA499E">
              <w:rPr>
                <w:rFonts w:ascii="Times New Roman" w:hAnsi="Times New Roman"/>
                <w:lang w:val="da-DK"/>
              </w:rPr>
              <w:t xml:space="preserve"> i.v. (q 12 timer), dag 2-3, i 4 cyklus </w:t>
            </w:r>
          </w:p>
        </w:tc>
      </w:tr>
      <w:tr w:rsidR="0040215F" w:rsidRPr="00AA499E" w14:paraId="3253B155" w14:textId="77777777" w:rsidTr="00063A26">
        <w:trPr>
          <w:trHeight w:hRule="exact" w:val="489"/>
        </w:trPr>
        <w:tc>
          <w:tcPr>
            <w:tcW w:w="2235" w:type="dxa"/>
            <w:tcBorders>
              <w:right w:val="nil"/>
            </w:tcBorders>
            <w:shd w:val="clear" w:color="auto" w:fill="auto"/>
            <w:tcMar>
              <w:top w:w="57" w:type="dxa"/>
              <w:bottom w:w="57" w:type="dxa"/>
            </w:tcMar>
          </w:tcPr>
          <w:p w14:paraId="0D5D9FB8" w14:textId="77777777" w:rsidR="0040215F" w:rsidRPr="00AA499E" w:rsidRDefault="0040215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Vedligeholdelse </w:t>
            </w:r>
          </w:p>
        </w:tc>
        <w:tc>
          <w:tcPr>
            <w:tcW w:w="6798" w:type="dxa"/>
            <w:tcBorders>
              <w:left w:val="nil"/>
            </w:tcBorders>
            <w:shd w:val="clear" w:color="auto" w:fill="auto"/>
            <w:tcMar>
              <w:top w:w="57" w:type="dxa"/>
              <w:bottom w:w="57" w:type="dxa"/>
            </w:tcMar>
          </w:tcPr>
          <w:p w14:paraId="5BC51216" w14:textId="77777777" w:rsidR="0040215F" w:rsidRPr="00AA499E" w:rsidRDefault="0040215F" w:rsidP="00063A26">
            <w:pPr>
              <w:pStyle w:val="Default"/>
              <w:rPr>
                <w:sz w:val="22"/>
                <w:szCs w:val="22"/>
                <w:lang w:val="da-DK"/>
              </w:rPr>
            </w:pPr>
            <w:r w:rsidRPr="00AA499E">
              <w:rPr>
                <w:sz w:val="22"/>
                <w:szCs w:val="22"/>
                <w:lang w:val="da-DK"/>
              </w:rPr>
              <w:t>VCR 1,3 g/m</w:t>
            </w:r>
            <w:r w:rsidRPr="00AA499E">
              <w:rPr>
                <w:sz w:val="22"/>
                <w:szCs w:val="22"/>
                <w:vertAlign w:val="superscript"/>
                <w:lang w:val="da-DK"/>
              </w:rPr>
              <w:t>2</w:t>
            </w:r>
            <w:r w:rsidRPr="00AA499E">
              <w:rPr>
                <w:sz w:val="22"/>
                <w:szCs w:val="22"/>
                <w:lang w:val="da-DK"/>
              </w:rPr>
              <w:t xml:space="preserve"> i.v., dag 1; Prednisolon 60 mg/m</w:t>
            </w:r>
            <w:r w:rsidRPr="00AA499E">
              <w:rPr>
                <w:sz w:val="22"/>
                <w:szCs w:val="22"/>
                <w:vertAlign w:val="superscript"/>
                <w:lang w:val="da-DK"/>
              </w:rPr>
              <w:t>2</w:t>
            </w:r>
            <w:r w:rsidRPr="00AA499E">
              <w:rPr>
                <w:sz w:val="22"/>
                <w:szCs w:val="22"/>
                <w:lang w:val="da-DK"/>
              </w:rPr>
              <w:t xml:space="preserve"> oral, dag 1-5 </w:t>
            </w:r>
          </w:p>
        </w:tc>
      </w:tr>
      <w:tr w:rsidR="00FE604F" w:rsidRPr="00AA499E" w14:paraId="18C521EE" w14:textId="77777777" w:rsidTr="00063A26">
        <w:trPr>
          <w:trHeight w:hRule="exact" w:val="340"/>
        </w:trPr>
        <w:tc>
          <w:tcPr>
            <w:tcW w:w="9033" w:type="dxa"/>
            <w:gridSpan w:val="2"/>
            <w:shd w:val="clear" w:color="auto" w:fill="auto"/>
            <w:tcMar>
              <w:top w:w="57" w:type="dxa"/>
              <w:bottom w:w="57" w:type="dxa"/>
            </w:tcMar>
          </w:tcPr>
          <w:p w14:paraId="4FC6CD77" w14:textId="77777777" w:rsidR="00FE604F" w:rsidRPr="00AA499E" w:rsidRDefault="0040215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AUS01</w:t>
            </w:r>
          </w:p>
        </w:tc>
      </w:tr>
      <w:tr w:rsidR="0040215F" w:rsidRPr="00AA499E" w14:paraId="48244723" w14:textId="77777777" w:rsidTr="00063A26">
        <w:trPr>
          <w:trHeight w:hRule="exact" w:val="1522"/>
        </w:trPr>
        <w:tc>
          <w:tcPr>
            <w:tcW w:w="2235" w:type="dxa"/>
            <w:tcBorders>
              <w:right w:val="nil"/>
            </w:tcBorders>
            <w:shd w:val="clear" w:color="auto" w:fill="auto"/>
            <w:tcMar>
              <w:top w:w="57" w:type="dxa"/>
              <w:bottom w:w="57" w:type="dxa"/>
            </w:tcMar>
          </w:tcPr>
          <w:p w14:paraId="5DB356D0" w14:textId="77777777" w:rsidR="0040215F" w:rsidRPr="00AA499E" w:rsidRDefault="0040215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Induktions-konsoliderende behandling </w:t>
            </w:r>
          </w:p>
        </w:tc>
        <w:tc>
          <w:tcPr>
            <w:tcW w:w="6798" w:type="dxa"/>
            <w:tcBorders>
              <w:left w:val="nil"/>
            </w:tcBorders>
            <w:shd w:val="clear" w:color="auto" w:fill="auto"/>
            <w:tcMar>
              <w:top w:w="57" w:type="dxa"/>
              <w:bottom w:w="57" w:type="dxa"/>
            </w:tcMar>
          </w:tcPr>
          <w:p w14:paraId="441661F9" w14:textId="77777777" w:rsidR="0040215F" w:rsidRPr="00AA499E" w:rsidRDefault="0040215F">
            <w:pPr>
              <w:pStyle w:val="Default"/>
              <w:rPr>
                <w:sz w:val="22"/>
                <w:szCs w:val="22"/>
                <w:lang w:val="da-DK"/>
              </w:rPr>
            </w:pPr>
            <w:r w:rsidRPr="00AA499E">
              <w:rPr>
                <w:sz w:val="22"/>
                <w:szCs w:val="22"/>
                <w:lang w:val="da-DK"/>
              </w:rPr>
              <w:t>Hyper-CVAD regimen: CP 300 mg/m</w:t>
            </w:r>
            <w:r w:rsidRPr="00AA499E">
              <w:rPr>
                <w:sz w:val="22"/>
                <w:szCs w:val="22"/>
                <w:vertAlign w:val="superscript"/>
                <w:lang w:val="da-DK"/>
              </w:rPr>
              <w:t>2</w:t>
            </w:r>
            <w:r w:rsidRPr="00AA499E">
              <w:rPr>
                <w:sz w:val="22"/>
                <w:szCs w:val="22"/>
                <w:lang w:val="da-DK"/>
              </w:rPr>
              <w:t xml:space="preserve"> i.v. (3 timer, q 12 timer), dag 1-3; </w:t>
            </w:r>
          </w:p>
          <w:p w14:paraId="29B96354" w14:textId="77777777" w:rsidR="0040215F" w:rsidRPr="00AA499E" w:rsidRDefault="0040215F" w:rsidP="00063A26">
            <w:pPr>
              <w:pStyle w:val="Default"/>
              <w:rPr>
                <w:sz w:val="22"/>
                <w:szCs w:val="22"/>
                <w:lang w:val="da-DK"/>
              </w:rPr>
            </w:pPr>
            <w:r w:rsidRPr="00AA499E">
              <w:rPr>
                <w:sz w:val="22"/>
                <w:szCs w:val="22"/>
                <w:lang w:val="da-DK"/>
              </w:rPr>
              <w:t>Vinkristin 2 mg i.v., dag 4, 11; Doxorubicin 50 mg/m</w:t>
            </w:r>
            <w:r w:rsidRPr="00AA499E">
              <w:rPr>
                <w:sz w:val="22"/>
                <w:szCs w:val="22"/>
                <w:vertAlign w:val="superscript"/>
                <w:lang w:val="da-DK"/>
              </w:rPr>
              <w:t>2</w:t>
            </w:r>
            <w:r w:rsidRPr="00AA499E">
              <w:rPr>
                <w:sz w:val="22"/>
                <w:szCs w:val="22"/>
                <w:lang w:val="da-DK"/>
              </w:rPr>
              <w:t xml:space="preserve"> i.v. (24 timer), dag 4; DEX 40 mg/dag på dag 1-4 og 11-14, supplerende med MTX 1 g/m</w:t>
            </w:r>
            <w:r w:rsidRPr="00AA499E">
              <w:rPr>
                <w:sz w:val="22"/>
                <w:szCs w:val="22"/>
                <w:vertAlign w:val="superscript"/>
                <w:lang w:val="da-DK"/>
              </w:rPr>
              <w:t xml:space="preserve">2 </w:t>
            </w:r>
            <w:r w:rsidRPr="00AA499E">
              <w:rPr>
                <w:sz w:val="22"/>
                <w:szCs w:val="22"/>
                <w:lang w:val="da-DK"/>
              </w:rPr>
              <w:t>i.v. (24 timer), dag 1, Ara-C 1 g/m</w:t>
            </w:r>
            <w:r w:rsidRPr="00AA499E">
              <w:rPr>
                <w:sz w:val="22"/>
                <w:szCs w:val="22"/>
                <w:vertAlign w:val="superscript"/>
                <w:lang w:val="da-DK"/>
              </w:rPr>
              <w:t>2</w:t>
            </w:r>
            <w:r w:rsidRPr="00AA499E">
              <w:rPr>
                <w:sz w:val="22"/>
                <w:szCs w:val="22"/>
                <w:lang w:val="da-DK"/>
              </w:rPr>
              <w:t xml:space="preserve"> i.v. (2 timer, q 12 timer), dag 2-3 (total af 8 omgange) </w:t>
            </w:r>
          </w:p>
        </w:tc>
      </w:tr>
      <w:tr w:rsidR="0040215F" w:rsidRPr="00AA499E" w14:paraId="1974A131" w14:textId="77777777" w:rsidTr="00063A26">
        <w:trPr>
          <w:trHeight w:hRule="exact" w:val="624"/>
        </w:trPr>
        <w:tc>
          <w:tcPr>
            <w:tcW w:w="2235" w:type="dxa"/>
            <w:tcBorders>
              <w:right w:val="nil"/>
            </w:tcBorders>
            <w:shd w:val="clear" w:color="auto" w:fill="auto"/>
            <w:tcMar>
              <w:top w:w="57" w:type="dxa"/>
              <w:bottom w:w="57" w:type="dxa"/>
            </w:tcMar>
          </w:tcPr>
          <w:p w14:paraId="32C9D757" w14:textId="77777777" w:rsidR="0040215F" w:rsidRPr="00AA499E" w:rsidRDefault="0040215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Vedligeholdelse </w:t>
            </w:r>
          </w:p>
        </w:tc>
        <w:tc>
          <w:tcPr>
            <w:tcW w:w="6798" w:type="dxa"/>
            <w:tcBorders>
              <w:left w:val="nil"/>
            </w:tcBorders>
            <w:shd w:val="clear" w:color="auto" w:fill="auto"/>
            <w:tcMar>
              <w:top w:w="57" w:type="dxa"/>
              <w:bottom w:w="57" w:type="dxa"/>
            </w:tcMar>
          </w:tcPr>
          <w:p w14:paraId="04570558" w14:textId="77777777" w:rsidR="0040215F" w:rsidRPr="00AA499E" w:rsidRDefault="0040215F" w:rsidP="00063A26">
            <w:pPr>
              <w:pStyle w:val="Default"/>
              <w:rPr>
                <w:sz w:val="22"/>
                <w:szCs w:val="22"/>
                <w:lang w:val="da-DK"/>
              </w:rPr>
            </w:pPr>
            <w:r w:rsidRPr="00AA499E">
              <w:rPr>
                <w:sz w:val="22"/>
                <w:szCs w:val="22"/>
                <w:lang w:val="da-DK"/>
              </w:rPr>
              <w:t xml:space="preserve">VCR 2 mg i.v. månedligt i 13 måneder; prednisolon 200 mg oral, 5 dag per måned i 13 måneder </w:t>
            </w:r>
          </w:p>
        </w:tc>
      </w:tr>
      <w:tr w:rsidR="00FE604F" w:rsidRPr="00AA499E" w14:paraId="220C167C" w14:textId="77777777" w:rsidTr="00063A26">
        <w:trPr>
          <w:trHeight w:hRule="exact" w:val="340"/>
        </w:trPr>
        <w:tc>
          <w:tcPr>
            <w:tcW w:w="9033" w:type="dxa"/>
            <w:gridSpan w:val="2"/>
            <w:shd w:val="clear" w:color="auto" w:fill="auto"/>
            <w:tcMar>
              <w:top w:w="57" w:type="dxa"/>
              <w:bottom w:w="57" w:type="dxa"/>
            </w:tcMar>
          </w:tcPr>
          <w:p w14:paraId="2A588C53" w14:textId="77777777" w:rsidR="00FE604F" w:rsidRPr="00AA499E" w:rsidRDefault="0040215F" w:rsidP="00FE604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Alle behandlingsregimer inkluderer administration af steroider mod CNS profylakse</w:t>
            </w:r>
          </w:p>
        </w:tc>
      </w:tr>
      <w:tr w:rsidR="00FE604F" w:rsidRPr="00AA499E" w14:paraId="2CFD47F0" w14:textId="77777777" w:rsidTr="00063A26">
        <w:trPr>
          <w:trHeight w:hRule="exact" w:val="687"/>
        </w:trPr>
        <w:tc>
          <w:tcPr>
            <w:tcW w:w="9033" w:type="dxa"/>
            <w:gridSpan w:val="2"/>
            <w:shd w:val="clear" w:color="auto" w:fill="auto"/>
            <w:tcMar>
              <w:top w:w="57" w:type="dxa"/>
              <w:bottom w:w="57" w:type="dxa"/>
            </w:tcMar>
          </w:tcPr>
          <w:p w14:paraId="44C74DB7" w14:textId="77777777" w:rsidR="00FE604F" w:rsidRPr="008F3048" w:rsidRDefault="0040215F" w:rsidP="00FE604F">
            <w:pPr>
              <w:autoSpaceDE w:val="0"/>
              <w:autoSpaceDN w:val="0"/>
              <w:adjustRightInd w:val="0"/>
              <w:spacing w:after="0" w:line="240" w:lineRule="auto"/>
              <w:rPr>
                <w:rFonts w:ascii="Times New Roman" w:hAnsi="Times New Roman"/>
              </w:rPr>
            </w:pPr>
            <w:r w:rsidRPr="008F3048">
              <w:rPr>
                <w:rFonts w:ascii="Times New Roman" w:hAnsi="Times New Roman"/>
              </w:rPr>
              <w:t>Ara-C: cytosin arabinosid; CP: cyclophosphamid; DEX: dexamethason; MTX: methotrexat; 6-MP: 6-mercaptopurin; VM26: teniposid; VCR: vinkristin; IDA: idarubicin; i.v.: intravenøs</w:t>
            </w:r>
          </w:p>
        </w:tc>
      </w:tr>
    </w:tbl>
    <w:p w14:paraId="0BBD8F98" w14:textId="77777777" w:rsidR="00E742EF" w:rsidRPr="008F3048" w:rsidRDefault="00E742EF">
      <w:pPr>
        <w:autoSpaceDE w:val="0"/>
        <w:autoSpaceDN w:val="0"/>
        <w:adjustRightInd w:val="0"/>
        <w:spacing w:after="0" w:line="240" w:lineRule="auto"/>
        <w:rPr>
          <w:rFonts w:ascii="Times New Roman" w:hAnsi="Times New Roman"/>
        </w:rPr>
      </w:pPr>
    </w:p>
    <w:p w14:paraId="023A5FB0" w14:textId="77777777" w:rsidR="00E2572F" w:rsidRPr="00AA499E" w:rsidRDefault="00E2572F" w:rsidP="00E2572F">
      <w:pPr>
        <w:pStyle w:val="Endnotentext"/>
        <w:rPr>
          <w:color w:val="000000"/>
          <w:szCs w:val="22"/>
        </w:rPr>
      </w:pPr>
      <w:r w:rsidRPr="00AA499E">
        <w:rPr>
          <w:i/>
          <w:color w:val="000000"/>
          <w:szCs w:val="22"/>
        </w:rPr>
        <w:t>Børn</w:t>
      </w:r>
      <w:r w:rsidR="000E26B2" w:rsidRPr="00AA499E">
        <w:rPr>
          <w:color w:val="000000"/>
          <w:szCs w:val="22"/>
        </w:rPr>
        <w:t>: I studie </w:t>
      </w:r>
      <w:r w:rsidRPr="00AA499E">
        <w:rPr>
          <w:color w:val="000000"/>
          <w:szCs w:val="22"/>
        </w:rPr>
        <w:t>I2301 blev der inkluderet i alt 93</w:t>
      </w:r>
      <w:r w:rsidR="00D1187C" w:rsidRPr="00AA499E">
        <w:rPr>
          <w:color w:val="000000"/>
          <w:szCs w:val="22"/>
        </w:rPr>
        <w:t> </w:t>
      </w:r>
      <w:r w:rsidRPr="00AA499E">
        <w:rPr>
          <w:color w:val="000000"/>
          <w:szCs w:val="22"/>
        </w:rPr>
        <w:t>børn, unge og yngre voksne (fra 1 til 22 år) med Ph+ ALL i et åbent, multicenter, ikke-ra</w:t>
      </w:r>
      <w:r w:rsidR="00D1187C" w:rsidRPr="00AA499E">
        <w:rPr>
          <w:color w:val="000000"/>
          <w:szCs w:val="22"/>
        </w:rPr>
        <w:t>n</w:t>
      </w:r>
      <w:r w:rsidRPr="00AA499E">
        <w:rPr>
          <w:color w:val="000000"/>
          <w:szCs w:val="22"/>
        </w:rPr>
        <w:t xml:space="preserve">domiseret fase III sekventielt kohorte-forsøg. Patienterne blev behandlet med </w:t>
      </w:r>
      <w:r w:rsidR="006E6C80" w:rsidRPr="00AA499E">
        <w:rPr>
          <w:color w:val="000000"/>
          <w:szCs w:val="22"/>
        </w:rPr>
        <w:t xml:space="preserve">imatinib </w:t>
      </w:r>
      <w:r w:rsidRPr="00AA499E">
        <w:rPr>
          <w:color w:val="000000"/>
          <w:szCs w:val="22"/>
        </w:rPr>
        <w:t>(340 mg/m</w:t>
      </w:r>
      <w:r w:rsidRPr="00AA499E">
        <w:rPr>
          <w:color w:val="000000"/>
          <w:szCs w:val="22"/>
          <w:vertAlign w:val="superscript"/>
        </w:rPr>
        <w:t>2</w:t>
      </w:r>
      <w:r w:rsidRPr="00AA499E">
        <w:rPr>
          <w:color w:val="000000"/>
          <w:szCs w:val="22"/>
        </w:rPr>
        <w:t xml:space="preserve">/dag) i kombination med intensiv kemoterapi efter induktionsbehandling. </w:t>
      </w:r>
      <w:r w:rsidR="006E6C80" w:rsidRPr="00AA499E">
        <w:rPr>
          <w:color w:val="000000"/>
          <w:szCs w:val="22"/>
        </w:rPr>
        <w:t xml:space="preserve">Imatinib </w:t>
      </w:r>
      <w:r w:rsidRPr="00AA499E">
        <w:rPr>
          <w:color w:val="000000"/>
          <w:szCs w:val="22"/>
        </w:rPr>
        <w:t>blev admi</w:t>
      </w:r>
      <w:r w:rsidR="000E26B2" w:rsidRPr="00AA499E">
        <w:rPr>
          <w:color w:val="000000"/>
          <w:szCs w:val="22"/>
        </w:rPr>
        <w:t>nistreret periodisk i kohorte 1</w:t>
      </w:r>
      <w:r w:rsidR="000E26B2" w:rsidRPr="00AA499E">
        <w:rPr>
          <w:color w:val="000000"/>
          <w:szCs w:val="22"/>
        </w:rPr>
        <w:noBreakHyphen/>
      </w:r>
      <w:r w:rsidRPr="00AA499E">
        <w:rPr>
          <w:color w:val="000000"/>
          <w:szCs w:val="22"/>
        </w:rPr>
        <w:t xml:space="preserve">5 med stigende varighed og tidligere start med </w:t>
      </w:r>
      <w:r w:rsidR="007E769A" w:rsidRPr="00AA499E">
        <w:rPr>
          <w:color w:val="000000"/>
          <w:szCs w:val="22"/>
        </w:rPr>
        <w:t>imatinib</w:t>
      </w:r>
      <w:r w:rsidRPr="00AA499E">
        <w:rPr>
          <w:color w:val="000000"/>
          <w:szCs w:val="22"/>
        </w:rPr>
        <w:t xml:space="preserve"> f</w:t>
      </w:r>
      <w:r w:rsidR="000E26B2" w:rsidRPr="00AA499E">
        <w:rPr>
          <w:color w:val="000000"/>
          <w:szCs w:val="22"/>
        </w:rPr>
        <w:t>ra kohorte til kohorte; kohorte </w:t>
      </w:r>
      <w:r w:rsidRPr="00AA499E">
        <w:rPr>
          <w:color w:val="000000"/>
          <w:szCs w:val="22"/>
        </w:rPr>
        <w:t xml:space="preserve">1 fik den mindst intensive </w:t>
      </w:r>
      <w:r w:rsidR="006E6C80" w:rsidRPr="00AA499E">
        <w:rPr>
          <w:color w:val="000000"/>
          <w:szCs w:val="22"/>
        </w:rPr>
        <w:t>imatinib-</w:t>
      </w:r>
      <w:r w:rsidR="000E26B2" w:rsidRPr="00AA499E">
        <w:rPr>
          <w:color w:val="000000"/>
          <w:szCs w:val="22"/>
        </w:rPr>
        <w:t>behandling og kohorte </w:t>
      </w:r>
      <w:r w:rsidRPr="00AA499E">
        <w:rPr>
          <w:color w:val="000000"/>
          <w:szCs w:val="22"/>
        </w:rPr>
        <w:t xml:space="preserve">5 den mest intensive (længste varighed i dage med kontinuerlig, daglig </w:t>
      </w:r>
      <w:r w:rsidR="007E769A" w:rsidRPr="00AA499E">
        <w:rPr>
          <w:color w:val="000000"/>
          <w:szCs w:val="22"/>
        </w:rPr>
        <w:t>imatinib</w:t>
      </w:r>
      <w:r w:rsidRPr="00AA499E">
        <w:rPr>
          <w:color w:val="000000"/>
          <w:szCs w:val="22"/>
        </w:rPr>
        <w:t xml:space="preserve">-dosering i de første kemobehandlingsforløb). Kontinuerlig daglig eksponering for </w:t>
      </w:r>
      <w:r w:rsidR="007E769A" w:rsidRPr="00AA499E">
        <w:rPr>
          <w:color w:val="000000"/>
          <w:szCs w:val="22"/>
        </w:rPr>
        <w:t>imatinib</w:t>
      </w:r>
      <w:r w:rsidRPr="00AA499E">
        <w:rPr>
          <w:color w:val="000000"/>
          <w:szCs w:val="22"/>
        </w:rPr>
        <w:t xml:space="preserve"> tidligt i behandlingsforløbet i kombinati</w:t>
      </w:r>
      <w:r w:rsidR="000E26B2" w:rsidRPr="00AA499E">
        <w:rPr>
          <w:color w:val="000000"/>
          <w:szCs w:val="22"/>
        </w:rPr>
        <w:t>on med kemoterapi hos kohorte 5</w:t>
      </w:r>
      <w:r w:rsidR="000E26B2" w:rsidRPr="00AA499E">
        <w:rPr>
          <w:color w:val="000000"/>
          <w:szCs w:val="22"/>
        </w:rPr>
        <w:noBreakHyphen/>
      </w:r>
      <w:r w:rsidRPr="00AA499E">
        <w:rPr>
          <w:color w:val="000000"/>
          <w:szCs w:val="22"/>
        </w:rPr>
        <w:t>pa</w:t>
      </w:r>
      <w:r w:rsidR="000E26B2" w:rsidRPr="00AA499E">
        <w:rPr>
          <w:color w:val="000000"/>
          <w:szCs w:val="22"/>
        </w:rPr>
        <w:t>tienter (n=50) forbedrede den 4</w:t>
      </w:r>
      <w:r w:rsidR="000E26B2" w:rsidRPr="00AA499E">
        <w:rPr>
          <w:color w:val="000000"/>
          <w:szCs w:val="22"/>
        </w:rPr>
        <w:noBreakHyphen/>
      </w:r>
      <w:r w:rsidRPr="00AA499E">
        <w:rPr>
          <w:color w:val="000000"/>
          <w:szCs w:val="22"/>
        </w:rPr>
        <w:t xml:space="preserve">årige hændelsesfri overlevelse (EFS) sammenlignet med en historisk kontrolgruppe (n=120), der fik standard-kemoterapi uden </w:t>
      </w:r>
      <w:r w:rsidR="007E769A" w:rsidRPr="00AA499E">
        <w:rPr>
          <w:color w:val="000000"/>
          <w:szCs w:val="22"/>
        </w:rPr>
        <w:t xml:space="preserve">imatinib </w:t>
      </w:r>
      <w:r w:rsidRPr="00AA499E">
        <w:rPr>
          <w:color w:val="000000"/>
          <w:szCs w:val="22"/>
        </w:rPr>
        <w:t>(hhv. 69,6</w:t>
      </w:r>
      <w:r w:rsidR="00A861CB" w:rsidRPr="00AA499E">
        <w:rPr>
          <w:color w:val="000000"/>
          <w:szCs w:val="22"/>
        </w:rPr>
        <w:t> </w:t>
      </w:r>
      <w:r w:rsidRPr="00AA499E">
        <w:rPr>
          <w:color w:val="000000"/>
          <w:szCs w:val="22"/>
        </w:rPr>
        <w:t xml:space="preserve">% </w:t>
      </w:r>
      <w:r w:rsidRPr="00AA499E">
        <w:rPr>
          <w:i/>
          <w:color w:val="000000"/>
          <w:szCs w:val="22"/>
        </w:rPr>
        <w:t>vs.</w:t>
      </w:r>
      <w:r w:rsidRPr="00AA499E">
        <w:rPr>
          <w:color w:val="000000"/>
          <w:szCs w:val="22"/>
        </w:rPr>
        <w:t xml:space="preserve"> 31,6</w:t>
      </w:r>
      <w:r w:rsidR="00A861CB" w:rsidRPr="00AA499E">
        <w:rPr>
          <w:color w:val="000000"/>
          <w:szCs w:val="22"/>
        </w:rPr>
        <w:t> %</w:t>
      </w:r>
      <w:r w:rsidR="000E26B2" w:rsidRPr="00AA499E">
        <w:rPr>
          <w:color w:val="000000"/>
          <w:szCs w:val="22"/>
        </w:rPr>
        <w:t>). Den estimerede 4</w:t>
      </w:r>
      <w:r w:rsidR="000E26B2" w:rsidRPr="00AA499E">
        <w:rPr>
          <w:color w:val="000000"/>
          <w:szCs w:val="22"/>
        </w:rPr>
        <w:noBreakHyphen/>
      </w:r>
      <w:r w:rsidRPr="00AA499E">
        <w:rPr>
          <w:color w:val="000000"/>
          <w:szCs w:val="22"/>
        </w:rPr>
        <w:t>års OS ho</w:t>
      </w:r>
      <w:r w:rsidR="000E26B2" w:rsidRPr="00AA499E">
        <w:rPr>
          <w:color w:val="000000"/>
          <w:szCs w:val="22"/>
        </w:rPr>
        <w:t>s kohorte 5</w:t>
      </w:r>
      <w:r w:rsidR="000E26B2" w:rsidRPr="00AA499E">
        <w:rPr>
          <w:color w:val="000000"/>
          <w:szCs w:val="22"/>
        </w:rPr>
        <w:noBreakHyphen/>
      </w:r>
      <w:r w:rsidRPr="00AA499E">
        <w:rPr>
          <w:color w:val="000000"/>
          <w:szCs w:val="22"/>
        </w:rPr>
        <w:t>patienter var 83,6</w:t>
      </w:r>
      <w:r w:rsidR="00A861CB" w:rsidRPr="00AA499E">
        <w:rPr>
          <w:color w:val="000000"/>
          <w:szCs w:val="22"/>
        </w:rPr>
        <w:t> %</w:t>
      </w:r>
      <w:r w:rsidRPr="00AA499E">
        <w:rPr>
          <w:color w:val="000000"/>
          <w:szCs w:val="22"/>
        </w:rPr>
        <w:t xml:space="preserve"> sammenlignet med 44,8</w:t>
      </w:r>
      <w:r w:rsidR="00A861CB" w:rsidRPr="00AA499E">
        <w:rPr>
          <w:color w:val="000000"/>
          <w:szCs w:val="22"/>
        </w:rPr>
        <w:t> %</w:t>
      </w:r>
      <w:r w:rsidRPr="00AA499E">
        <w:rPr>
          <w:color w:val="000000"/>
          <w:szCs w:val="22"/>
        </w:rPr>
        <w:t xml:space="preserve"> i den historiske kontrolgruppe. 20 ud af 50 (40</w:t>
      </w:r>
      <w:r w:rsidR="00A861CB" w:rsidRPr="00AA499E">
        <w:rPr>
          <w:color w:val="000000"/>
          <w:szCs w:val="22"/>
        </w:rPr>
        <w:t> %</w:t>
      </w:r>
      <w:r w:rsidR="000E26B2" w:rsidRPr="00AA499E">
        <w:rPr>
          <w:color w:val="000000"/>
          <w:szCs w:val="22"/>
        </w:rPr>
        <w:t>) patienter i kohorte </w:t>
      </w:r>
      <w:r w:rsidRPr="00AA499E">
        <w:rPr>
          <w:color w:val="000000"/>
          <w:szCs w:val="22"/>
        </w:rPr>
        <w:t>5 fik hæmatopoietisk stamcelletransplantation.</w:t>
      </w:r>
    </w:p>
    <w:p w14:paraId="14758F86" w14:textId="77777777" w:rsidR="00F644B8" w:rsidRPr="00AA499E" w:rsidRDefault="00F644B8" w:rsidP="00F644B8">
      <w:pPr>
        <w:pStyle w:val="Endnotentext"/>
        <w:rPr>
          <w:color w:val="000000"/>
          <w:szCs w:val="22"/>
        </w:rPr>
      </w:pPr>
    </w:p>
    <w:p w14:paraId="7D0FBE14" w14:textId="77777777" w:rsidR="00F644B8" w:rsidRPr="00AA499E" w:rsidRDefault="00F644B8" w:rsidP="000E26B2">
      <w:pPr>
        <w:pStyle w:val="Endnotentext"/>
        <w:keepNext/>
        <w:widowControl/>
        <w:tabs>
          <w:tab w:val="clear" w:pos="567"/>
        </w:tabs>
        <w:ind w:left="1134" w:hanging="1134"/>
        <w:rPr>
          <w:b/>
          <w:color w:val="000000"/>
        </w:rPr>
      </w:pPr>
      <w:r w:rsidRPr="00AA499E">
        <w:rPr>
          <w:b/>
          <w:color w:val="000000"/>
        </w:rPr>
        <w:t>Tabel </w:t>
      </w:r>
      <w:r w:rsidR="009D3DF0" w:rsidRPr="00AA499E">
        <w:rPr>
          <w:b/>
          <w:color w:val="000000"/>
        </w:rPr>
        <w:t>4</w:t>
      </w:r>
      <w:r w:rsidRPr="00AA499E">
        <w:rPr>
          <w:b/>
          <w:color w:val="000000"/>
        </w:rPr>
        <w:tab/>
        <w:t>Kemoterapi-regime anvendt i ko</w:t>
      </w:r>
      <w:r w:rsidR="000E26B2" w:rsidRPr="00AA499E">
        <w:rPr>
          <w:b/>
          <w:color w:val="000000"/>
        </w:rPr>
        <w:t>mbination med imatinib i studie </w:t>
      </w:r>
      <w:r w:rsidRPr="00AA499E">
        <w:rPr>
          <w:b/>
          <w:color w:val="000000"/>
        </w:rPr>
        <w:t>I2301</w:t>
      </w:r>
    </w:p>
    <w:p w14:paraId="5FFBF129" w14:textId="77777777" w:rsidR="00F644B8" w:rsidRPr="00AA499E" w:rsidRDefault="00F644B8" w:rsidP="000E26B2">
      <w:pPr>
        <w:pStyle w:val="Endnotentext"/>
        <w:keepNext/>
        <w:widowControl/>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6924"/>
      </w:tblGrid>
      <w:tr w:rsidR="00F644B8" w:rsidRPr="00AA499E" w14:paraId="104D0E58" w14:textId="77777777" w:rsidTr="00D14BAB">
        <w:tc>
          <w:tcPr>
            <w:tcW w:w="2357" w:type="dxa"/>
            <w:shd w:val="clear" w:color="auto" w:fill="auto"/>
          </w:tcPr>
          <w:p w14:paraId="5F5FA150" w14:textId="77777777" w:rsidR="00F644B8" w:rsidRPr="00AA499E" w:rsidRDefault="00F644B8" w:rsidP="00D14BAB">
            <w:pPr>
              <w:pStyle w:val="Endnotentext"/>
              <w:rPr>
                <w:color w:val="000000"/>
              </w:rPr>
            </w:pPr>
            <w:r w:rsidRPr="00AA499E">
              <w:rPr>
                <w:color w:val="000000"/>
              </w:rPr>
              <w:t>Konsolidering blok 1</w:t>
            </w:r>
          </w:p>
          <w:p w14:paraId="72BC57B8" w14:textId="77777777" w:rsidR="00F644B8" w:rsidRPr="00AA499E" w:rsidRDefault="00F644B8" w:rsidP="00D14BAB">
            <w:pPr>
              <w:pStyle w:val="Endnotentext"/>
              <w:rPr>
                <w:color w:val="000000"/>
              </w:rPr>
            </w:pPr>
            <w:r w:rsidRPr="00AA499E">
              <w:rPr>
                <w:color w:val="000000"/>
              </w:rPr>
              <w:t>(3 uger)</w:t>
            </w:r>
          </w:p>
        </w:tc>
        <w:tc>
          <w:tcPr>
            <w:tcW w:w="6924" w:type="dxa"/>
            <w:shd w:val="clear" w:color="auto" w:fill="auto"/>
          </w:tcPr>
          <w:p w14:paraId="3E7E2FFF" w14:textId="77777777" w:rsidR="00F644B8" w:rsidRPr="00AA499E" w:rsidRDefault="00F644B8" w:rsidP="00D14BAB">
            <w:pPr>
              <w:pStyle w:val="Endnotentext"/>
              <w:rPr>
                <w:color w:val="000000"/>
              </w:rPr>
            </w:pPr>
            <w:r w:rsidRPr="00AA499E">
              <w:rPr>
                <w:color w:val="000000"/>
              </w:rPr>
              <w:t>VP-16 (100 mg/m</w:t>
            </w:r>
            <w:r w:rsidRPr="00AA499E">
              <w:rPr>
                <w:color w:val="000000"/>
                <w:vertAlign w:val="superscript"/>
              </w:rPr>
              <w:t>2</w:t>
            </w:r>
            <w:r w:rsidRPr="00AA499E">
              <w:rPr>
                <w:color w:val="000000"/>
              </w:rPr>
              <w:t>/dag, i.v.): dag 1</w:t>
            </w:r>
            <w:r w:rsidRPr="00AA499E">
              <w:rPr>
                <w:color w:val="000000"/>
              </w:rPr>
              <w:noBreakHyphen/>
              <w:t>5</w:t>
            </w:r>
          </w:p>
          <w:p w14:paraId="0A0410BF" w14:textId="77777777" w:rsidR="00F644B8" w:rsidRPr="00AA499E" w:rsidRDefault="00F644B8" w:rsidP="00D14BAB">
            <w:pPr>
              <w:pStyle w:val="Endnotentext"/>
              <w:rPr>
                <w:color w:val="000000"/>
              </w:rPr>
            </w:pPr>
            <w:r w:rsidRPr="00AA499E">
              <w:rPr>
                <w:color w:val="000000"/>
              </w:rPr>
              <w:t>Ifosfamid (1,8 g/m</w:t>
            </w:r>
            <w:r w:rsidRPr="00AA499E">
              <w:rPr>
                <w:color w:val="000000"/>
                <w:vertAlign w:val="superscript"/>
              </w:rPr>
              <w:t>2</w:t>
            </w:r>
            <w:r w:rsidRPr="00AA499E">
              <w:rPr>
                <w:color w:val="000000"/>
              </w:rPr>
              <w:t>/dag, i.v.): dag 1</w:t>
            </w:r>
            <w:r w:rsidRPr="00AA499E">
              <w:rPr>
                <w:color w:val="000000"/>
              </w:rPr>
              <w:noBreakHyphen/>
              <w:t>5</w:t>
            </w:r>
          </w:p>
          <w:p w14:paraId="59033153" w14:textId="77777777" w:rsidR="00F644B8" w:rsidRPr="00AA499E" w:rsidRDefault="00F644B8" w:rsidP="00D14BAB">
            <w:pPr>
              <w:pStyle w:val="Endnotentext"/>
              <w:rPr>
                <w:color w:val="000000"/>
              </w:rPr>
            </w:pPr>
            <w:r w:rsidRPr="00AA499E">
              <w:rPr>
                <w:color w:val="000000"/>
              </w:rPr>
              <w:t>MESNA (360 mg/m</w:t>
            </w:r>
            <w:r w:rsidRPr="00AA499E">
              <w:rPr>
                <w:color w:val="000000"/>
                <w:vertAlign w:val="superscript"/>
              </w:rPr>
              <w:t>2</w:t>
            </w:r>
            <w:r w:rsidRPr="00AA499E">
              <w:rPr>
                <w:color w:val="000000"/>
              </w:rPr>
              <w:t>/dosis hver 3 time, x 8 doser/dag, i.v.): dag 1</w:t>
            </w:r>
            <w:r w:rsidRPr="00AA499E">
              <w:rPr>
                <w:color w:val="000000"/>
              </w:rPr>
              <w:noBreakHyphen/>
              <w:t>5</w:t>
            </w:r>
          </w:p>
          <w:p w14:paraId="6A8810FF" w14:textId="77777777" w:rsidR="00F644B8" w:rsidRPr="00AA499E" w:rsidRDefault="00F644B8" w:rsidP="00D14BAB">
            <w:pPr>
              <w:pStyle w:val="Endnotentext"/>
              <w:rPr>
                <w:color w:val="000000"/>
              </w:rPr>
            </w:pPr>
            <w:r w:rsidRPr="00AA499E">
              <w:rPr>
                <w:color w:val="000000"/>
              </w:rPr>
              <w:t>G-CSF (5 μg/kg, s.c.): dag 6</w:t>
            </w:r>
            <w:r w:rsidRPr="00AA499E">
              <w:rPr>
                <w:color w:val="000000"/>
              </w:rPr>
              <w:noBreakHyphen/>
              <w:t>15, eller indtil ANC &gt; 1500 post nadir</w:t>
            </w:r>
          </w:p>
          <w:p w14:paraId="0100EA4C" w14:textId="77777777" w:rsidR="00F644B8" w:rsidRPr="00AA499E" w:rsidRDefault="00F644B8" w:rsidP="00D14BAB">
            <w:pPr>
              <w:pStyle w:val="Endnotentext"/>
              <w:rPr>
                <w:color w:val="000000"/>
              </w:rPr>
            </w:pPr>
            <w:r w:rsidRPr="00AA499E">
              <w:rPr>
                <w:color w:val="000000"/>
              </w:rPr>
              <w:t>I.t. methotrexat (aldersjusteret): KUN dag 1</w:t>
            </w:r>
          </w:p>
          <w:p w14:paraId="1B29090E" w14:textId="77777777" w:rsidR="00F644B8" w:rsidRPr="00AA499E" w:rsidRDefault="00F644B8" w:rsidP="00D14BAB">
            <w:pPr>
              <w:pStyle w:val="Endnotentext"/>
              <w:rPr>
                <w:color w:val="000000"/>
              </w:rPr>
            </w:pPr>
            <w:r w:rsidRPr="00AA499E">
              <w:rPr>
                <w:color w:val="000000"/>
              </w:rPr>
              <w:t>Tredobbelt i.t.-terapi (aldersjusteret): dag 8, 15</w:t>
            </w:r>
          </w:p>
        </w:tc>
      </w:tr>
      <w:tr w:rsidR="00F644B8" w:rsidRPr="00AA499E" w14:paraId="1583DF34" w14:textId="77777777" w:rsidTr="00D14BAB">
        <w:tc>
          <w:tcPr>
            <w:tcW w:w="2357" w:type="dxa"/>
            <w:shd w:val="clear" w:color="auto" w:fill="auto"/>
          </w:tcPr>
          <w:p w14:paraId="772C040B" w14:textId="77777777" w:rsidR="00F644B8" w:rsidRPr="00AA499E" w:rsidRDefault="00F644B8" w:rsidP="00D14BAB">
            <w:pPr>
              <w:pStyle w:val="Endnotentext"/>
              <w:rPr>
                <w:color w:val="000000"/>
              </w:rPr>
            </w:pPr>
            <w:r w:rsidRPr="00AA499E">
              <w:rPr>
                <w:color w:val="000000"/>
              </w:rPr>
              <w:t>Konsolidering blok 2</w:t>
            </w:r>
          </w:p>
          <w:p w14:paraId="6EA419C9" w14:textId="77777777" w:rsidR="00F644B8" w:rsidRPr="00AA499E" w:rsidRDefault="00F644B8" w:rsidP="00D14BAB">
            <w:pPr>
              <w:pStyle w:val="Endnotentext"/>
              <w:rPr>
                <w:color w:val="000000"/>
              </w:rPr>
            </w:pPr>
            <w:r w:rsidRPr="00AA499E">
              <w:rPr>
                <w:color w:val="000000"/>
              </w:rPr>
              <w:t>(3 uger)</w:t>
            </w:r>
          </w:p>
        </w:tc>
        <w:tc>
          <w:tcPr>
            <w:tcW w:w="6924" w:type="dxa"/>
            <w:shd w:val="clear" w:color="auto" w:fill="auto"/>
          </w:tcPr>
          <w:p w14:paraId="287E18F3" w14:textId="77777777" w:rsidR="00F644B8" w:rsidRPr="00AA499E" w:rsidRDefault="00F644B8" w:rsidP="00D14BAB">
            <w:pPr>
              <w:pStyle w:val="Endnotentext"/>
              <w:rPr>
                <w:color w:val="000000"/>
              </w:rPr>
            </w:pPr>
            <w:r w:rsidRPr="00AA499E">
              <w:rPr>
                <w:color w:val="000000"/>
              </w:rPr>
              <w:t>Methotrexat (5 g/m</w:t>
            </w:r>
            <w:r w:rsidRPr="00AA499E">
              <w:rPr>
                <w:color w:val="000000"/>
                <w:vertAlign w:val="superscript"/>
              </w:rPr>
              <w:t>2</w:t>
            </w:r>
            <w:r w:rsidRPr="00AA499E">
              <w:rPr>
                <w:color w:val="000000"/>
              </w:rPr>
              <w:t xml:space="preserve"> over 24 timer, i.v.): dag 1</w:t>
            </w:r>
          </w:p>
          <w:p w14:paraId="088FEF88" w14:textId="77777777" w:rsidR="00F644B8" w:rsidRPr="00AA499E" w:rsidRDefault="00F644B8" w:rsidP="00D14BAB">
            <w:pPr>
              <w:pStyle w:val="Endnotentext"/>
              <w:rPr>
                <w:color w:val="000000"/>
              </w:rPr>
            </w:pPr>
            <w:r w:rsidRPr="00AA499E">
              <w:rPr>
                <w:color w:val="000000"/>
              </w:rPr>
              <w:t>Leucovorin (75 mg/m</w:t>
            </w:r>
            <w:r w:rsidRPr="00AA499E">
              <w:rPr>
                <w:color w:val="000000"/>
                <w:vertAlign w:val="superscript"/>
              </w:rPr>
              <w:t>2</w:t>
            </w:r>
            <w:r w:rsidRPr="00AA499E">
              <w:rPr>
                <w:color w:val="000000"/>
              </w:rPr>
              <w:t xml:space="preserve"> i time 36, i.v.; 15 mg/m</w:t>
            </w:r>
            <w:r w:rsidRPr="00AA499E">
              <w:rPr>
                <w:color w:val="000000"/>
                <w:vertAlign w:val="superscript"/>
              </w:rPr>
              <w:t>2</w:t>
            </w:r>
            <w:r w:rsidRPr="00AA499E">
              <w:rPr>
                <w:color w:val="000000"/>
              </w:rPr>
              <w:t xml:space="preserve"> i.v. eller p.o. q6h x </w:t>
            </w:r>
            <w:r w:rsidRPr="00AA499E">
              <w:rPr>
                <w:color w:val="000000"/>
              </w:rPr>
              <w:lastRenderedPageBreak/>
              <w:t>6 doser)iii: dag 2 og 3</w:t>
            </w:r>
          </w:p>
          <w:p w14:paraId="14E4F24D" w14:textId="77777777" w:rsidR="00F644B8" w:rsidRPr="00AA499E" w:rsidRDefault="00F644B8" w:rsidP="00D14BAB">
            <w:pPr>
              <w:pStyle w:val="Endnotentext"/>
              <w:rPr>
                <w:color w:val="000000"/>
              </w:rPr>
            </w:pPr>
            <w:r w:rsidRPr="00AA499E">
              <w:rPr>
                <w:color w:val="000000"/>
              </w:rPr>
              <w:t>Tredobbelt i.t.-terapi (aldersjusteret): dag 1</w:t>
            </w:r>
          </w:p>
          <w:p w14:paraId="2E3028CC" w14:textId="77777777" w:rsidR="00F644B8" w:rsidRPr="00AA499E" w:rsidRDefault="00F644B8" w:rsidP="00D14BAB">
            <w:pPr>
              <w:pStyle w:val="Endnotentext"/>
              <w:rPr>
                <w:color w:val="000000"/>
              </w:rPr>
            </w:pPr>
            <w:r w:rsidRPr="00AA499E">
              <w:rPr>
                <w:color w:val="000000"/>
              </w:rPr>
              <w:t>ARA-C (3 g/m</w:t>
            </w:r>
            <w:r w:rsidRPr="00AA499E">
              <w:rPr>
                <w:color w:val="000000"/>
                <w:vertAlign w:val="superscript"/>
              </w:rPr>
              <w:t>2</w:t>
            </w:r>
            <w:r w:rsidRPr="00AA499E">
              <w:rPr>
                <w:color w:val="000000"/>
              </w:rPr>
              <w:t>/dosis q 12 h x 4, i.v.): dag 2 og 3</w:t>
            </w:r>
          </w:p>
          <w:p w14:paraId="0899F620" w14:textId="77777777" w:rsidR="00F644B8" w:rsidRPr="00AA499E" w:rsidRDefault="00F644B8" w:rsidP="00D14BAB">
            <w:pPr>
              <w:pStyle w:val="Endnotentext"/>
              <w:rPr>
                <w:color w:val="000000"/>
              </w:rPr>
            </w:pPr>
            <w:r w:rsidRPr="00AA499E">
              <w:rPr>
                <w:color w:val="000000"/>
              </w:rPr>
              <w:t>G-CSF (5 μg/kg, s.c.): dag 4-13, eller indtil ANC &gt;1500 post nadir</w:t>
            </w:r>
          </w:p>
        </w:tc>
      </w:tr>
      <w:tr w:rsidR="00F644B8" w:rsidRPr="00AA499E" w14:paraId="3AFC7B7D" w14:textId="77777777" w:rsidTr="00D14BAB">
        <w:tc>
          <w:tcPr>
            <w:tcW w:w="2357" w:type="dxa"/>
            <w:shd w:val="clear" w:color="auto" w:fill="auto"/>
          </w:tcPr>
          <w:p w14:paraId="7F167C7E" w14:textId="77777777" w:rsidR="00F644B8" w:rsidRPr="00AA499E" w:rsidRDefault="00F644B8" w:rsidP="00D14BAB">
            <w:pPr>
              <w:pStyle w:val="Endnotentext"/>
              <w:rPr>
                <w:color w:val="000000"/>
              </w:rPr>
            </w:pPr>
            <w:r w:rsidRPr="00AA499E">
              <w:rPr>
                <w:color w:val="000000"/>
              </w:rPr>
              <w:lastRenderedPageBreak/>
              <w:t>Reinduktion blok 1</w:t>
            </w:r>
          </w:p>
          <w:p w14:paraId="1CB2ED3B" w14:textId="77777777" w:rsidR="00F644B8" w:rsidRPr="00AA499E" w:rsidRDefault="00F644B8" w:rsidP="00D14BAB">
            <w:pPr>
              <w:pStyle w:val="Endnotentext"/>
              <w:rPr>
                <w:color w:val="000000"/>
              </w:rPr>
            </w:pPr>
            <w:r w:rsidRPr="00AA499E">
              <w:rPr>
                <w:color w:val="000000"/>
              </w:rPr>
              <w:t>(3 uger)</w:t>
            </w:r>
          </w:p>
        </w:tc>
        <w:tc>
          <w:tcPr>
            <w:tcW w:w="6924" w:type="dxa"/>
            <w:shd w:val="clear" w:color="auto" w:fill="auto"/>
          </w:tcPr>
          <w:p w14:paraId="1743A2DD" w14:textId="77777777" w:rsidR="00F644B8" w:rsidRPr="00AA499E" w:rsidRDefault="00F644B8" w:rsidP="00D14BAB">
            <w:pPr>
              <w:pStyle w:val="Endnotentext"/>
              <w:rPr>
                <w:color w:val="000000"/>
              </w:rPr>
            </w:pPr>
            <w:r w:rsidRPr="00AA499E">
              <w:rPr>
                <w:color w:val="000000"/>
              </w:rPr>
              <w:t>VCR (1,5 mg/m</w:t>
            </w:r>
            <w:r w:rsidRPr="00AA499E">
              <w:rPr>
                <w:color w:val="000000"/>
                <w:vertAlign w:val="superscript"/>
              </w:rPr>
              <w:t>2</w:t>
            </w:r>
            <w:r w:rsidRPr="00AA499E">
              <w:rPr>
                <w:color w:val="000000"/>
              </w:rPr>
              <w:t>/dag, i.v.): dag 1, 8, og 15</w:t>
            </w:r>
          </w:p>
          <w:p w14:paraId="18CBB521" w14:textId="77777777" w:rsidR="00F644B8" w:rsidRPr="00AA499E" w:rsidRDefault="00F644B8" w:rsidP="00D14BAB">
            <w:pPr>
              <w:pStyle w:val="Endnotentext"/>
              <w:rPr>
                <w:color w:val="000000"/>
              </w:rPr>
            </w:pPr>
            <w:r w:rsidRPr="00AA499E">
              <w:rPr>
                <w:color w:val="000000"/>
              </w:rPr>
              <w:t>DAUN (45 mg/m</w:t>
            </w:r>
            <w:r w:rsidRPr="00AA499E">
              <w:rPr>
                <w:color w:val="000000"/>
                <w:vertAlign w:val="superscript"/>
              </w:rPr>
              <w:t>2</w:t>
            </w:r>
            <w:r w:rsidRPr="00AA499E">
              <w:rPr>
                <w:color w:val="000000"/>
              </w:rPr>
              <w:t>/dag bolus, i.v.): dag 1 og 2</w:t>
            </w:r>
          </w:p>
          <w:p w14:paraId="59F07958" w14:textId="77777777" w:rsidR="00F644B8" w:rsidRPr="00AA499E" w:rsidRDefault="00F644B8" w:rsidP="00D14BAB">
            <w:pPr>
              <w:pStyle w:val="Endnotentext"/>
              <w:rPr>
                <w:color w:val="000000"/>
              </w:rPr>
            </w:pPr>
            <w:r w:rsidRPr="00AA499E">
              <w:rPr>
                <w:color w:val="000000"/>
              </w:rPr>
              <w:t>CPM (250 mg/m</w:t>
            </w:r>
            <w:r w:rsidRPr="00AA499E">
              <w:rPr>
                <w:color w:val="000000"/>
                <w:vertAlign w:val="superscript"/>
              </w:rPr>
              <w:t>2</w:t>
            </w:r>
            <w:r w:rsidRPr="00AA499E">
              <w:rPr>
                <w:color w:val="000000"/>
              </w:rPr>
              <w:t>/dosis q12h x 4 doser, i.v.): dag 3 og 4</w:t>
            </w:r>
          </w:p>
          <w:p w14:paraId="796C144F" w14:textId="77777777" w:rsidR="00F644B8" w:rsidRPr="00AA499E" w:rsidRDefault="00F644B8" w:rsidP="00D14BAB">
            <w:pPr>
              <w:pStyle w:val="Endnotentext"/>
              <w:rPr>
                <w:color w:val="000000"/>
              </w:rPr>
            </w:pPr>
            <w:r w:rsidRPr="00AA499E">
              <w:rPr>
                <w:color w:val="000000"/>
              </w:rPr>
              <w:t>PEG-ASP (2.500 IE/m</w:t>
            </w:r>
            <w:r w:rsidRPr="00AA499E">
              <w:rPr>
                <w:color w:val="000000"/>
                <w:vertAlign w:val="superscript"/>
              </w:rPr>
              <w:t>2</w:t>
            </w:r>
            <w:r w:rsidRPr="00AA499E">
              <w:rPr>
                <w:color w:val="000000"/>
              </w:rPr>
              <w:t>, i.m.): dag 4</w:t>
            </w:r>
          </w:p>
          <w:p w14:paraId="425417C1" w14:textId="77777777" w:rsidR="00F644B8" w:rsidRPr="00AA499E" w:rsidRDefault="00F644B8" w:rsidP="00D14BAB">
            <w:pPr>
              <w:pStyle w:val="Endnotentext"/>
              <w:rPr>
                <w:color w:val="000000"/>
              </w:rPr>
            </w:pPr>
            <w:r w:rsidRPr="00AA499E">
              <w:rPr>
                <w:color w:val="000000"/>
              </w:rPr>
              <w:t>G-CSF (5 μg/kg, s.c.): dag 5</w:t>
            </w:r>
            <w:r w:rsidRPr="00AA499E">
              <w:rPr>
                <w:color w:val="000000"/>
              </w:rPr>
              <w:noBreakHyphen/>
              <w:t>14, eller indtil ANC &gt;1500 post nadir</w:t>
            </w:r>
          </w:p>
          <w:p w14:paraId="2F202719" w14:textId="77777777" w:rsidR="00F644B8" w:rsidRPr="00AA499E" w:rsidRDefault="00F644B8" w:rsidP="00D14BAB">
            <w:pPr>
              <w:pStyle w:val="Endnotentext"/>
              <w:rPr>
                <w:color w:val="000000"/>
              </w:rPr>
            </w:pPr>
            <w:r w:rsidRPr="00AA499E">
              <w:rPr>
                <w:color w:val="000000"/>
              </w:rPr>
              <w:t>Tredobbelt i.t.-terapi (aldersjusteret): dag 1 og 15</w:t>
            </w:r>
          </w:p>
          <w:p w14:paraId="7F88B7B4" w14:textId="77777777" w:rsidR="00F644B8" w:rsidRPr="00AA499E" w:rsidRDefault="00F644B8" w:rsidP="00D14BAB">
            <w:pPr>
              <w:pStyle w:val="Endnotentext"/>
              <w:rPr>
                <w:color w:val="000000"/>
              </w:rPr>
            </w:pPr>
            <w:r w:rsidRPr="00AA499E">
              <w:rPr>
                <w:color w:val="000000"/>
              </w:rPr>
              <w:t>DEX (6 mg/m</w:t>
            </w:r>
            <w:r w:rsidRPr="00AA499E">
              <w:rPr>
                <w:color w:val="000000"/>
                <w:vertAlign w:val="superscript"/>
              </w:rPr>
              <w:t>2</w:t>
            </w:r>
            <w:r w:rsidRPr="00AA499E">
              <w:rPr>
                <w:color w:val="000000"/>
              </w:rPr>
              <w:t>/dag,p.o.): dag 1</w:t>
            </w:r>
            <w:r w:rsidRPr="00AA499E">
              <w:rPr>
                <w:color w:val="000000"/>
              </w:rPr>
              <w:noBreakHyphen/>
              <w:t>7 og 15</w:t>
            </w:r>
            <w:r w:rsidRPr="00AA499E">
              <w:rPr>
                <w:color w:val="000000"/>
              </w:rPr>
              <w:noBreakHyphen/>
              <w:t>21</w:t>
            </w:r>
          </w:p>
        </w:tc>
      </w:tr>
      <w:tr w:rsidR="00F644B8" w:rsidRPr="00AA499E" w14:paraId="72372B52" w14:textId="77777777" w:rsidTr="00D14BAB">
        <w:tc>
          <w:tcPr>
            <w:tcW w:w="2357" w:type="dxa"/>
            <w:shd w:val="clear" w:color="auto" w:fill="auto"/>
          </w:tcPr>
          <w:p w14:paraId="031A3112" w14:textId="77777777" w:rsidR="00F644B8" w:rsidRPr="00AA499E" w:rsidRDefault="00F644B8" w:rsidP="00D14BAB">
            <w:pPr>
              <w:pStyle w:val="Endnotentext"/>
              <w:rPr>
                <w:color w:val="000000"/>
              </w:rPr>
            </w:pPr>
            <w:r w:rsidRPr="00AA499E">
              <w:rPr>
                <w:color w:val="000000"/>
              </w:rPr>
              <w:t>Intensivering blok 1</w:t>
            </w:r>
          </w:p>
          <w:p w14:paraId="1ED93E08" w14:textId="77777777" w:rsidR="00F644B8" w:rsidRPr="00AA499E" w:rsidRDefault="00F644B8" w:rsidP="00D14BAB">
            <w:pPr>
              <w:pStyle w:val="Endnotentext"/>
              <w:rPr>
                <w:color w:val="000000"/>
              </w:rPr>
            </w:pPr>
            <w:r w:rsidRPr="00AA499E">
              <w:rPr>
                <w:color w:val="000000"/>
              </w:rPr>
              <w:t>(9 uger)</w:t>
            </w:r>
          </w:p>
        </w:tc>
        <w:tc>
          <w:tcPr>
            <w:tcW w:w="6924" w:type="dxa"/>
            <w:shd w:val="clear" w:color="auto" w:fill="auto"/>
          </w:tcPr>
          <w:p w14:paraId="0F2D7F1F" w14:textId="77777777" w:rsidR="00F644B8" w:rsidRPr="00AA499E" w:rsidRDefault="00F644B8" w:rsidP="00D14BAB">
            <w:pPr>
              <w:pStyle w:val="Endnotentext"/>
              <w:rPr>
                <w:color w:val="000000"/>
              </w:rPr>
            </w:pPr>
            <w:r w:rsidRPr="00AA499E">
              <w:rPr>
                <w:color w:val="000000"/>
              </w:rPr>
              <w:t>Methotrexat (5 g/m</w:t>
            </w:r>
            <w:r w:rsidRPr="00AA499E">
              <w:rPr>
                <w:color w:val="000000"/>
                <w:vertAlign w:val="superscript"/>
              </w:rPr>
              <w:t>2</w:t>
            </w:r>
            <w:r w:rsidRPr="00AA499E">
              <w:rPr>
                <w:color w:val="000000"/>
              </w:rPr>
              <w:t xml:space="preserve"> over 24 timer, i.v.): dag 1 og 15</w:t>
            </w:r>
          </w:p>
          <w:p w14:paraId="5F7273F1" w14:textId="77777777" w:rsidR="00F644B8" w:rsidRPr="00AA499E" w:rsidRDefault="00F644B8" w:rsidP="00D14BAB">
            <w:pPr>
              <w:pStyle w:val="Endnotentext"/>
              <w:rPr>
                <w:color w:val="000000"/>
              </w:rPr>
            </w:pPr>
            <w:r w:rsidRPr="00AA499E">
              <w:rPr>
                <w:color w:val="000000"/>
              </w:rPr>
              <w:t>Leucovorin (75 mg/m</w:t>
            </w:r>
            <w:r w:rsidRPr="00AA499E">
              <w:rPr>
                <w:color w:val="000000"/>
                <w:vertAlign w:val="superscript"/>
              </w:rPr>
              <w:t>2</w:t>
            </w:r>
            <w:r w:rsidRPr="00AA499E">
              <w:rPr>
                <w:color w:val="000000"/>
              </w:rPr>
              <w:t xml:space="preserve"> i time 36, i.v.; 15 mg/m</w:t>
            </w:r>
            <w:r w:rsidRPr="00AA499E">
              <w:rPr>
                <w:color w:val="000000"/>
                <w:vertAlign w:val="superscript"/>
              </w:rPr>
              <w:t>2</w:t>
            </w:r>
            <w:r w:rsidRPr="00AA499E">
              <w:rPr>
                <w:color w:val="000000"/>
              </w:rPr>
              <w:t xml:space="preserve"> i.v. eller p.o. q6h x 6 doser)iii: dag 2, 3, 16, og 17</w:t>
            </w:r>
          </w:p>
          <w:p w14:paraId="44D6E0C8" w14:textId="77777777" w:rsidR="00F644B8" w:rsidRPr="00AA499E" w:rsidRDefault="00F644B8" w:rsidP="00D14BAB">
            <w:pPr>
              <w:pStyle w:val="Endnotentext"/>
              <w:rPr>
                <w:color w:val="000000"/>
              </w:rPr>
            </w:pPr>
            <w:r w:rsidRPr="00AA499E">
              <w:rPr>
                <w:color w:val="000000"/>
              </w:rPr>
              <w:t>Tredobbelt i.t.-terapi (aldersjusteret): dag 1 og 22</w:t>
            </w:r>
          </w:p>
          <w:p w14:paraId="027A38A5" w14:textId="77777777" w:rsidR="00F644B8" w:rsidRPr="00AA499E" w:rsidRDefault="00F644B8" w:rsidP="00D14BAB">
            <w:pPr>
              <w:pStyle w:val="Endnotentext"/>
              <w:rPr>
                <w:color w:val="000000"/>
              </w:rPr>
            </w:pPr>
            <w:r w:rsidRPr="00AA499E">
              <w:rPr>
                <w:color w:val="000000"/>
              </w:rPr>
              <w:t>VP-16 (100 mg/m</w:t>
            </w:r>
            <w:r w:rsidRPr="00AA499E">
              <w:rPr>
                <w:color w:val="000000"/>
                <w:vertAlign w:val="superscript"/>
              </w:rPr>
              <w:t>2</w:t>
            </w:r>
            <w:r w:rsidRPr="00AA499E">
              <w:rPr>
                <w:color w:val="000000"/>
              </w:rPr>
              <w:t>/dag, i.v.): dag 22</w:t>
            </w:r>
            <w:r w:rsidRPr="00AA499E">
              <w:rPr>
                <w:color w:val="000000"/>
              </w:rPr>
              <w:noBreakHyphen/>
              <w:t>26</w:t>
            </w:r>
          </w:p>
          <w:p w14:paraId="25DBB935" w14:textId="77777777" w:rsidR="00F644B8" w:rsidRPr="00AA499E" w:rsidRDefault="00F644B8" w:rsidP="00D14BAB">
            <w:pPr>
              <w:pStyle w:val="Endnotentext"/>
              <w:rPr>
                <w:color w:val="000000"/>
              </w:rPr>
            </w:pPr>
            <w:r w:rsidRPr="00AA499E">
              <w:rPr>
                <w:color w:val="000000"/>
              </w:rPr>
              <w:t>CPM (300 mg/m</w:t>
            </w:r>
            <w:r w:rsidRPr="00AA499E">
              <w:rPr>
                <w:color w:val="000000"/>
                <w:vertAlign w:val="superscript"/>
              </w:rPr>
              <w:t>2</w:t>
            </w:r>
            <w:r w:rsidRPr="00AA499E">
              <w:rPr>
                <w:color w:val="000000"/>
              </w:rPr>
              <w:t>/dag, i.v.): dag 22</w:t>
            </w:r>
            <w:r w:rsidRPr="00AA499E">
              <w:rPr>
                <w:color w:val="000000"/>
              </w:rPr>
              <w:noBreakHyphen/>
              <w:t>26</w:t>
            </w:r>
          </w:p>
          <w:p w14:paraId="795CE09F" w14:textId="77777777" w:rsidR="00F644B8" w:rsidRPr="00AA499E" w:rsidRDefault="00F644B8" w:rsidP="00D14BAB">
            <w:pPr>
              <w:pStyle w:val="Endnotentext"/>
              <w:rPr>
                <w:color w:val="000000"/>
              </w:rPr>
            </w:pPr>
            <w:r w:rsidRPr="00AA499E">
              <w:rPr>
                <w:color w:val="000000"/>
              </w:rPr>
              <w:t>MESNA (150 mg/m</w:t>
            </w:r>
            <w:r w:rsidRPr="00AA499E">
              <w:rPr>
                <w:color w:val="000000"/>
                <w:vertAlign w:val="superscript"/>
              </w:rPr>
              <w:t>2</w:t>
            </w:r>
            <w:r w:rsidRPr="00AA499E">
              <w:rPr>
                <w:color w:val="000000"/>
              </w:rPr>
              <w:t>/dag, i.v.): dag 22</w:t>
            </w:r>
            <w:r w:rsidRPr="00AA499E">
              <w:rPr>
                <w:color w:val="000000"/>
              </w:rPr>
              <w:noBreakHyphen/>
              <w:t>26</w:t>
            </w:r>
          </w:p>
          <w:p w14:paraId="7B2237B5" w14:textId="77777777" w:rsidR="00F644B8" w:rsidRPr="00AA499E" w:rsidRDefault="00F644B8" w:rsidP="00D14BAB">
            <w:pPr>
              <w:pStyle w:val="Endnotentext"/>
              <w:rPr>
                <w:color w:val="000000"/>
              </w:rPr>
            </w:pPr>
            <w:r w:rsidRPr="00AA499E">
              <w:rPr>
                <w:color w:val="000000"/>
              </w:rPr>
              <w:t>G-CSF (5 μg/kg, s.c.): dag 27-36, eller indtil ANC &gt;1500 post nadir</w:t>
            </w:r>
          </w:p>
          <w:p w14:paraId="6AC01602" w14:textId="77777777" w:rsidR="00F644B8" w:rsidRPr="008F3048" w:rsidRDefault="00F644B8" w:rsidP="00D14BAB">
            <w:pPr>
              <w:pStyle w:val="Endnotentext"/>
              <w:rPr>
                <w:color w:val="000000"/>
                <w:lang w:val="pt-PT"/>
              </w:rPr>
            </w:pPr>
            <w:r w:rsidRPr="008F3048">
              <w:rPr>
                <w:color w:val="000000"/>
                <w:lang w:val="pt-PT"/>
              </w:rPr>
              <w:t>ARA-C (3 g/m</w:t>
            </w:r>
            <w:r w:rsidRPr="008F3048">
              <w:rPr>
                <w:color w:val="000000"/>
                <w:vertAlign w:val="superscript"/>
                <w:lang w:val="pt-PT"/>
              </w:rPr>
              <w:t>2</w:t>
            </w:r>
            <w:r w:rsidRPr="008F3048">
              <w:rPr>
                <w:color w:val="000000"/>
                <w:lang w:val="pt-PT"/>
              </w:rPr>
              <w:t>, q12h, i.v.): dag 43, 44</w:t>
            </w:r>
          </w:p>
          <w:p w14:paraId="66194349" w14:textId="77777777" w:rsidR="00F644B8" w:rsidRPr="008F3048" w:rsidRDefault="00F644B8" w:rsidP="00D14BAB">
            <w:pPr>
              <w:pStyle w:val="Endnotentext"/>
              <w:rPr>
                <w:color w:val="000000"/>
                <w:lang w:val="sv-SE"/>
              </w:rPr>
            </w:pPr>
            <w:r w:rsidRPr="008F3048">
              <w:rPr>
                <w:color w:val="000000"/>
                <w:lang w:val="sv-SE"/>
              </w:rPr>
              <w:t>L-ASP (6.000 IE/m</w:t>
            </w:r>
            <w:r w:rsidRPr="008F3048">
              <w:rPr>
                <w:color w:val="000000"/>
                <w:vertAlign w:val="superscript"/>
                <w:lang w:val="sv-SE"/>
              </w:rPr>
              <w:t>2</w:t>
            </w:r>
            <w:r w:rsidRPr="008F3048">
              <w:rPr>
                <w:color w:val="000000"/>
                <w:lang w:val="sv-SE"/>
              </w:rPr>
              <w:t>, i.m.): dag 44</w:t>
            </w:r>
          </w:p>
        </w:tc>
      </w:tr>
      <w:tr w:rsidR="00F644B8" w:rsidRPr="00AA499E" w14:paraId="1297510F" w14:textId="77777777" w:rsidTr="00D14BAB">
        <w:tc>
          <w:tcPr>
            <w:tcW w:w="2357" w:type="dxa"/>
            <w:shd w:val="clear" w:color="auto" w:fill="auto"/>
          </w:tcPr>
          <w:p w14:paraId="4985E6E5" w14:textId="77777777" w:rsidR="00F644B8" w:rsidRPr="00AA499E" w:rsidRDefault="00F644B8" w:rsidP="00D14BAB">
            <w:pPr>
              <w:pStyle w:val="Endnotentext"/>
              <w:rPr>
                <w:color w:val="000000"/>
              </w:rPr>
            </w:pPr>
            <w:r w:rsidRPr="00AA499E">
              <w:rPr>
                <w:color w:val="000000"/>
              </w:rPr>
              <w:t>Reinduktion blok 2</w:t>
            </w:r>
          </w:p>
          <w:p w14:paraId="30F7ADA4" w14:textId="77777777" w:rsidR="00F644B8" w:rsidRPr="00AA499E" w:rsidRDefault="00F644B8" w:rsidP="00D14BAB">
            <w:pPr>
              <w:pStyle w:val="Endnotentext"/>
              <w:rPr>
                <w:color w:val="000000"/>
              </w:rPr>
            </w:pPr>
            <w:r w:rsidRPr="00AA499E">
              <w:rPr>
                <w:color w:val="000000"/>
              </w:rPr>
              <w:t>(3 uger)</w:t>
            </w:r>
          </w:p>
        </w:tc>
        <w:tc>
          <w:tcPr>
            <w:tcW w:w="6924" w:type="dxa"/>
            <w:shd w:val="clear" w:color="auto" w:fill="auto"/>
          </w:tcPr>
          <w:p w14:paraId="28CD4D3D" w14:textId="77777777" w:rsidR="00F644B8" w:rsidRPr="00AA499E" w:rsidRDefault="00F644B8" w:rsidP="00D14BAB">
            <w:pPr>
              <w:pStyle w:val="Endnotentext"/>
              <w:rPr>
                <w:color w:val="000000"/>
              </w:rPr>
            </w:pPr>
            <w:r w:rsidRPr="00AA499E">
              <w:rPr>
                <w:color w:val="000000"/>
              </w:rPr>
              <w:t>VCR (1,5 mg/m</w:t>
            </w:r>
            <w:r w:rsidRPr="00AA499E">
              <w:rPr>
                <w:color w:val="000000"/>
                <w:vertAlign w:val="superscript"/>
              </w:rPr>
              <w:t>2</w:t>
            </w:r>
            <w:r w:rsidRPr="00AA499E">
              <w:rPr>
                <w:color w:val="000000"/>
              </w:rPr>
              <w:t>/dag, i.v.): dag 1, 8 og 15</w:t>
            </w:r>
          </w:p>
          <w:p w14:paraId="6718DCC6" w14:textId="77777777" w:rsidR="00F644B8" w:rsidRPr="00AA499E" w:rsidRDefault="00F644B8" w:rsidP="00D14BAB">
            <w:pPr>
              <w:pStyle w:val="Endnotentext"/>
              <w:rPr>
                <w:color w:val="000000"/>
              </w:rPr>
            </w:pPr>
            <w:r w:rsidRPr="00AA499E">
              <w:rPr>
                <w:color w:val="000000"/>
              </w:rPr>
              <w:t>DAUN (45 mg/m</w:t>
            </w:r>
            <w:r w:rsidRPr="00AA499E">
              <w:rPr>
                <w:color w:val="000000"/>
                <w:vertAlign w:val="superscript"/>
              </w:rPr>
              <w:t>2</w:t>
            </w:r>
            <w:r w:rsidRPr="00AA499E">
              <w:rPr>
                <w:color w:val="000000"/>
              </w:rPr>
              <w:t>/dag bolus, i.v.): dag 1 og 2</w:t>
            </w:r>
          </w:p>
          <w:p w14:paraId="3FDA79F0" w14:textId="77777777" w:rsidR="00F644B8" w:rsidRPr="00AA499E" w:rsidRDefault="00F644B8" w:rsidP="00D14BAB">
            <w:pPr>
              <w:pStyle w:val="Endnotentext"/>
              <w:rPr>
                <w:color w:val="000000"/>
              </w:rPr>
            </w:pPr>
            <w:r w:rsidRPr="00AA499E">
              <w:rPr>
                <w:color w:val="000000"/>
              </w:rPr>
              <w:t>CPM (250 mg/m</w:t>
            </w:r>
            <w:r w:rsidRPr="00AA499E">
              <w:rPr>
                <w:color w:val="000000"/>
                <w:vertAlign w:val="superscript"/>
              </w:rPr>
              <w:t>2</w:t>
            </w:r>
            <w:r w:rsidRPr="00AA499E">
              <w:rPr>
                <w:color w:val="000000"/>
              </w:rPr>
              <w:t>/dosis q12h x 4 doser, i.v.): dag 3 og 4</w:t>
            </w:r>
          </w:p>
          <w:p w14:paraId="3B84B624" w14:textId="77777777" w:rsidR="00F644B8" w:rsidRPr="00AA499E" w:rsidRDefault="00F644B8" w:rsidP="00D14BAB">
            <w:pPr>
              <w:pStyle w:val="Endnotentext"/>
              <w:rPr>
                <w:color w:val="000000"/>
              </w:rPr>
            </w:pPr>
            <w:r w:rsidRPr="00AA499E">
              <w:rPr>
                <w:color w:val="000000"/>
              </w:rPr>
              <w:t>PEG-ASP (2.500 IE/m</w:t>
            </w:r>
            <w:r w:rsidRPr="00AA499E">
              <w:rPr>
                <w:color w:val="000000"/>
                <w:vertAlign w:val="superscript"/>
              </w:rPr>
              <w:t>2</w:t>
            </w:r>
            <w:r w:rsidRPr="00AA499E">
              <w:rPr>
                <w:color w:val="000000"/>
              </w:rPr>
              <w:t>, i.m.): dag 4</w:t>
            </w:r>
          </w:p>
          <w:p w14:paraId="6D4C67A1" w14:textId="77777777" w:rsidR="00F644B8" w:rsidRPr="00AA499E" w:rsidRDefault="000E26B2" w:rsidP="00D14BAB">
            <w:pPr>
              <w:pStyle w:val="Endnotentext"/>
              <w:rPr>
                <w:color w:val="000000"/>
              </w:rPr>
            </w:pPr>
            <w:r w:rsidRPr="00AA499E">
              <w:rPr>
                <w:color w:val="000000"/>
              </w:rPr>
              <w:t>G-CSF (5 μg/kg, s.c.): dag 5</w:t>
            </w:r>
            <w:r w:rsidRPr="00AA499E">
              <w:rPr>
                <w:color w:val="000000"/>
              </w:rPr>
              <w:noBreakHyphen/>
            </w:r>
            <w:r w:rsidR="00F644B8" w:rsidRPr="00AA499E">
              <w:rPr>
                <w:color w:val="000000"/>
              </w:rPr>
              <w:t>14, eller indtil ANC &gt;1500 post nadir</w:t>
            </w:r>
          </w:p>
          <w:p w14:paraId="2730828D" w14:textId="77777777" w:rsidR="00F644B8" w:rsidRPr="00AA499E" w:rsidRDefault="00F644B8" w:rsidP="00D14BAB">
            <w:pPr>
              <w:pStyle w:val="Endnotentext"/>
              <w:rPr>
                <w:color w:val="000000"/>
              </w:rPr>
            </w:pPr>
            <w:r w:rsidRPr="00AA499E">
              <w:rPr>
                <w:color w:val="000000"/>
              </w:rPr>
              <w:t>Tredobbelt i.t.-terapi (aldersjusteret): dag 1 og 15</w:t>
            </w:r>
          </w:p>
          <w:p w14:paraId="0B0D26D4" w14:textId="77777777" w:rsidR="00F644B8" w:rsidRPr="00AA499E" w:rsidRDefault="00F644B8" w:rsidP="00D14BAB">
            <w:pPr>
              <w:pStyle w:val="Endnotentext"/>
              <w:rPr>
                <w:color w:val="000000"/>
              </w:rPr>
            </w:pPr>
            <w:r w:rsidRPr="00AA499E">
              <w:rPr>
                <w:color w:val="000000"/>
              </w:rPr>
              <w:t>DEX (6 mg/m</w:t>
            </w:r>
            <w:r w:rsidRPr="00AA499E">
              <w:rPr>
                <w:color w:val="000000"/>
                <w:vertAlign w:val="superscript"/>
              </w:rPr>
              <w:t>2</w:t>
            </w:r>
            <w:r w:rsidRPr="00AA499E">
              <w:rPr>
                <w:color w:val="000000"/>
              </w:rPr>
              <w:t>/dag, p.o.): dag 1</w:t>
            </w:r>
            <w:r w:rsidRPr="00AA499E">
              <w:rPr>
                <w:color w:val="000000"/>
              </w:rPr>
              <w:noBreakHyphen/>
              <w:t>7 og 15</w:t>
            </w:r>
            <w:r w:rsidRPr="00AA499E">
              <w:rPr>
                <w:color w:val="000000"/>
              </w:rPr>
              <w:noBreakHyphen/>
              <w:t>21</w:t>
            </w:r>
          </w:p>
        </w:tc>
      </w:tr>
      <w:tr w:rsidR="00F644B8" w:rsidRPr="00AA499E" w14:paraId="23F63408" w14:textId="77777777" w:rsidTr="00D14BAB">
        <w:tc>
          <w:tcPr>
            <w:tcW w:w="2357" w:type="dxa"/>
            <w:shd w:val="clear" w:color="auto" w:fill="auto"/>
          </w:tcPr>
          <w:p w14:paraId="520D6F36" w14:textId="77777777" w:rsidR="00F644B8" w:rsidRPr="00AA499E" w:rsidRDefault="00F644B8" w:rsidP="00D14BAB">
            <w:pPr>
              <w:pStyle w:val="Endnotentext"/>
              <w:rPr>
                <w:color w:val="000000"/>
              </w:rPr>
            </w:pPr>
            <w:r w:rsidRPr="00AA499E">
              <w:rPr>
                <w:color w:val="000000"/>
              </w:rPr>
              <w:t>Intensivering blok 2</w:t>
            </w:r>
          </w:p>
          <w:p w14:paraId="68703E63" w14:textId="77777777" w:rsidR="00F644B8" w:rsidRPr="00AA499E" w:rsidRDefault="00F644B8" w:rsidP="00D14BAB">
            <w:pPr>
              <w:pStyle w:val="Endnotentext"/>
              <w:rPr>
                <w:color w:val="000000"/>
              </w:rPr>
            </w:pPr>
            <w:r w:rsidRPr="00AA499E">
              <w:rPr>
                <w:color w:val="000000"/>
              </w:rPr>
              <w:t>(9 uger)</w:t>
            </w:r>
          </w:p>
        </w:tc>
        <w:tc>
          <w:tcPr>
            <w:tcW w:w="6924" w:type="dxa"/>
            <w:shd w:val="clear" w:color="auto" w:fill="auto"/>
          </w:tcPr>
          <w:p w14:paraId="351638A7" w14:textId="77777777" w:rsidR="00F644B8" w:rsidRPr="00AA499E" w:rsidRDefault="00F644B8" w:rsidP="00D14BAB">
            <w:pPr>
              <w:pStyle w:val="Endnotentext"/>
              <w:rPr>
                <w:color w:val="000000"/>
              </w:rPr>
            </w:pPr>
            <w:r w:rsidRPr="00AA499E">
              <w:rPr>
                <w:color w:val="000000"/>
              </w:rPr>
              <w:t>Methotrexat (5 g/m</w:t>
            </w:r>
            <w:r w:rsidRPr="00AA499E">
              <w:rPr>
                <w:color w:val="000000"/>
                <w:vertAlign w:val="superscript"/>
              </w:rPr>
              <w:t>2</w:t>
            </w:r>
            <w:r w:rsidRPr="00AA499E">
              <w:rPr>
                <w:color w:val="000000"/>
              </w:rPr>
              <w:t xml:space="preserve"> over 24 timer, i.v.): dag 1 og 15</w:t>
            </w:r>
          </w:p>
          <w:p w14:paraId="30882C98" w14:textId="77777777" w:rsidR="00F644B8" w:rsidRPr="00AA499E" w:rsidRDefault="00F644B8" w:rsidP="00D14BAB">
            <w:pPr>
              <w:pStyle w:val="Endnotentext"/>
              <w:rPr>
                <w:color w:val="000000"/>
              </w:rPr>
            </w:pPr>
            <w:r w:rsidRPr="00AA499E">
              <w:rPr>
                <w:color w:val="000000"/>
              </w:rPr>
              <w:t>Leucovorin (75 mg/m</w:t>
            </w:r>
            <w:r w:rsidRPr="00AA499E">
              <w:rPr>
                <w:color w:val="000000"/>
                <w:vertAlign w:val="superscript"/>
              </w:rPr>
              <w:t>2</w:t>
            </w:r>
            <w:r w:rsidRPr="00AA499E">
              <w:rPr>
                <w:color w:val="000000"/>
              </w:rPr>
              <w:t xml:space="preserve"> i time 36, i.v.; 15 mg/m</w:t>
            </w:r>
            <w:r w:rsidRPr="00AA499E">
              <w:rPr>
                <w:color w:val="000000"/>
                <w:vertAlign w:val="superscript"/>
              </w:rPr>
              <w:t>2</w:t>
            </w:r>
            <w:r w:rsidRPr="00AA499E">
              <w:rPr>
                <w:color w:val="000000"/>
              </w:rPr>
              <w:t xml:space="preserve"> i.v. eller p.o. q6h x 6 doser)iii: dag 2, 3, 16, og 17</w:t>
            </w:r>
          </w:p>
          <w:p w14:paraId="73239975" w14:textId="77777777" w:rsidR="00F644B8" w:rsidRPr="00AA499E" w:rsidRDefault="00F644B8" w:rsidP="00D14BAB">
            <w:pPr>
              <w:pStyle w:val="Endnotentext"/>
              <w:rPr>
                <w:color w:val="000000"/>
              </w:rPr>
            </w:pPr>
            <w:r w:rsidRPr="00AA499E">
              <w:rPr>
                <w:color w:val="000000"/>
              </w:rPr>
              <w:t>Tredobbelt i.t.-terapi (aldersjusteret): dag 1 og 22</w:t>
            </w:r>
          </w:p>
          <w:p w14:paraId="37C32054" w14:textId="77777777" w:rsidR="00F644B8" w:rsidRPr="00AA499E" w:rsidRDefault="00F644B8" w:rsidP="00D14BAB">
            <w:pPr>
              <w:pStyle w:val="Endnotentext"/>
              <w:rPr>
                <w:color w:val="000000"/>
              </w:rPr>
            </w:pPr>
            <w:r w:rsidRPr="00AA499E">
              <w:rPr>
                <w:color w:val="000000"/>
              </w:rPr>
              <w:t>VP-16 (100 mg/m</w:t>
            </w:r>
            <w:r w:rsidRPr="00AA499E">
              <w:rPr>
                <w:color w:val="000000"/>
                <w:vertAlign w:val="superscript"/>
              </w:rPr>
              <w:t>2</w:t>
            </w:r>
            <w:r w:rsidRPr="00AA499E">
              <w:rPr>
                <w:color w:val="000000"/>
              </w:rPr>
              <w:t>/dag, i.v.): dag 22</w:t>
            </w:r>
            <w:r w:rsidRPr="00AA499E">
              <w:rPr>
                <w:color w:val="000000"/>
              </w:rPr>
              <w:noBreakHyphen/>
              <w:t>26</w:t>
            </w:r>
          </w:p>
          <w:p w14:paraId="53BC160C" w14:textId="77777777" w:rsidR="00F644B8" w:rsidRPr="00AA499E" w:rsidRDefault="00F644B8" w:rsidP="00D14BAB">
            <w:pPr>
              <w:pStyle w:val="Endnotentext"/>
              <w:rPr>
                <w:color w:val="000000"/>
              </w:rPr>
            </w:pPr>
            <w:r w:rsidRPr="00AA499E">
              <w:rPr>
                <w:color w:val="000000"/>
              </w:rPr>
              <w:t>CPM (300 mg/m</w:t>
            </w:r>
            <w:r w:rsidRPr="00AA499E">
              <w:rPr>
                <w:color w:val="000000"/>
                <w:vertAlign w:val="superscript"/>
              </w:rPr>
              <w:t>2</w:t>
            </w:r>
            <w:r w:rsidRPr="00AA499E">
              <w:rPr>
                <w:color w:val="000000"/>
              </w:rPr>
              <w:t>/dag, i.v.): dag 22</w:t>
            </w:r>
            <w:r w:rsidRPr="00AA499E">
              <w:rPr>
                <w:color w:val="000000"/>
              </w:rPr>
              <w:noBreakHyphen/>
              <w:t>26</w:t>
            </w:r>
          </w:p>
          <w:p w14:paraId="71A6BAE6" w14:textId="77777777" w:rsidR="00F644B8" w:rsidRPr="00AA499E" w:rsidRDefault="00F644B8" w:rsidP="00D14BAB">
            <w:pPr>
              <w:pStyle w:val="Endnotentext"/>
              <w:rPr>
                <w:color w:val="000000"/>
              </w:rPr>
            </w:pPr>
            <w:r w:rsidRPr="00AA499E">
              <w:rPr>
                <w:color w:val="000000"/>
              </w:rPr>
              <w:t>MESNA (150 mg/m</w:t>
            </w:r>
            <w:r w:rsidRPr="00AA499E">
              <w:rPr>
                <w:color w:val="000000"/>
                <w:vertAlign w:val="superscript"/>
              </w:rPr>
              <w:t>2</w:t>
            </w:r>
            <w:r w:rsidRPr="00AA499E">
              <w:rPr>
                <w:color w:val="000000"/>
              </w:rPr>
              <w:t>/dag, i.v.): dag 22</w:t>
            </w:r>
            <w:r w:rsidRPr="00AA499E">
              <w:rPr>
                <w:color w:val="000000"/>
              </w:rPr>
              <w:noBreakHyphen/>
              <w:t>26</w:t>
            </w:r>
          </w:p>
          <w:p w14:paraId="245D0304" w14:textId="77777777" w:rsidR="00F644B8" w:rsidRPr="00AA499E" w:rsidRDefault="00F644B8" w:rsidP="00D14BAB">
            <w:pPr>
              <w:pStyle w:val="Endnotentext"/>
              <w:rPr>
                <w:color w:val="000000"/>
              </w:rPr>
            </w:pPr>
            <w:r w:rsidRPr="00AA499E">
              <w:rPr>
                <w:color w:val="000000"/>
              </w:rPr>
              <w:t>G-CSF (5 μg/kg, s.c.): dag 27</w:t>
            </w:r>
            <w:r w:rsidRPr="00AA499E">
              <w:rPr>
                <w:color w:val="000000"/>
              </w:rPr>
              <w:noBreakHyphen/>
              <w:t>36, eller indtil ANC &gt;1500 post nadir</w:t>
            </w:r>
          </w:p>
          <w:p w14:paraId="1F4974DD" w14:textId="77777777" w:rsidR="00F644B8" w:rsidRPr="008F3048" w:rsidRDefault="00F644B8" w:rsidP="00D14BAB">
            <w:pPr>
              <w:pStyle w:val="Endnotentext"/>
              <w:rPr>
                <w:color w:val="000000"/>
                <w:lang w:val="pt-PT"/>
              </w:rPr>
            </w:pPr>
            <w:r w:rsidRPr="008F3048">
              <w:rPr>
                <w:color w:val="000000"/>
                <w:lang w:val="pt-PT"/>
              </w:rPr>
              <w:t>ARA-C (3 g/m</w:t>
            </w:r>
            <w:r w:rsidRPr="008F3048">
              <w:rPr>
                <w:color w:val="000000"/>
                <w:vertAlign w:val="superscript"/>
                <w:lang w:val="pt-PT"/>
              </w:rPr>
              <w:t>2</w:t>
            </w:r>
            <w:r w:rsidRPr="008F3048">
              <w:rPr>
                <w:color w:val="000000"/>
                <w:lang w:val="pt-PT"/>
              </w:rPr>
              <w:t>, q12h, i.v.): dag 43, 44</w:t>
            </w:r>
          </w:p>
          <w:p w14:paraId="601515E7" w14:textId="77777777" w:rsidR="00F644B8" w:rsidRPr="008F3048" w:rsidRDefault="00F644B8" w:rsidP="00D14BAB">
            <w:pPr>
              <w:pStyle w:val="Endnotentext"/>
              <w:rPr>
                <w:color w:val="000000"/>
                <w:lang w:val="sv-SE"/>
              </w:rPr>
            </w:pPr>
            <w:r w:rsidRPr="008F3048">
              <w:rPr>
                <w:color w:val="000000"/>
                <w:lang w:val="sv-SE"/>
              </w:rPr>
              <w:t>L-ASP (6000 IE/m</w:t>
            </w:r>
            <w:r w:rsidRPr="008F3048">
              <w:rPr>
                <w:color w:val="000000"/>
                <w:vertAlign w:val="superscript"/>
                <w:lang w:val="sv-SE"/>
              </w:rPr>
              <w:t>2</w:t>
            </w:r>
            <w:r w:rsidRPr="008F3048">
              <w:rPr>
                <w:color w:val="000000"/>
                <w:lang w:val="sv-SE"/>
              </w:rPr>
              <w:t>,i.m.): dag 44</w:t>
            </w:r>
          </w:p>
        </w:tc>
      </w:tr>
      <w:tr w:rsidR="00F644B8" w:rsidRPr="00AA499E" w14:paraId="189F7EF2" w14:textId="77777777" w:rsidTr="00D14BAB">
        <w:tc>
          <w:tcPr>
            <w:tcW w:w="2357" w:type="dxa"/>
            <w:shd w:val="clear" w:color="auto" w:fill="auto"/>
          </w:tcPr>
          <w:p w14:paraId="3736ED13" w14:textId="77777777" w:rsidR="00F644B8" w:rsidRPr="00AA499E" w:rsidRDefault="00F644B8" w:rsidP="00D14BAB">
            <w:pPr>
              <w:pStyle w:val="Endnotentext"/>
              <w:rPr>
                <w:color w:val="000000"/>
              </w:rPr>
            </w:pPr>
            <w:r w:rsidRPr="00AA499E">
              <w:rPr>
                <w:color w:val="000000"/>
              </w:rPr>
              <w:t>Vedligeholdelse</w:t>
            </w:r>
          </w:p>
          <w:p w14:paraId="5131C765" w14:textId="77777777" w:rsidR="00F644B8" w:rsidRPr="00AA499E" w:rsidRDefault="00F644B8" w:rsidP="00D14BAB">
            <w:pPr>
              <w:pStyle w:val="Endnotentext"/>
              <w:rPr>
                <w:color w:val="000000"/>
              </w:rPr>
            </w:pPr>
            <w:r w:rsidRPr="00AA499E">
              <w:rPr>
                <w:color w:val="000000"/>
              </w:rPr>
              <w:t>(8-ugers cykler)</w:t>
            </w:r>
          </w:p>
          <w:p w14:paraId="7DBB5131" w14:textId="77777777" w:rsidR="00F644B8" w:rsidRPr="00AA499E" w:rsidRDefault="00F644B8" w:rsidP="00D14BAB">
            <w:pPr>
              <w:pStyle w:val="Endnotentext"/>
              <w:rPr>
                <w:color w:val="000000"/>
              </w:rPr>
            </w:pPr>
            <w:r w:rsidRPr="00AA499E">
              <w:rPr>
                <w:color w:val="000000"/>
              </w:rPr>
              <w:t>Cyklus 1–4</w:t>
            </w:r>
          </w:p>
        </w:tc>
        <w:tc>
          <w:tcPr>
            <w:tcW w:w="6924" w:type="dxa"/>
            <w:shd w:val="clear" w:color="auto" w:fill="auto"/>
          </w:tcPr>
          <w:p w14:paraId="1626CD66" w14:textId="77777777" w:rsidR="00F644B8" w:rsidRPr="00AA499E" w:rsidRDefault="00F644B8" w:rsidP="00D14BAB">
            <w:pPr>
              <w:pStyle w:val="Endnotentext"/>
              <w:rPr>
                <w:color w:val="000000"/>
              </w:rPr>
            </w:pPr>
            <w:r w:rsidRPr="00AA499E">
              <w:rPr>
                <w:color w:val="000000"/>
              </w:rPr>
              <w:t>Methotrexat (5 g/m</w:t>
            </w:r>
            <w:r w:rsidRPr="00AA499E">
              <w:rPr>
                <w:color w:val="000000"/>
                <w:vertAlign w:val="superscript"/>
              </w:rPr>
              <w:t>2</w:t>
            </w:r>
            <w:r w:rsidRPr="00AA499E">
              <w:rPr>
                <w:color w:val="000000"/>
              </w:rPr>
              <w:t xml:space="preserve"> over 24 timer, i.v.): dag 1</w:t>
            </w:r>
          </w:p>
          <w:p w14:paraId="69A27AA0" w14:textId="77777777" w:rsidR="00F644B8" w:rsidRPr="00AA499E" w:rsidRDefault="00F644B8" w:rsidP="00D14BAB">
            <w:pPr>
              <w:pStyle w:val="Endnotentext"/>
              <w:rPr>
                <w:color w:val="000000"/>
              </w:rPr>
            </w:pPr>
            <w:r w:rsidRPr="00AA499E">
              <w:rPr>
                <w:color w:val="000000"/>
              </w:rPr>
              <w:t>Leucovorin (75 mg/m</w:t>
            </w:r>
            <w:r w:rsidRPr="00AA499E">
              <w:rPr>
                <w:color w:val="000000"/>
                <w:vertAlign w:val="superscript"/>
              </w:rPr>
              <w:t>2</w:t>
            </w:r>
            <w:r w:rsidRPr="00AA499E">
              <w:rPr>
                <w:color w:val="000000"/>
              </w:rPr>
              <w:t xml:space="preserve"> i time 36, i.v.; 15 mg/m</w:t>
            </w:r>
            <w:r w:rsidRPr="00AA499E">
              <w:rPr>
                <w:color w:val="000000"/>
                <w:vertAlign w:val="superscript"/>
              </w:rPr>
              <w:t>2</w:t>
            </w:r>
            <w:r w:rsidRPr="00AA499E">
              <w:rPr>
                <w:color w:val="000000"/>
              </w:rPr>
              <w:t xml:space="preserve"> i.v. eller p.o. q6h x 6 doses)iii: dag 2 og 3</w:t>
            </w:r>
          </w:p>
          <w:p w14:paraId="19472B49" w14:textId="77777777" w:rsidR="00F644B8" w:rsidRPr="00AA499E" w:rsidRDefault="00F644B8" w:rsidP="00D14BAB">
            <w:pPr>
              <w:pStyle w:val="Endnotentext"/>
              <w:rPr>
                <w:color w:val="000000"/>
              </w:rPr>
            </w:pPr>
            <w:r w:rsidRPr="00AA499E">
              <w:rPr>
                <w:color w:val="000000"/>
              </w:rPr>
              <w:t>Tredobbelt i.t.-terapi (aldersjusteret): dag 1, 29</w:t>
            </w:r>
          </w:p>
          <w:p w14:paraId="5A545D38" w14:textId="77777777" w:rsidR="00F644B8" w:rsidRPr="00AA499E" w:rsidRDefault="00F644B8" w:rsidP="00D14BAB">
            <w:pPr>
              <w:pStyle w:val="Endnotentext"/>
              <w:rPr>
                <w:color w:val="000000"/>
              </w:rPr>
            </w:pPr>
            <w:r w:rsidRPr="00AA499E">
              <w:rPr>
                <w:color w:val="000000"/>
              </w:rPr>
              <w:t>VCR (1,5 mg/m</w:t>
            </w:r>
            <w:r w:rsidRPr="00AA499E">
              <w:rPr>
                <w:color w:val="000000"/>
                <w:vertAlign w:val="superscript"/>
              </w:rPr>
              <w:t>2</w:t>
            </w:r>
            <w:r w:rsidRPr="00AA499E">
              <w:rPr>
                <w:color w:val="000000"/>
              </w:rPr>
              <w:t>, i.v.): dag 1, 29</w:t>
            </w:r>
          </w:p>
          <w:p w14:paraId="7189150B" w14:textId="77777777" w:rsidR="00F644B8" w:rsidRPr="00AA499E" w:rsidRDefault="00F644B8" w:rsidP="00D14BAB">
            <w:pPr>
              <w:pStyle w:val="Endnotentext"/>
              <w:rPr>
                <w:color w:val="000000"/>
              </w:rPr>
            </w:pPr>
            <w:r w:rsidRPr="00AA499E">
              <w:rPr>
                <w:color w:val="000000"/>
              </w:rPr>
              <w:t>DEX (6 mg/m</w:t>
            </w:r>
            <w:r w:rsidRPr="00AA499E">
              <w:rPr>
                <w:color w:val="000000"/>
                <w:vertAlign w:val="superscript"/>
              </w:rPr>
              <w:t>2</w:t>
            </w:r>
            <w:r w:rsidRPr="00AA499E">
              <w:rPr>
                <w:color w:val="000000"/>
              </w:rPr>
              <w:t>/dag p.o.): dag 1</w:t>
            </w:r>
            <w:r w:rsidRPr="00AA499E">
              <w:rPr>
                <w:color w:val="000000"/>
              </w:rPr>
              <w:noBreakHyphen/>
              <w:t>5; 29</w:t>
            </w:r>
            <w:r w:rsidRPr="00AA499E">
              <w:rPr>
                <w:color w:val="000000"/>
              </w:rPr>
              <w:noBreakHyphen/>
              <w:t>33</w:t>
            </w:r>
          </w:p>
          <w:p w14:paraId="32F92FD2" w14:textId="77777777" w:rsidR="00F644B8" w:rsidRPr="00AA499E" w:rsidRDefault="00F644B8" w:rsidP="00D14BAB">
            <w:pPr>
              <w:pStyle w:val="Endnotentext"/>
              <w:rPr>
                <w:color w:val="000000"/>
              </w:rPr>
            </w:pPr>
            <w:r w:rsidRPr="00AA499E">
              <w:rPr>
                <w:color w:val="000000"/>
              </w:rPr>
              <w:t>6-MP (75 mg/m</w:t>
            </w:r>
            <w:r w:rsidRPr="00AA499E">
              <w:rPr>
                <w:color w:val="000000"/>
                <w:vertAlign w:val="superscript"/>
              </w:rPr>
              <w:t>2</w:t>
            </w:r>
            <w:r w:rsidR="00A82E2B" w:rsidRPr="00AA499E">
              <w:rPr>
                <w:color w:val="000000"/>
              </w:rPr>
              <w:t>/dag, p.o.): dag 8-28</w:t>
            </w:r>
          </w:p>
          <w:p w14:paraId="1CAC69A0" w14:textId="77777777" w:rsidR="00F644B8" w:rsidRPr="00AA499E" w:rsidRDefault="00F644B8" w:rsidP="00D14BAB">
            <w:pPr>
              <w:pStyle w:val="Endnotentext"/>
              <w:rPr>
                <w:color w:val="000000"/>
              </w:rPr>
            </w:pPr>
            <w:r w:rsidRPr="00AA499E">
              <w:rPr>
                <w:color w:val="000000"/>
              </w:rPr>
              <w:t>Methotrexat (20 mg/m</w:t>
            </w:r>
            <w:r w:rsidRPr="00AA499E">
              <w:rPr>
                <w:color w:val="000000"/>
                <w:vertAlign w:val="superscript"/>
              </w:rPr>
              <w:t>2</w:t>
            </w:r>
            <w:r w:rsidRPr="00AA499E">
              <w:rPr>
                <w:color w:val="000000"/>
              </w:rPr>
              <w:t>/uge, p.o.): dag 8, 15, 22</w:t>
            </w:r>
          </w:p>
          <w:p w14:paraId="1D5CECE7" w14:textId="77777777" w:rsidR="00F644B8" w:rsidRPr="00AA499E" w:rsidRDefault="00F644B8" w:rsidP="00D14BAB">
            <w:pPr>
              <w:pStyle w:val="Endnotentext"/>
              <w:rPr>
                <w:color w:val="000000"/>
              </w:rPr>
            </w:pPr>
            <w:r w:rsidRPr="00AA499E">
              <w:rPr>
                <w:color w:val="000000"/>
              </w:rPr>
              <w:t>VP-16 (100 mg/m</w:t>
            </w:r>
            <w:r w:rsidRPr="00AA499E">
              <w:rPr>
                <w:color w:val="000000"/>
                <w:vertAlign w:val="superscript"/>
              </w:rPr>
              <w:t>2</w:t>
            </w:r>
            <w:r w:rsidRPr="00AA499E">
              <w:rPr>
                <w:color w:val="000000"/>
              </w:rPr>
              <w:t>, i.v.): dag 29</w:t>
            </w:r>
            <w:r w:rsidRPr="00AA499E">
              <w:rPr>
                <w:color w:val="000000"/>
              </w:rPr>
              <w:noBreakHyphen/>
              <w:t>33</w:t>
            </w:r>
          </w:p>
          <w:p w14:paraId="10F9223A" w14:textId="77777777" w:rsidR="00F644B8" w:rsidRPr="00AA499E" w:rsidRDefault="00F644B8" w:rsidP="00D14BAB">
            <w:pPr>
              <w:pStyle w:val="Endnotentext"/>
              <w:rPr>
                <w:color w:val="000000"/>
              </w:rPr>
            </w:pPr>
            <w:r w:rsidRPr="00AA499E">
              <w:rPr>
                <w:color w:val="000000"/>
              </w:rPr>
              <w:t>CPM (300 mg/m</w:t>
            </w:r>
            <w:r w:rsidRPr="00AA499E">
              <w:rPr>
                <w:color w:val="000000"/>
                <w:vertAlign w:val="superscript"/>
              </w:rPr>
              <w:t>2</w:t>
            </w:r>
            <w:r w:rsidRPr="00AA499E">
              <w:rPr>
                <w:color w:val="000000"/>
              </w:rPr>
              <w:t>, i.v.): dag 29</w:t>
            </w:r>
            <w:r w:rsidRPr="00AA499E">
              <w:rPr>
                <w:color w:val="000000"/>
              </w:rPr>
              <w:noBreakHyphen/>
              <w:t>33</w:t>
            </w:r>
          </w:p>
          <w:p w14:paraId="40A2C969" w14:textId="77777777" w:rsidR="00F644B8" w:rsidRPr="00AA499E" w:rsidRDefault="00F644B8" w:rsidP="00D14BAB">
            <w:pPr>
              <w:pStyle w:val="Endnotentext"/>
              <w:rPr>
                <w:color w:val="000000"/>
              </w:rPr>
            </w:pPr>
            <w:r w:rsidRPr="00AA499E">
              <w:rPr>
                <w:color w:val="000000"/>
              </w:rPr>
              <w:t>MESNA i.v.: dag 29</w:t>
            </w:r>
            <w:r w:rsidRPr="00AA499E">
              <w:rPr>
                <w:color w:val="000000"/>
              </w:rPr>
              <w:noBreakHyphen/>
              <w:t>33</w:t>
            </w:r>
          </w:p>
          <w:p w14:paraId="40159FC7" w14:textId="77777777" w:rsidR="00F644B8" w:rsidRPr="00AA499E" w:rsidRDefault="00F644B8" w:rsidP="00D14BAB">
            <w:pPr>
              <w:pStyle w:val="Endnotentext"/>
              <w:rPr>
                <w:color w:val="000000"/>
              </w:rPr>
            </w:pPr>
            <w:r w:rsidRPr="00AA499E">
              <w:rPr>
                <w:color w:val="000000"/>
              </w:rPr>
              <w:t>G-CSF (5 μg/kg, s.c.): dag 34</w:t>
            </w:r>
            <w:r w:rsidRPr="00AA499E">
              <w:rPr>
                <w:color w:val="000000"/>
              </w:rPr>
              <w:noBreakHyphen/>
              <w:t>43</w:t>
            </w:r>
          </w:p>
        </w:tc>
      </w:tr>
      <w:tr w:rsidR="00F644B8" w:rsidRPr="00AA499E" w14:paraId="7FC2BC00" w14:textId="77777777" w:rsidTr="00D14BAB">
        <w:tc>
          <w:tcPr>
            <w:tcW w:w="2357" w:type="dxa"/>
            <w:shd w:val="clear" w:color="auto" w:fill="auto"/>
          </w:tcPr>
          <w:p w14:paraId="39D5C1BD" w14:textId="77777777" w:rsidR="00F644B8" w:rsidRPr="00AA499E" w:rsidRDefault="00F644B8" w:rsidP="00D14BAB">
            <w:pPr>
              <w:pStyle w:val="Endnotentext"/>
              <w:rPr>
                <w:color w:val="000000"/>
              </w:rPr>
            </w:pPr>
            <w:r w:rsidRPr="00AA499E">
              <w:rPr>
                <w:color w:val="000000"/>
              </w:rPr>
              <w:lastRenderedPageBreak/>
              <w:t>Vedligeholdelse</w:t>
            </w:r>
          </w:p>
          <w:p w14:paraId="58762F7F" w14:textId="77777777" w:rsidR="00F644B8" w:rsidRPr="00AA499E" w:rsidRDefault="00F644B8" w:rsidP="00D14BAB">
            <w:pPr>
              <w:pStyle w:val="Endnotentext"/>
              <w:rPr>
                <w:color w:val="000000"/>
              </w:rPr>
            </w:pPr>
            <w:r w:rsidRPr="00AA499E">
              <w:rPr>
                <w:color w:val="000000"/>
              </w:rPr>
              <w:t>(8-ugers cykler)</w:t>
            </w:r>
          </w:p>
          <w:p w14:paraId="4909120C" w14:textId="77777777" w:rsidR="00F644B8" w:rsidRPr="00AA499E" w:rsidRDefault="00F644B8" w:rsidP="00D14BAB">
            <w:pPr>
              <w:pStyle w:val="Endnotentext"/>
              <w:rPr>
                <w:color w:val="000000"/>
              </w:rPr>
            </w:pPr>
            <w:r w:rsidRPr="00AA499E">
              <w:rPr>
                <w:color w:val="000000"/>
              </w:rPr>
              <w:t>Cyklus 5</w:t>
            </w:r>
          </w:p>
        </w:tc>
        <w:tc>
          <w:tcPr>
            <w:tcW w:w="6924" w:type="dxa"/>
            <w:shd w:val="clear" w:color="auto" w:fill="auto"/>
          </w:tcPr>
          <w:p w14:paraId="7C063A4F" w14:textId="77777777" w:rsidR="00F644B8" w:rsidRPr="00AA499E" w:rsidRDefault="00F644B8" w:rsidP="00D14BAB">
            <w:pPr>
              <w:pStyle w:val="Endnotentext"/>
              <w:rPr>
                <w:color w:val="000000"/>
              </w:rPr>
            </w:pPr>
            <w:r w:rsidRPr="00AA499E">
              <w:rPr>
                <w:color w:val="000000"/>
              </w:rPr>
              <w:t>Kraniebestråling (kun blok 5)</w:t>
            </w:r>
          </w:p>
          <w:p w14:paraId="15F7F4BE" w14:textId="77777777" w:rsidR="00F644B8" w:rsidRPr="00AA499E" w:rsidRDefault="00F644B8" w:rsidP="00D14BAB">
            <w:pPr>
              <w:pStyle w:val="Endnotentext"/>
              <w:rPr>
                <w:color w:val="000000"/>
              </w:rPr>
            </w:pPr>
            <w:r w:rsidRPr="00AA499E">
              <w:rPr>
                <w:color w:val="000000"/>
              </w:rPr>
              <w:t>12 Gy i 8 fraktioner for alle patienter, som er CNS1 og CNS2 ved diagnosticering</w:t>
            </w:r>
          </w:p>
          <w:p w14:paraId="6474E33B" w14:textId="77777777" w:rsidR="00F644B8" w:rsidRPr="00AA499E" w:rsidRDefault="00F644B8" w:rsidP="00D14BAB">
            <w:pPr>
              <w:pStyle w:val="Endnotentext"/>
              <w:rPr>
                <w:color w:val="000000"/>
              </w:rPr>
            </w:pPr>
            <w:r w:rsidRPr="00AA499E">
              <w:rPr>
                <w:color w:val="000000"/>
              </w:rPr>
              <w:t>18 Gy i 10 fraktioner for patienter, som er CNS3 ved diagnosticering</w:t>
            </w:r>
          </w:p>
          <w:p w14:paraId="733E2FD6" w14:textId="77777777" w:rsidR="00F644B8" w:rsidRPr="00AA499E" w:rsidRDefault="00F644B8" w:rsidP="00D14BAB">
            <w:pPr>
              <w:pStyle w:val="Endnotentext"/>
              <w:rPr>
                <w:color w:val="000000"/>
              </w:rPr>
            </w:pPr>
            <w:r w:rsidRPr="00AA499E">
              <w:rPr>
                <w:color w:val="000000"/>
              </w:rPr>
              <w:t>VCR (1,5 mg/m</w:t>
            </w:r>
            <w:r w:rsidRPr="00AA499E">
              <w:rPr>
                <w:color w:val="000000"/>
                <w:vertAlign w:val="superscript"/>
              </w:rPr>
              <w:t>2</w:t>
            </w:r>
            <w:r w:rsidRPr="00AA499E">
              <w:rPr>
                <w:color w:val="000000"/>
              </w:rPr>
              <w:t>/dag, i.v.): dag 1, 29</w:t>
            </w:r>
          </w:p>
          <w:p w14:paraId="33BE2A0A" w14:textId="77777777" w:rsidR="00F644B8" w:rsidRPr="00AA499E" w:rsidRDefault="00F644B8" w:rsidP="00D14BAB">
            <w:pPr>
              <w:pStyle w:val="Endnotentext"/>
              <w:rPr>
                <w:color w:val="000000"/>
              </w:rPr>
            </w:pPr>
            <w:r w:rsidRPr="00AA499E">
              <w:rPr>
                <w:color w:val="000000"/>
              </w:rPr>
              <w:t>DEX (6 mg/m</w:t>
            </w:r>
            <w:r w:rsidRPr="00AA499E">
              <w:rPr>
                <w:color w:val="000000"/>
                <w:vertAlign w:val="superscript"/>
              </w:rPr>
              <w:t>2</w:t>
            </w:r>
            <w:r w:rsidRPr="00AA499E">
              <w:rPr>
                <w:color w:val="000000"/>
              </w:rPr>
              <w:t>/dag, p.o.): dag 1</w:t>
            </w:r>
            <w:r w:rsidRPr="00AA499E">
              <w:rPr>
                <w:color w:val="000000"/>
              </w:rPr>
              <w:noBreakHyphen/>
              <w:t>5; 29</w:t>
            </w:r>
            <w:r w:rsidRPr="00AA499E">
              <w:rPr>
                <w:color w:val="000000"/>
              </w:rPr>
              <w:noBreakHyphen/>
              <w:t>33</w:t>
            </w:r>
          </w:p>
          <w:p w14:paraId="215FA0DE" w14:textId="77777777" w:rsidR="00F644B8" w:rsidRPr="00AA499E" w:rsidRDefault="00F644B8" w:rsidP="00D14BAB">
            <w:pPr>
              <w:pStyle w:val="Endnotentext"/>
              <w:rPr>
                <w:color w:val="000000"/>
              </w:rPr>
            </w:pPr>
            <w:r w:rsidRPr="00AA499E">
              <w:rPr>
                <w:color w:val="000000"/>
              </w:rPr>
              <w:t>6-MP (75 mg/m</w:t>
            </w:r>
            <w:r w:rsidRPr="00AA499E">
              <w:rPr>
                <w:color w:val="000000"/>
                <w:vertAlign w:val="superscript"/>
              </w:rPr>
              <w:t>2</w:t>
            </w:r>
            <w:r w:rsidRPr="00AA499E">
              <w:rPr>
                <w:color w:val="000000"/>
              </w:rPr>
              <w:t>/dag, p.o.): dag 11</w:t>
            </w:r>
            <w:r w:rsidRPr="00AA499E">
              <w:rPr>
                <w:color w:val="000000"/>
              </w:rPr>
              <w:noBreakHyphen/>
              <w:t>56 (tilbagehold 6-MP i de 6</w:t>
            </w:r>
            <w:r w:rsidRPr="00AA499E">
              <w:rPr>
                <w:color w:val="000000"/>
              </w:rPr>
              <w:noBreakHyphen/>
              <w:t>10 dage  med kraniebestråling med start dag 1 i cyklus 5. Start 6-MP den første dag efter gennemført kraniebestråling.)</w:t>
            </w:r>
          </w:p>
          <w:p w14:paraId="6CAB3951" w14:textId="77777777" w:rsidR="00F644B8" w:rsidRPr="00AA499E" w:rsidRDefault="00F644B8" w:rsidP="00D14BAB">
            <w:pPr>
              <w:pStyle w:val="Endnotentext"/>
              <w:rPr>
                <w:color w:val="000000"/>
              </w:rPr>
            </w:pPr>
            <w:r w:rsidRPr="00AA499E">
              <w:rPr>
                <w:color w:val="000000"/>
              </w:rPr>
              <w:t>Methotrexat (20 mg/m</w:t>
            </w:r>
            <w:r w:rsidRPr="00AA499E">
              <w:rPr>
                <w:color w:val="000000"/>
                <w:vertAlign w:val="superscript"/>
              </w:rPr>
              <w:t>2</w:t>
            </w:r>
            <w:r w:rsidRPr="00AA499E">
              <w:rPr>
                <w:color w:val="000000"/>
              </w:rPr>
              <w:t>/uge, p.o.): dag  8, 15, 22, 29, 36, 43, 50</w:t>
            </w:r>
          </w:p>
        </w:tc>
      </w:tr>
      <w:tr w:rsidR="00F644B8" w:rsidRPr="00AA499E" w14:paraId="3141A2F8" w14:textId="77777777" w:rsidTr="00D14BAB">
        <w:tc>
          <w:tcPr>
            <w:tcW w:w="2357" w:type="dxa"/>
            <w:shd w:val="clear" w:color="auto" w:fill="auto"/>
          </w:tcPr>
          <w:p w14:paraId="6CB35BA3" w14:textId="77777777" w:rsidR="00F644B8" w:rsidRPr="00AA499E" w:rsidRDefault="00F644B8" w:rsidP="00D14BAB">
            <w:pPr>
              <w:pStyle w:val="Endnotentext"/>
              <w:rPr>
                <w:color w:val="000000"/>
              </w:rPr>
            </w:pPr>
            <w:r w:rsidRPr="00AA499E">
              <w:rPr>
                <w:color w:val="000000"/>
              </w:rPr>
              <w:t>Vedligeholdelse</w:t>
            </w:r>
          </w:p>
          <w:p w14:paraId="37CF5DFF" w14:textId="77777777" w:rsidR="00F644B8" w:rsidRPr="00AA499E" w:rsidRDefault="00F644B8" w:rsidP="00D14BAB">
            <w:pPr>
              <w:pStyle w:val="Endnotentext"/>
              <w:rPr>
                <w:color w:val="000000"/>
              </w:rPr>
            </w:pPr>
            <w:r w:rsidRPr="00AA499E">
              <w:rPr>
                <w:color w:val="000000"/>
              </w:rPr>
              <w:t>(8-ugers cykler)</w:t>
            </w:r>
          </w:p>
          <w:p w14:paraId="2955DB20" w14:textId="77777777" w:rsidR="00F644B8" w:rsidRPr="00AA499E" w:rsidRDefault="00F644B8" w:rsidP="00D14BAB">
            <w:pPr>
              <w:pStyle w:val="Endnotentext"/>
              <w:rPr>
                <w:color w:val="000000"/>
              </w:rPr>
            </w:pPr>
            <w:r w:rsidRPr="00AA499E">
              <w:rPr>
                <w:color w:val="000000"/>
              </w:rPr>
              <w:t>Cyklus 6</w:t>
            </w:r>
            <w:r w:rsidRPr="00AA499E">
              <w:rPr>
                <w:color w:val="000000"/>
              </w:rPr>
              <w:noBreakHyphen/>
              <w:t>12</w:t>
            </w:r>
          </w:p>
        </w:tc>
        <w:tc>
          <w:tcPr>
            <w:tcW w:w="6924" w:type="dxa"/>
            <w:shd w:val="clear" w:color="auto" w:fill="auto"/>
          </w:tcPr>
          <w:p w14:paraId="5DC42C25" w14:textId="77777777" w:rsidR="00F644B8" w:rsidRPr="00AA499E" w:rsidRDefault="00F644B8" w:rsidP="00D14BAB">
            <w:pPr>
              <w:pStyle w:val="Endnotentext"/>
              <w:rPr>
                <w:color w:val="000000"/>
              </w:rPr>
            </w:pPr>
            <w:r w:rsidRPr="00AA499E">
              <w:rPr>
                <w:color w:val="000000"/>
              </w:rPr>
              <w:t>VCR (1,5 mg/m</w:t>
            </w:r>
            <w:r w:rsidRPr="00AA499E">
              <w:rPr>
                <w:color w:val="000000"/>
                <w:vertAlign w:val="superscript"/>
              </w:rPr>
              <w:t>2</w:t>
            </w:r>
            <w:r w:rsidRPr="00AA499E">
              <w:rPr>
                <w:color w:val="000000"/>
              </w:rPr>
              <w:t>/dag, i.v.: dag 1, 29</w:t>
            </w:r>
          </w:p>
          <w:p w14:paraId="49DE7942" w14:textId="77777777" w:rsidR="00F644B8" w:rsidRPr="00AA499E" w:rsidRDefault="00F644B8" w:rsidP="00D14BAB">
            <w:pPr>
              <w:pStyle w:val="Endnotentext"/>
              <w:rPr>
                <w:color w:val="000000"/>
              </w:rPr>
            </w:pPr>
            <w:r w:rsidRPr="00AA499E">
              <w:rPr>
                <w:color w:val="000000"/>
              </w:rPr>
              <w:t>DEX (6 mg/m</w:t>
            </w:r>
            <w:r w:rsidRPr="00AA499E">
              <w:rPr>
                <w:color w:val="000000"/>
                <w:vertAlign w:val="superscript"/>
              </w:rPr>
              <w:t>2</w:t>
            </w:r>
            <w:r w:rsidRPr="00AA499E">
              <w:rPr>
                <w:color w:val="000000"/>
              </w:rPr>
              <w:t>/dag, p.o.): dag 1</w:t>
            </w:r>
            <w:r w:rsidRPr="00AA499E">
              <w:rPr>
                <w:color w:val="000000"/>
              </w:rPr>
              <w:noBreakHyphen/>
              <w:t>5; 29</w:t>
            </w:r>
            <w:r w:rsidRPr="00AA499E">
              <w:rPr>
                <w:color w:val="000000"/>
              </w:rPr>
              <w:noBreakHyphen/>
              <w:t>33</w:t>
            </w:r>
          </w:p>
          <w:p w14:paraId="76DEAF71" w14:textId="77777777" w:rsidR="00F644B8" w:rsidRPr="00AA499E" w:rsidRDefault="00F644B8" w:rsidP="00D14BAB">
            <w:pPr>
              <w:pStyle w:val="Endnotentext"/>
              <w:rPr>
                <w:color w:val="000000"/>
              </w:rPr>
            </w:pPr>
            <w:r w:rsidRPr="00AA499E">
              <w:rPr>
                <w:color w:val="000000"/>
              </w:rPr>
              <w:t>6-MP (75 mg/m</w:t>
            </w:r>
            <w:r w:rsidRPr="00AA499E">
              <w:rPr>
                <w:color w:val="000000"/>
                <w:vertAlign w:val="superscript"/>
              </w:rPr>
              <w:t>2</w:t>
            </w:r>
            <w:r w:rsidRPr="00AA499E">
              <w:rPr>
                <w:color w:val="000000"/>
              </w:rPr>
              <w:t>/dag, p.o.): dag 1</w:t>
            </w:r>
            <w:r w:rsidRPr="00AA499E">
              <w:rPr>
                <w:color w:val="000000"/>
              </w:rPr>
              <w:noBreakHyphen/>
              <w:t>56</w:t>
            </w:r>
          </w:p>
          <w:p w14:paraId="57FD736B" w14:textId="77777777" w:rsidR="00F644B8" w:rsidRPr="00AA499E" w:rsidRDefault="00F644B8" w:rsidP="00D14BAB">
            <w:pPr>
              <w:pStyle w:val="Endnotentext"/>
              <w:rPr>
                <w:color w:val="000000"/>
              </w:rPr>
            </w:pPr>
            <w:r w:rsidRPr="00AA499E">
              <w:rPr>
                <w:color w:val="000000"/>
              </w:rPr>
              <w:t>Methotrexat (20 mg/m</w:t>
            </w:r>
            <w:r w:rsidRPr="00AA499E">
              <w:rPr>
                <w:color w:val="000000"/>
                <w:vertAlign w:val="superscript"/>
              </w:rPr>
              <w:t>2</w:t>
            </w:r>
            <w:r w:rsidRPr="00AA499E">
              <w:rPr>
                <w:color w:val="000000"/>
              </w:rPr>
              <w:t xml:space="preserve">/uge, p.o.): dag 1, 8, 15, 22, 29, 36, 43, 50 </w:t>
            </w:r>
          </w:p>
        </w:tc>
      </w:tr>
    </w:tbl>
    <w:p w14:paraId="3E15C86E" w14:textId="77777777" w:rsidR="00F644B8" w:rsidRPr="008F3048" w:rsidRDefault="00F644B8" w:rsidP="00F644B8">
      <w:pPr>
        <w:pStyle w:val="Endnotentext"/>
        <w:rPr>
          <w:color w:val="000000"/>
          <w:szCs w:val="22"/>
          <w:lang w:val="is-IS"/>
        </w:rPr>
      </w:pPr>
      <w:r w:rsidRPr="008F3048">
        <w:rPr>
          <w:color w:val="000000"/>
          <w:szCs w:val="22"/>
          <w:lang w:val="is-IS"/>
        </w:rPr>
        <w:t xml:space="preserve">G-CSF = granulocyt-koloni-stimulerende faktor, VP-16 = etoposid, MTX = methotrexat, i.v. = intravenøs, s.c. = subkutan, i.t. = intratekal, p.o. = oral, i.m. = intramuskulær, ARA-C = cytarabin, CPM = cyclophosphamid, VCR = vinkristin, DEX = dexamethason, DAUN = daunorubicin, 6-MP = 6-mercaptopurin, </w:t>
      </w:r>
      <w:r w:rsidRPr="008F3048">
        <w:rPr>
          <w:i/>
          <w:color w:val="000000"/>
          <w:szCs w:val="22"/>
          <w:lang w:val="is-IS"/>
        </w:rPr>
        <w:t>E.Coli</w:t>
      </w:r>
      <w:r w:rsidRPr="008F3048">
        <w:rPr>
          <w:color w:val="000000"/>
          <w:szCs w:val="22"/>
          <w:lang w:val="is-IS"/>
        </w:rPr>
        <w:t xml:space="preserve"> L-ASP = L-asparaginase, PEG-ASP = PEG asparaginase, MESNA= 2-mercaptoethan-natriumsulfonat, iii= eller indtil MTX-niveauet er &lt;0,1 µM, Gy= Gray</w:t>
      </w:r>
    </w:p>
    <w:p w14:paraId="64B6F09C" w14:textId="77777777" w:rsidR="00F644B8" w:rsidRPr="008F3048" w:rsidRDefault="00F644B8" w:rsidP="00F644B8">
      <w:pPr>
        <w:pStyle w:val="Endnotentext"/>
        <w:rPr>
          <w:color w:val="000000"/>
          <w:szCs w:val="22"/>
          <w:lang w:val="is-IS"/>
        </w:rPr>
      </w:pPr>
    </w:p>
    <w:p w14:paraId="593989E8" w14:textId="77777777" w:rsidR="00F644B8" w:rsidRPr="00AA499E" w:rsidRDefault="00F644B8" w:rsidP="00F644B8">
      <w:pPr>
        <w:pStyle w:val="Endnotentext"/>
        <w:rPr>
          <w:color w:val="000000"/>
          <w:szCs w:val="22"/>
        </w:rPr>
      </w:pPr>
      <w:r w:rsidRPr="00AA499E">
        <w:rPr>
          <w:color w:val="000000"/>
          <w:szCs w:val="22"/>
        </w:rPr>
        <w:t>Studie AIT07 var et multicenter, åbent, randomiseret, fase II/III-studie, der inkluderede 128 patienter (1 til &lt;18 år), som fik behandling med imatinib i kombination med kemoterapi. Sikkerhedsdata fra dette studie synes at være i overensstemmelse med sikkersprofilen for imatinib hos Ph+ ALL-patienter.</w:t>
      </w:r>
    </w:p>
    <w:p w14:paraId="0F6C5F14" w14:textId="77777777" w:rsidR="00F644B8" w:rsidRPr="00AA499E" w:rsidRDefault="00F644B8">
      <w:pPr>
        <w:autoSpaceDE w:val="0"/>
        <w:autoSpaceDN w:val="0"/>
        <w:adjustRightInd w:val="0"/>
        <w:spacing w:after="0" w:line="240" w:lineRule="auto"/>
        <w:rPr>
          <w:rFonts w:ascii="Times New Roman" w:hAnsi="Times New Roman"/>
          <w:i/>
          <w:iCs/>
          <w:lang w:val="da-DK"/>
        </w:rPr>
      </w:pPr>
    </w:p>
    <w:p w14:paraId="4B8834EB" w14:textId="77777777" w:rsidR="00542BA5" w:rsidRPr="00AA499E" w:rsidRDefault="00542BA5">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 xml:space="preserve">Recidiverendet/refraktær Ph+ ALL: </w:t>
      </w:r>
      <w:r w:rsidRPr="00AA499E">
        <w:rPr>
          <w:rFonts w:ascii="Times New Roman" w:hAnsi="Times New Roman"/>
          <w:lang w:val="da-DK"/>
        </w:rPr>
        <w:t>Da imatinib blev brugt som enkeltstofbehandling ved recidiverende/refraktær Ph+ ALL var resultatet hos 53 ud af 411 evaluerbare patienter en hæmatologisk responsrate på 30% (9% komplet) og en væsentlig cytogenetisk responsrate på 23%. (Det skal bemærkes, at af de 411 patienter blev 353 behandlet i et program med udvidet adgang til behandling uden indsamling af primære responsdata). Mediantid før progression varierede i den samlede population af 411 patienter med recidiverende/refraktær Ph+ ALL fra 2,6 til 3,1 måned, og median for samlet overlevelse hos de 401 evaluerbare patienter varierede fra 4,9 til 9 måneder. Der blev opnået samme data ved reanalyse med inklusion kun af patienter i en alder af over 55 år.</w:t>
      </w:r>
    </w:p>
    <w:p w14:paraId="4362ED1E" w14:textId="77777777" w:rsidR="00542BA5" w:rsidRPr="00AA499E" w:rsidRDefault="00542BA5">
      <w:pPr>
        <w:autoSpaceDE w:val="0"/>
        <w:autoSpaceDN w:val="0"/>
        <w:adjustRightInd w:val="0"/>
        <w:spacing w:after="0" w:line="240" w:lineRule="auto"/>
        <w:rPr>
          <w:rFonts w:ascii="Times New Roman" w:hAnsi="Times New Roman"/>
          <w:lang w:val="da-DK"/>
        </w:rPr>
      </w:pPr>
    </w:p>
    <w:p w14:paraId="452F7842" w14:textId="77777777" w:rsidR="00542BA5" w:rsidRPr="00AA499E" w:rsidRDefault="00542BA5" w:rsidP="00542BA5">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Kliniske undersøgelser vedrørende MDS/MPD </w:t>
      </w:r>
    </w:p>
    <w:p w14:paraId="49254615" w14:textId="77777777" w:rsidR="00C97AAF" w:rsidRPr="00AA499E" w:rsidRDefault="00542BA5" w:rsidP="00542BA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Der er meget begrænset erfaring med imatinib ved denne indikation, og den er baseret på hæmatologiske og cytogenetiske responsrater. Der er ingen kontrollerede undersøgelser, der påviser klinisk gavn eller øget overlevelse. Der er udført et åbent multicenter, klinisk fase II-studie (studie B2225) med henblik på vurdering af imatinib i en blandet patientpopulation med livstruende sygdomme forbundet med Abl, Kit eller PDGFR protein-tyrosinkinaser. I dette studie indgik 7 patienter med MDS/MPD, som blev behandlet med 400 mg imatinib daglig. Tre patienter viste komplet hæmatologisk respons (CHR) og en patient viste partiel hæmatologisk respons (PHR). På tidspunktet for den oprindelige analyse, havde 3 af 4 patienter med konstateret PDGFR-omlejring opnået hæmatologisk respons (2 CHR og 1 PHR). Disse patienters alder varierede fra 20 til 72 år. </w:t>
      </w:r>
    </w:p>
    <w:p w14:paraId="35FE5FC2" w14:textId="77777777" w:rsidR="00C97AAF" w:rsidRPr="00AA499E" w:rsidRDefault="00C97AAF" w:rsidP="00542BA5">
      <w:pPr>
        <w:autoSpaceDE w:val="0"/>
        <w:autoSpaceDN w:val="0"/>
        <w:adjustRightInd w:val="0"/>
        <w:spacing w:after="0" w:line="240" w:lineRule="auto"/>
        <w:rPr>
          <w:rFonts w:ascii="Times New Roman" w:hAnsi="Times New Roman"/>
          <w:lang w:val="da-DK"/>
        </w:rPr>
      </w:pPr>
    </w:p>
    <w:p w14:paraId="7AAC5DEE" w14:textId="77777777" w:rsidR="00C97AAF" w:rsidRPr="00AA499E" w:rsidRDefault="00C97AAF" w:rsidP="00542BA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Et observationelt registerstudie (studie L2401) blev udført for at indsamle langsigtede sikkerheds- og effektdata for patienter, som lider af myeloproliferative neoplasier med PDGFR- β rearrangement og som blev behandlet med imatinib. De 23 patienter som var inkluderet i registerstudiet, fik imatinib med en daglig mediandosis på 264 mg (dosisområde: 100 til 400 mg) med en median varighed på 7,2 år (behandlingstid 0,1 til 12,7 år). På grund af studiets observationelle karakter var data for hæmatologisk, cytogenetisk og molekylær vurdering tilgængelige for henholdvis 22, 9 og 17 af de 23 inkluderede </w:t>
      </w:r>
      <w:r w:rsidRPr="00AA499E">
        <w:rPr>
          <w:rFonts w:ascii="Times New Roman" w:hAnsi="Times New Roman"/>
          <w:lang w:val="da-DK"/>
        </w:rPr>
        <w:lastRenderedPageBreak/>
        <w:t>patienter. Ved en konservativ antagelse af at patienter med manglende data er ikke-respondenter, blev CHR observeret hos 20/23 (87 %), CCyR hos 9/23 (39,1 %) og MR hos 11/23 (47,8 %) af patienterne. Hvis responsraten beregnes ud fra patienter med mindst en valid parametervurdering er reponsraten for CHR, CCyr og MR henholdvis 20/22 (90,9 %), 9/9 (100 %) og 11/17 (64,7 %).</w:t>
      </w:r>
    </w:p>
    <w:p w14:paraId="419C661A" w14:textId="77777777" w:rsidR="00C97AAF" w:rsidRPr="00AA499E" w:rsidRDefault="00C97AAF" w:rsidP="00542BA5">
      <w:pPr>
        <w:autoSpaceDE w:val="0"/>
        <w:autoSpaceDN w:val="0"/>
        <w:adjustRightInd w:val="0"/>
        <w:spacing w:after="0" w:line="240" w:lineRule="auto"/>
        <w:rPr>
          <w:rFonts w:ascii="Times New Roman" w:hAnsi="Times New Roman"/>
          <w:lang w:val="da-DK"/>
        </w:rPr>
      </w:pPr>
    </w:p>
    <w:p w14:paraId="2805C9FD" w14:textId="77777777" w:rsidR="00542BA5" w:rsidRPr="00AA499E" w:rsidRDefault="00542BA5" w:rsidP="00542BA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Derudover er yderligere 24 patienter med MDS/MPD beskrevet i 13 publikationer. 21 patienter blev behandlet med 400 mg imatinib daglig, mens 3 patienter fik en lavere dosis. Der blev set PDGFR-omlejring hos 11 patienter, 9 af disse opnåede CHR og 1 PHR. Alderen hos disse patienter varierede fra 2 til 79 år. Opdaterede oplysninger om 6 af disse 11 patienter, som er publiceret for nylig, viste, at alle disse patienter forblev i cytogenetisk remission ( 32-38 måneder). Der var i samme publikation oplysning om længere varende opfølgningsdata fra 12 MDS/MPD-patienter med PDGFR-omlejring (5 patienter fra studie B2225). Disse patienter fik imatinib i en periode varierende mellem 24 dage og 60 måneder (median 47 måneder). Seks af disse patienter er nu fulgt i mere end 4 år. Elleve patienter opnåede hurtig CHR; hos 10 patienter var cytogenetiske abnormaliteter svundet fuldstændig og der sås mindskning eller forsvinden af fusion-transcripts målt med RT-PCR. Hæmatologisk og cytogenetisk respons er bibeholdt i en periode varende fra henholdsvis 19-60 måneder (median 49 måneder) og 16-59 måneder (median 47 måneder). Den generelle overlevelse er 65 måneder, når diagnosen er stillet (varierende mellem 25-234 måneder. Der ses generelt ingen bedring ved indgift af imatinib til patienter uden genetisk translokation.</w:t>
      </w:r>
    </w:p>
    <w:p w14:paraId="0122C0E3" w14:textId="77777777" w:rsidR="00542BA5" w:rsidRPr="00AA499E" w:rsidRDefault="00542BA5" w:rsidP="00542BA5">
      <w:pPr>
        <w:autoSpaceDE w:val="0"/>
        <w:autoSpaceDN w:val="0"/>
        <w:adjustRightInd w:val="0"/>
        <w:spacing w:after="0" w:line="240" w:lineRule="auto"/>
        <w:rPr>
          <w:rFonts w:ascii="Times New Roman" w:hAnsi="Times New Roman"/>
          <w:lang w:val="da-DK"/>
        </w:rPr>
      </w:pPr>
    </w:p>
    <w:p w14:paraId="2D4E6D01" w14:textId="77777777" w:rsidR="00542BA5" w:rsidRPr="00AA499E" w:rsidRDefault="00542BA5" w:rsidP="00542BA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ingen kontrollerede forsøg med pædiatriske patienter med MDS/MPD. I fire publikationer var der rapporteret om fem (5) patienter med MDS/MPD forbundet med PDGFR-omlejring. Alderen på disse patienter rangerede fra 3 måneder til 4 år, og imatinib blev givet i en dosis på 50 mg dagligt eller doser, der lå i intervallet fra 92,5 til 340 mg/m2 dagligt. Alle patienter opnåede komplet hæmatologisk respons, cytogenetisk repons og/eller klinisk respons.</w:t>
      </w:r>
    </w:p>
    <w:p w14:paraId="34B87D1B" w14:textId="77777777" w:rsidR="00542BA5" w:rsidRPr="00AA499E" w:rsidRDefault="00542BA5" w:rsidP="00542BA5">
      <w:pPr>
        <w:autoSpaceDE w:val="0"/>
        <w:autoSpaceDN w:val="0"/>
        <w:adjustRightInd w:val="0"/>
        <w:spacing w:after="0" w:line="240" w:lineRule="auto"/>
        <w:rPr>
          <w:rFonts w:ascii="Times New Roman" w:hAnsi="Times New Roman"/>
          <w:lang w:val="da-DK"/>
        </w:rPr>
      </w:pPr>
    </w:p>
    <w:p w14:paraId="24A44D90" w14:textId="77777777" w:rsidR="008B42C6" w:rsidRPr="00AA499E" w:rsidRDefault="008B42C6" w:rsidP="008B42C6">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Kliniske undersøgelser vedrørende HES/CEL </w:t>
      </w:r>
    </w:p>
    <w:p w14:paraId="4E4059DA" w14:textId="77777777" w:rsidR="008B42C6" w:rsidRPr="00AA499E" w:rsidRDefault="008B42C6" w:rsidP="008B42C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udført en åben, multicenter fase II-undersøgelse (studie B2225) med henblik på at vurdere imatinib hos en blandet patientpopulation med livstruende sygdomme forbundet med Abl-, Kit- eller PDGFR-proteintyrosinkinaser. I dette studie blev 14 patienter med HES/CEL behandlet med 100 mg - 1.000 mg imatinib daglig. Yderligere er 162 patienter med HES/CEL i alderen 11 til 78 år omtalt i 35 publicerede kasuistikker og behandlingsserier. De blev behandlet med imatinib i doser fra 75 mg til 800 mg daglig. Cytogenetiske abnormiteter blev evalueret hos 117 af hele populationen på 176 behandlede patienter. Af disse 117 patienter var 61 positive for FIP1L1-PDGFRα fusionkinase. Yderligere 4 HES patienter blev fundet FIP1L1-PDGFRα positive i 3 andre publicerede kasuistikker. Alle 65 FIP1L1-PDGFRα fusionkinase-positive patienter opnåede CHR, som vedvarede i måneder (varighed fra 1+ til 44+ måneder censureret på opgørelsestidpunktet). Som beskrevet i en nylig publikation opnåede 21 af disse 65 patienter også komplet molekylær remission med en median opfølgningstid på 28 måneder (varierende fra 13-67 måneder). Patienternes alder varierede fra 25 til 72 år. Derudover angav investigatorene symptomatisk bedring af andre organdysfunktioner i kasuistikkerne. Bedring blev rapportert for: hjerte, nervesystem, hud/subkutant væv, respiratoriske/ thorakale/ mediastinale, muskuloskeletale/bindevævs/kar og gastroentestinale organsystemer.</w:t>
      </w:r>
    </w:p>
    <w:p w14:paraId="15C3DBCC" w14:textId="77777777" w:rsidR="008B42C6" w:rsidRPr="00AA499E" w:rsidRDefault="008B42C6" w:rsidP="008B42C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 </w:t>
      </w:r>
    </w:p>
    <w:p w14:paraId="15D3E9F1" w14:textId="77777777" w:rsidR="00542BA5" w:rsidRPr="00AA499E" w:rsidRDefault="008B42C6" w:rsidP="008B42C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ingen kontrollerede forsøg med pædiatriske patienter med HES/CEL. I tre publikationer var der rapporteret om tre (3) patienter med HES og CEL forbundet med PDGFR-omlejring. Alderen på disse patienter rangerede fra 2 til 16 år, og imatinib blev givet i en dosis på 300 mg/m</w:t>
      </w:r>
      <w:r w:rsidRPr="00AA499E">
        <w:rPr>
          <w:rFonts w:ascii="Times New Roman" w:hAnsi="Times New Roman"/>
          <w:vertAlign w:val="superscript"/>
          <w:lang w:val="da-DK"/>
        </w:rPr>
        <w:t>2</w:t>
      </w:r>
      <w:r w:rsidRPr="00AA499E">
        <w:rPr>
          <w:rFonts w:ascii="Times New Roman" w:hAnsi="Times New Roman"/>
          <w:lang w:val="da-DK"/>
        </w:rPr>
        <w:t xml:space="preserve"> dagligt eller doser, der lå i intervallet fra 200 til 400 mg dagligt. Alle patienter opnåede komplet hæmatologisk respons, komplet cytogenetisk repons og/eller komplet molekylært respons.</w:t>
      </w:r>
    </w:p>
    <w:p w14:paraId="7DC28B4D" w14:textId="77777777" w:rsidR="008B42C6" w:rsidRPr="00AA499E" w:rsidRDefault="008B42C6" w:rsidP="008B42C6">
      <w:pPr>
        <w:autoSpaceDE w:val="0"/>
        <w:autoSpaceDN w:val="0"/>
        <w:adjustRightInd w:val="0"/>
        <w:spacing w:after="0" w:line="240" w:lineRule="auto"/>
        <w:rPr>
          <w:rFonts w:ascii="Times New Roman" w:hAnsi="Times New Roman"/>
          <w:lang w:val="da-DK"/>
        </w:rPr>
      </w:pPr>
    </w:p>
    <w:p w14:paraId="2B67177D" w14:textId="77777777" w:rsidR="008B42C6" w:rsidRPr="00AA499E" w:rsidRDefault="008B42C6" w:rsidP="008B42C6">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Kliniske studier ved DFSP </w:t>
      </w:r>
    </w:p>
    <w:p w14:paraId="2CFCDC78" w14:textId="77777777" w:rsidR="008B42C6" w:rsidRPr="00AA499E" w:rsidRDefault="008B42C6" w:rsidP="008B42C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 xml:space="preserve">Der er udført et åbent multicenter fase II-klinisk forsøg (studie B2225) med inklusion af 12 patienter med DFSP, som blev behandlet med imatinib 800 mg daglig. Alderen hos patienterne med DFSP varierede fra 23 til 75 år; DFSP var på tidspunktet for inklusion i studiet metastaseret, recidiveret lokalt efter initial resektionskirurgi og vurderet som ikke modtagelig for yderligere resekterende kirurgi. Det primære bevis for effekt var baseret på onjektive responsrater. Af de 12 inkluderede patienter responderede 9, en komplet og 8 partielt. Tre af de partielt responderende blev sygdomsfri efter kirurgi. Den mediane varighed af behandlingen i studie B2225 var 6,2 måneder med en maksimum varighed på 24,3 måneder. Yderligere seks patienter, behandlet med imatinib, er blevet beskrevet i 5 publicerede kasuistikker, alderen varierede fra 18 måneder til 49 år. De voksne patienter, som er beskrevet i publiceret litteratur blev behandlet med enten 400 mg (fire tilfælde) eller 800 mg (et tilfælde) imatinib daglig. Fem (5) patienter responderede, 3 komplet og 2 partielt. Den mediane behandlingsvarighed i publiceret litteratur varierede mellem 4 uger og mere end 20 måneder. Translokationen t(17:22) [(q22:q13)], eller dets gen-produkt, var til stede i næsten alle respons på imatinib-behandling. </w:t>
      </w:r>
    </w:p>
    <w:p w14:paraId="7BA2BB10" w14:textId="77777777" w:rsidR="008B42C6" w:rsidRPr="00AA499E" w:rsidRDefault="008B42C6" w:rsidP="008B42C6">
      <w:pPr>
        <w:autoSpaceDE w:val="0"/>
        <w:autoSpaceDN w:val="0"/>
        <w:adjustRightInd w:val="0"/>
        <w:spacing w:after="0" w:line="240" w:lineRule="auto"/>
        <w:rPr>
          <w:rFonts w:ascii="Times New Roman" w:hAnsi="Times New Roman"/>
          <w:lang w:val="da-DK"/>
        </w:rPr>
      </w:pPr>
    </w:p>
    <w:p w14:paraId="2CEF3BFE" w14:textId="77777777" w:rsidR="008B42C6" w:rsidRPr="00AA499E" w:rsidRDefault="008B42C6" w:rsidP="008B42C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ingen kontrollerede forsøg med pædiatriske patienter med DFSP. I tre publikationer var der rapporteret om fem (5) patienter med DFSP og PDGFR-omlejringer. Alderen på disse patienter rangerede fra nyfødt til 14 år, og imatinib blev givet i en dosis på 50 mg dagligt eller doser, der lå i intervallet fra 400 til 520 mg/m</w:t>
      </w:r>
      <w:r w:rsidRPr="00AA499E">
        <w:rPr>
          <w:rFonts w:ascii="Times New Roman" w:hAnsi="Times New Roman"/>
          <w:vertAlign w:val="superscript"/>
          <w:lang w:val="da-DK"/>
        </w:rPr>
        <w:t>2</w:t>
      </w:r>
      <w:r w:rsidRPr="00AA499E">
        <w:rPr>
          <w:rFonts w:ascii="Times New Roman" w:hAnsi="Times New Roman"/>
          <w:lang w:val="da-DK"/>
        </w:rPr>
        <w:t xml:space="preserve"> dagligt. Alle patienter opnåede delvist og/eller komplet respons.</w:t>
      </w:r>
    </w:p>
    <w:p w14:paraId="70DD3764" w14:textId="77777777" w:rsidR="00542BA5" w:rsidRPr="00AA499E" w:rsidRDefault="00542BA5">
      <w:pPr>
        <w:autoSpaceDE w:val="0"/>
        <w:autoSpaceDN w:val="0"/>
        <w:adjustRightInd w:val="0"/>
        <w:spacing w:after="0" w:line="240" w:lineRule="auto"/>
        <w:rPr>
          <w:rFonts w:ascii="Times New Roman" w:hAnsi="Times New Roman"/>
          <w:lang w:val="da-DK"/>
        </w:rPr>
      </w:pPr>
    </w:p>
    <w:p w14:paraId="71A2F967"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5.2</w:t>
      </w:r>
      <w:r w:rsidRPr="00AA499E">
        <w:rPr>
          <w:rFonts w:ascii="Times New Roman" w:hAnsi="Times New Roman"/>
          <w:b/>
          <w:bCs/>
          <w:lang w:val="da-DK"/>
        </w:rPr>
        <w:tab/>
        <w:t>Farmakokinetiske egenskaber</w:t>
      </w:r>
    </w:p>
    <w:p w14:paraId="1446CAD9" w14:textId="77777777" w:rsidR="006478AD" w:rsidRPr="00AA499E" w:rsidRDefault="006478AD" w:rsidP="008370B1">
      <w:pPr>
        <w:keepNext/>
        <w:autoSpaceDE w:val="0"/>
        <w:autoSpaceDN w:val="0"/>
        <w:adjustRightInd w:val="0"/>
        <w:spacing w:after="0" w:line="240" w:lineRule="auto"/>
        <w:rPr>
          <w:rFonts w:ascii="Times New Roman" w:hAnsi="Times New Roman"/>
          <w:lang w:val="da-DK"/>
        </w:rPr>
      </w:pPr>
    </w:p>
    <w:p w14:paraId="7AE0A5FE"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Imatinibs farmakokinetik</w:t>
      </w:r>
    </w:p>
    <w:p w14:paraId="174D063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farmakokinetik er evalueret i dosisintervallet: 25–1.000 mg. Plasmafarmakokinetiske profiler blev analyseret på dag 1 og på enten dag 7 eller dag 28, hvor plasmakoncentrationerne havde nået steady-state.</w:t>
      </w:r>
    </w:p>
    <w:p w14:paraId="00F38F00" w14:textId="77777777" w:rsidR="006478AD" w:rsidRPr="00AA499E" w:rsidRDefault="006478AD">
      <w:pPr>
        <w:autoSpaceDE w:val="0"/>
        <w:autoSpaceDN w:val="0"/>
        <w:adjustRightInd w:val="0"/>
        <w:spacing w:after="0" w:line="240" w:lineRule="auto"/>
        <w:rPr>
          <w:rFonts w:ascii="Times New Roman" w:hAnsi="Times New Roman"/>
          <w:lang w:val="da-DK"/>
        </w:rPr>
      </w:pPr>
    </w:p>
    <w:p w14:paraId="1AC19685"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Absorption</w:t>
      </w:r>
    </w:p>
    <w:p w14:paraId="0FB8238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gennemsnitlige absolutte biotilgængelighed for  </w:t>
      </w:r>
      <w:r w:rsidR="00EF3CB5" w:rsidRPr="00AA499E">
        <w:rPr>
          <w:rFonts w:ascii="Times New Roman" w:hAnsi="Times New Roman"/>
          <w:lang w:val="da-DK"/>
        </w:rPr>
        <w:t xml:space="preserve">imatinib </w:t>
      </w:r>
      <w:r w:rsidRPr="00AA499E">
        <w:rPr>
          <w:rFonts w:ascii="Times New Roman" w:hAnsi="Times New Roman"/>
          <w:lang w:val="da-DK"/>
        </w:rPr>
        <w:t>er 98 %. Der var stor variabilitet patienterne i mellem i plasmaimatinib AUC efter en oral dosis. Når imatinib indtages i forbindelse med et måltid med høj fedtprocent, reduceres absorptionen af imatinib minimalt (11 %’s fald i C</w:t>
      </w:r>
      <w:r w:rsidRPr="00AA499E">
        <w:rPr>
          <w:rFonts w:ascii="Times New Roman" w:hAnsi="Times New Roman"/>
          <w:vertAlign w:val="subscript"/>
          <w:lang w:val="da-DK"/>
        </w:rPr>
        <w:t>max</w:t>
      </w:r>
      <w:r w:rsidRPr="00AA499E">
        <w:rPr>
          <w:rFonts w:ascii="Times New Roman" w:hAnsi="Times New Roman"/>
          <w:lang w:val="da-DK"/>
        </w:rPr>
        <w:t xml:space="preserve"> og forlængelse af t</w:t>
      </w:r>
      <w:r w:rsidRPr="00AA499E">
        <w:rPr>
          <w:rFonts w:ascii="Times New Roman" w:hAnsi="Times New Roman"/>
          <w:vertAlign w:val="subscript"/>
          <w:lang w:val="da-DK"/>
        </w:rPr>
        <w:t>max</w:t>
      </w:r>
      <w:r w:rsidRPr="00AA499E">
        <w:rPr>
          <w:rFonts w:ascii="Times New Roman" w:hAnsi="Times New Roman"/>
          <w:lang w:val="da-DK"/>
        </w:rPr>
        <w:t xml:space="preserve"> med 1,5 time), med et lille fald i AUC (7,4 %) sammenlignet med fastende. Tidligere gastrointestinale indgrebs påvirkning af lægemiddelabsorptionen er ikke undersøgt.</w:t>
      </w:r>
    </w:p>
    <w:p w14:paraId="26384574" w14:textId="77777777" w:rsidR="006478AD" w:rsidRPr="00AA499E" w:rsidRDefault="006478AD">
      <w:pPr>
        <w:autoSpaceDE w:val="0"/>
        <w:autoSpaceDN w:val="0"/>
        <w:adjustRightInd w:val="0"/>
        <w:spacing w:after="0" w:line="240" w:lineRule="auto"/>
        <w:rPr>
          <w:rFonts w:ascii="Times New Roman" w:hAnsi="Times New Roman"/>
          <w:lang w:val="da-DK"/>
        </w:rPr>
      </w:pPr>
    </w:p>
    <w:p w14:paraId="57CD4CF1" w14:textId="77777777" w:rsidR="006478AD" w:rsidRPr="00AA499E" w:rsidRDefault="00C35D31">
      <w:pPr>
        <w:autoSpaceDE w:val="0"/>
        <w:autoSpaceDN w:val="0"/>
        <w:adjustRightInd w:val="0"/>
        <w:spacing w:after="0" w:line="240" w:lineRule="auto"/>
        <w:rPr>
          <w:rFonts w:ascii="Times New Roman" w:hAnsi="Times New Roman"/>
          <w:lang w:val="da-DK"/>
        </w:rPr>
      </w:pPr>
      <w:r w:rsidRPr="00AA499E">
        <w:rPr>
          <w:rFonts w:ascii="Times New Roman" w:hAnsi="Times New Roman"/>
          <w:u w:val="single"/>
          <w:lang w:val="da-DK"/>
        </w:rPr>
        <w:t>Fordeling</w:t>
      </w:r>
      <w:r w:rsidRPr="00AA499E" w:rsidDel="00C35D31">
        <w:rPr>
          <w:rFonts w:ascii="Times New Roman" w:hAnsi="Times New Roman"/>
          <w:u w:val="single"/>
          <w:lang w:val="da-DK"/>
        </w:rPr>
        <w:t xml:space="preserve"> </w:t>
      </w:r>
      <w:r w:rsidR="00616F3C" w:rsidRPr="00AA499E">
        <w:rPr>
          <w:rFonts w:ascii="Times New Roman" w:hAnsi="Times New Roman"/>
          <w:lang w:val="da-DK"/>
        </w:rPr>
        <w:t xml:space="preserve">Baseret på </w:t>
      </w:r>
      <w:r w:rsidR="00616F3C" w:rsidRPr="00AA499E">
        <w:rPr>
          <w:rFonts w:ascii="Times New Roman" w:hAnsi="Times New Roman"/>
          <w:i/>
          <w:iCs/>
          <w:lang w:val="da-DK"/>
        </w:rPr>
        <w:t xml:space="preserve">in vitro </w:t>
      </w:r>
      <w:r w:rsidR="00616F3C" w:rsidRPr="00AA499E">
        <w:rPr>
          <w:rFonts w:ascii="Times New Roman" w:hAnsi="Times New Roman"/>
          <w:lang w:val="da-DK"/>
        </w:rPr>
        <w:t>undersøgelser, bindes, ved kliniske relevante koncentrationer af imatinib, ca. 95 % til plasmaproteiner, hovedsagelig albumin og alfa-syre-glycoprotein, med en mindre binding til lipoproteiner.</w:t>
      </w:r>
    </w:p>
    <w:p w14:paraId="7A0D9AEB" w14:textId="77777777" w:rsidR="006478AD" w:rsidRPr="00AA499E" w:rsidRDefault="006478AD">
      <w:pPr>
        <w:autoSpaceDE w:val="0"/>
        <w:autoSpaceDN w:val="0"/>
        <w:adjustRightInd w:val="0"/>
        <w:spacing w:after="0" w:line="240" w:lineRule="auto"/>
        <w:rPr>
          <w:rFonts w:ascii="Times New Roman" w:hAnsi="Times New Roman"/>
          <w:lang w:val="da-DK"/>
        </w:rPr>
      </w:pPr>
    </w:p>
    <w:p w14:paraId="76FD17F6"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Biotransformation</w:t>
      </w:r>
    </w:p>
    <w:p w14:paraId="668D3C7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cirkulerende hovedmetabolit i mennesker er N-demethyl-piperazinderivatet, som udviser samme potens </w:t>
      </w:r>
      <w:r w:rsidRPr="00AA499E">
        <w:rPr>
          <w:rFonts w:ascii="Times New Roman" w:hAnsi="Times New Roman"/>
          <w:i/>
          <w:iCs/>
          <w:lang w:val="da-DK"/>
        </w:rPr>
        <w:t xml:space="preserve">in vitro </w:t>
      </w:r>
      <w:r w:rsidRPr="00AA499E">
        <w:rPr>
          <w:rFonts w:ascii="Times New Roman" w:hAnsi="Times New Roman"/>
          <w:lang w:val="da-DK"/>
        </w:rPr>
        <w:t>som det stof, den er afledt af. Plasma AUC for denne metabolit blev kun fundet at være 16 % af AUC for imatinib. Plasmaproteinbindingen af den N-demethylerede metabolit er sammenlignlig med den for hovedkomponenten.</w:t>
      </w:r>
    </w:p>
    <w:p w14:paraId="5355840F" w14:textId="77777777" w:rsidR="006478AD" w:rsidRPr="00AA499E" w:rsidRDefault="006478AD">
      <w:pPr>
        <w:autoSpaceDE w:val="0"/>
        <w:autoSpaceDN w:val="0"/>
        <w:adjustRightInd w:val="0"/>
        <w:spacing w:after="0" w:line="240" w:lineRule="auto"/>
        <w:rPr>
          <w:rFonts w:ascii="Times New Roman" w:hAnsi="Times New Roman"/>
          <w:lang w:val="da-DK"/>
        </w:rPr>
      </w:pPr>
    </w:p>
    <w:p w14:paraId="12B823B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og N-demethylmetabolitten udgjorde tilsammen ca. 65 % af den cirkulerende radioaktivitet (AUC</w:t>
      </w:r>
      <w:r w:rsidRPr="00AA499E">
        <w:rPr>
          <w:rFonts w:ascii="Times New Roman" w:hAnsi="Times New Roman"/>
          <w:vertAlign w:val="subscript"/>
          <w:lang w:val="da-DK"/>
        </w:rPr>
        <w:t>(0-48h)</w:t>
      </w:r>
      <w:r w:rsidRPr="00AA499E">
        <w:rPr>
          <w:rFonts w:ascii="Times New Roman" w:hAnsi="Times New Roman"/>
          <w:lang w:val="da-DK"/>
        </w:rPr>
        <w:t>). Den resterende cirkulerende radioaktivitet bestod af en række mindre metabolitter.</w:t>
      </w:r>
    </w:p>
    <w:p w14:paraId="3D3E1AE3" w14:textId="77777777" w:rsidR="006478AD" w:rsidRPr="00AA499E" w:rsidRDefault="006478AD">
      <w:pPr>
        <w:autoSpaceDE w:val="0"/>
        <w:autoSpaceDN w:val="0"/>
        <w:adjustRightInd w:val="0"/>
        <w:spacing w:after="0" w:line="240" w:lineRule="auto"/>
        <w:rPr>
          <w:rFonts w:ascii="Times New Roman" w:hAnsi="Times New Roman"/>
          <w:lang w:val="da-DK"/>
        </w:rPr>
      </w:pPr>
    </w:p>
    <w:p w14:paraId="129A4B4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 xml:space="preserve">In vitro </w:t>
      </w:r>
      <w:r w:rsidRPr="00AA499E">
        <w:rPr>
          <w:rFonts w:ascii="Times New Roman" w:hAnsi="Times New Roman"/>
          <w:lang w:val="da-DK"/>
        </w:rPr>
        <w:t xml:space="preserve">resultater viste, at CYP3A4 var det primære P450 enzym i katalyseringen af biotransformationen af imatinib. Af en række potentielle samtidigt administrerede lægemidler (acetaminophen, acicolvir, allopurinol, amphotericin, cytarabin, erythromycin, fluconazole, hydroxyurea, norfloxacin, penicillin V) </w:t>
      </w:r>
      <w:r w:rsidRPr="00AA499E">
        <w:rPr>
          <w:rFonts w:ascii="Times New Roman" w:hAnsi="Times New Roman"/>
          <w:lang w:val="da-DK"/>
        </w:rPr>
        <w:lastRenderedPageBreak/>
        <w:t>viste kun erythromycin (IC</w:t>
      </w:r>
      <w:r w:rsidRPr="00AA499E">
        <w:rPr>
          <w:rFonts w:ascii="Times New Roman" w:hAnsi="Times New Roman"/>
          <w:vertAlign w:val="subscript"/>
          <w:lang w:val="da-DK"/>
        </w:rPr>
        <w:t>50</w:t>
      </w:r>
      <w:r w:rsidRPr="00AA499E">
        <w:rPr>
          <w:rFonts w:ascii="Times New Roman" w:hAnsi="Times New Roman"/>
          <w:lang w:val="da-DK"/>
        </w:rPr>
        <w:t xml:space="preserve"> 50 µM) og fluconazol (IC</w:t>
      </w:r>
      <w:r w:rsidRPr="00AA499E">
        <w:rPr>
          <w:rFonts w:ascii="Times New Roman" w:hAnsi="Times New Roman"/>
          <w:vertAlign w:val="subscript"/>
          <w:lang w:val="da-DK"/>
        </w:rPr>
        <w:t>50</w:t>
      </w:r>
      <w:r w:rsidRPr="00AA499E">
        <w:rPr>
          <w:rFonts w:ascii="Times New Roman" w:hAnsi="Times New Roman"/>
          <w:lang w:val="da-DK"/>
        </w:rPr>
        <w:t> 118 μm) hæmning af imatinib-metabolismen i et omfang der kunne have klinisk betydning.</w:t>
      </w:r>
    </w:p>
    <w:p w14:paraId="4446FAAC" w14:textId="77777777" w:rsidR="006478AD" w:rsidRPr="00AA499E" w:rsidRDefault="006478AD">
      <w:pPr>
        <w:autoSpaceDE w:val="0"/>
        <w:autoSpaceDN w:val="0"/>
        <w:adjustRightInd w:val="0"/>
        <w:spacing w:after="0" w:line="240" w:lineRule="auto"/>
        <w:rPr>
          <w:rFonts w:ascii="Times New Roman" w:hAnsi="Times New Roman"/>
          <w:lang w:val="da-DK"/>
        </w:rPr>
      </w:pPr>
    </w:p>
    <w:p w14:paraId="720B797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 blev </w:t>
      </w:r>
      <w:r w:rsidRPr="00AA499E">
        <w:rPr>
          <w:rFonts w:ascii="Times New Roman" w:hAnsi="Times New Roman"/>
          <w:i/>
          <w:iCs/>
          <w:lang w:val="da-DK"/>
        </w:rPr>
        <w:t xml:space="preserve">in vitro </w:t>
      </w:r>
      <w:r w:rsidRPr="00AA499E">
        <w:rPr>
          <w:rFonts w:ascii="Times New Roman" w:hAnsi="Times New Roman"/>
          <w:lang w:val="da-DK"/>
        </w:rPr>
        <w:t>vist at være en kompetitiv hæmmer af markørsubstrater for CYP2C9, CYP2D6 og CYP3A4/5. K</w:t>
      </w:r>
      <w:r w:rsidRPr="00AA499E">
        <w:rPr>
          <w:rFonts w:ascii="Times New Roman" w:hAnsi="Times New Roman"/>
          <w:vertAlign w:val="subscript"/>
          <w:lang w:val="da-DK"/>
        </w:rPr>
        <w:t>i</w:t>
      </w:r>
      <w:r w:rsidRPr="00AA499E">
        <w:rPr>
          <w:rFonts w:ascii="Times New Roman" w:hAnsi="Times New Roman"/>
          <w:lang w:val="da-DK"/>
        </w:rPr>
        <w:t xml:space="preserve"> værdier i humane levermikrosomer var henholdsvis 27; 7,5 og 7,9 μmol/l. Maksimale plasmakoncentrationer af imatinib er hos patienter 2–4 μmol/l, og hæmning af CYP2D6 og/eller CYP3A4/5-medieret metabolisme af samtidigt administrerede lægemidler er derfor mulig. Imatinib interfererede ikke med biotransformationen af 5-fluorouracil, men hæmmede paclitaxelmetabolismen på grund af kompetitiv hæmning af CYP2C8 ((K</w:t>
      </w:r>
      <w:r w:rsidRPr="00AA499E">
        <w:rPr>
          <w:rFonts w:ascii="Times New Roman" w:hAnsi="Times New Roman"/>
          <w:vertAlign w:val="subscript"/>
          <w:lang w:val="da-DK"/>
        </w:rPr>
        <w:t>i</w:t>
      </w:r>
      <w:r w:rsidRPr="00AA499E">
        <w:rPr>
          <w:rFonts w:ascii="Times New Roman" w:hAnsi="Times New Roman"/>
          <w:lang w:val="da-DK"/>
        </w:rPr>
        <w:t>  34,7 μm). Denne K</w:t>
      </w:r>
      <w:r w:rsidRPr="00AA499E">
        <w:rPr>
          <w:rFonts w:ascii="Times New Roman" w:hAnsi="Times New Roman"/>
          <w:vertAlign w:val="subscript"/>
          <w:lang w:val="da-DK"/>
        </w:rPr>
        <w:t>i</w:t>
      </w:r>
      <w:r w:rsidRPr="00AA499E">
        <w:rPr>
          <w:rFonts w:ascii="Times New Roman" w:hAnsi="Times New Roman"/>
          <w:lang w:val="da-DK"/>
        </w:rPr>
        <w:t xml:space="preserve"> værdi er langt højere end de forventede plasmaniveauer af imatinib hos patienter, og der forventes derfor ingen interaktion i forbindelse med samtidig administration af hverken 5-fluorouracil eller paclitaxel og imatinib.</w:t>
      </w:r>
    </w:p>
    <w:p w14:paraId="3D3EBF8A" w14:textId="77777777" w:rsidR="006478AD" w:rsidRPr="00AA499E" w:rsidRDefault="006478AD">
      <w:pPr>
        <w:autoSpaceDE w:val="0"/>
        <w:autoSpaceDN w:val="0"/>
        <w:adjustRightInd w:val="0"/>
        <w:spacing w:after="0" w:line="240" w:lineRule="auto"/>
        <w:rPr>
          <w:rFonts w:ascii="Times New Roman" w:hAnsi="Times New Roman"/>
          <w:lang w:val="da-DK"/>
        </w:rPr>
      </w:pPr>
    </w:p>
    <w:p w14:paraId="2B46E2BB" w14:textId="77777777" w:rsidR="006478AD" w:rsidRPr="00AA499E" w:rsidRDefault="00616F3C">
      <w:pPr>
        <w:keepNext/>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Elimination</w:t>
      </w:r>
    </w:p>
    <w:p w14:paraId="5974F25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Baseret på fremkomne stof(fer) efter oral dosis af </w:t>
      </w:r>
      <w:r w:rsidRPr="00AA499E">
        <w:rPr>
          <w:rFonts w:ascii="Times New Roman" w:hAnsi="Times New Roman"/>
          <w:vertAlign w:val="superscript"/>
          <w:lang w:val="da-DK"/>
        </w:rPr>
        <w:t>14</w:t>
      </w:r>
      <w:r w:rsidRPr="00AA499E">
        <w:rPr>
          <w:rFonts w:ascii="Times New Roman" w:hAnsi="Times New Roman"/>
          <w:lang w:val="da-DK"/>
        </w:rPr>
        <w:t>-mærket imatinib, genfandtes ca. 81 % af dosis inden for 7 dage i fæces (68 % af dosis) og urin (13 % af dosis). Uomdannet imatinib er ansvarlig for ca. 25 % af dosis (5 % urin og 20 % fæces), resten er metabolitter.</w:t>
      </w:r>
    </w:p>
    <w:p w14:paraId="76825F67" w14:textId="77777777" w:rsidR="006478AD" w:rsidRPr="00AA499E" w:rsidRDefault="006478AD">
      <w:pPr>
        <w:autoSpaceDE w:val="0"/>
        <w:autoSpaceDN w:val="0"/>
        <w:adjustRightInd w:val="0"/>
        <w:spacing w:after="0" w:line="240" w:lineRule="auto"/>
        <w:rPr>
          <w:rFonts w:ascii="Times New Roman" w:hAnsi="Times New Roman"/>
          <w:lang w:val="da-DK"/>
        </w:rPr>
      </w:pPr>
    </w:p>
    <w:p w14:paraId="0292E42A"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Plasmafarmakokinetik</w:t>
      </w:r>
    </w:p>
    <w:p w14:paraId="5847C88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Efter oral administration til raske frivillige var t</w:t>
      </w:r>
      <w:r w:rsidRPr="00AA499E">
        <w:rPr>
          <w:rFonts w:ascii="Times New Roman" w:hAnsi="Times New Roman"/>
          <w:vertAlign w:val="subscript"/>
          <w:lang w:val="da-DK"/>
        </w:rPr>
        <w:t xml:space="preserve">½ </w:t>
      </w:r>
      <w:r w:rsidRPr="00AA499E">
        <w:rPr>
          <w:rFonts w:ascii="Times New Roman" w:hAnsi="Times New Roman"/>
          <w:lang w:val="da-DK"/>
        </w:rPr>
        <w:t>ca. 18 timer, hvilket indikerer, at dosering 1 gang daglig er passende. Øgningen i gennemsnitlig AUC ved dosisøgning efter oral administration var lineær og dosisproportional i intervallet 25–1.000 mg imatinib. Der var ingen ændringer i imatinibs kinetik ved gentagen dosering, og akkumulering var 1,5–2,5 gange ved steady-state ved dosering 1 gang daglig.</w:t>
      </w:r>
    </w:p>
    <w:p w14:paraId="54E5598F" w14:textId="77777777" w:rsidR="006478AD" w:rsidRPr="00AA499E" w:rsidRDefault="006478AD">
      <w:pPr>
        <w:autoSpaceDE w:val="0"/>
        <w:autoSpaceDN w:val="0"/>
        <w:adjustRightInd w:val="0"/>
        <w:spacing w:after="0" w:line="240" w:lineRule="auto"/>
        <w:rPr>
          <w:rFonts w:ascii="Times New Roman" w:hAnsi="Times New Roman"/>
          <w:lang w:val="da-DK"/>
        </w:rPr>
      </w:pPr>
    </w:p>
    <w:p w14:paraId="7DA9A45A"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Populationsfarmakokinetik</w:t>
      </w:r>
    </w:p>
    <w:p w14:paraId="701315F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Populationsfarmakokinetiske analyser hos CML-patienter har vist, at alder har en lille effekt på fordelingsvolumen (12 % stigning hos patienter &gt; 65 år). Denne ændring menes ikke at være klinisk signifikant. Kropsvægtens betydning for clearance af imatinib er således, at for patienter, der vejer 50 kg, forventes den gennemsnitlige clearance at være 8,5 l/t, mens den for patienter, der vejer 100 kg, vil stige til 11,8 l/t. Disse ændringer anses ikke for at være tilstrækkelige til at indføre dosisjusteringer på basis af kg kropsvægt. Køn har ingen betydning for imatinibs kinetik.</w:t>
      </w:r>
    </w:p>
    <w:p w14:paraId="273F9082" w14:textId="77777777" w:rsidR="006478AD" w:rsidRPr="00AA499E" w:rsidRDefault="006478AD">
      <w:pPr>
        <w:autoSpaceDE w:val="0"/>
        <w:autoSpaceDN w:val="0"/>
        <w:adjustRightInd w:val="0"/>
        <w:spacing w:after="0" w:line="240" w:lineRule="auto"/>
        <w:rPr>
          <w:rFonts w:ascii="Times New Roman" w:hAnsi="Times New Roman"/>
          <w:lang w:val="da-DK"/>
        </w:rPr>
      </w:pPr>
    </w:p>
    <w:p w14:paraId="4C979FF8"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Farmakokinetik </w:t>
      </w:r>
      <w:r w:rsidR="00846327" w:rsidRPr="00AA499E">
        <w:rPr>
          <w:rFonts w:ascii="Times New Roman" w:hAnsi="Times New Roman"/>
          <w:u w:val="single"/>
          <w:lang w:val="da-DK"/>
        </w:rPr>
        <w:t>hos</w:t>
      </w:r>
      <w:r w:rsidR="00A861CB" w:rsidRPr="00AA499E">
        <w:rPr>
          <w:rFonts w:ascii="Times New Roman" w:hAnsi="Times New Roman"/>
          <w:u w:val="single"/>
          <w:lang w:val="da-DK"/>
        </w:rPr>
        <w:t xml:space="preserve"> den pædiatriske population</w:t>
      </w:r>
    </w:p>
    <w:p w14:paraId="6FE0D7A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Ligesom hos voksne absorberedes imatinib hurtigt hos pædiatriske patienter efter oral administration i både fase I- og fase II-undersøgelser. Doser på 260 og 340 mg/m</w:t>
      </w:r>
      <w:r w:rsidRPr="00AA499E">
        <w:rPr>
          <w:rFonts w:ascii="Times New Roman" w:hAnsi="Times New Roman"/>
          <w:vertAlign w:val="superscript"/>
          <w:lang w:val="da-DK"/>
        </w:rPr>
        <w:t>2</w:t>
      </w:r>
      <w:r w:rsidRPr="00AA499E">
        <w:rPr>
          <w:rFonts w:ascii="Times New Roman" w:hAnsi="Times New Roman"/>
          <w:lang w:val="da-DK"/>
        </w:rPr>
        <w:t>/dag til børn</w:t>
      </w:r>
      <w:r w:rsidR="009A46E5" w:rsidRPr="00AA499E">
        <w:rPr>
          <w:rFonts w:ascii="Times New Roman" w:hAnsi="Times New Roman"/>
          <w:lang w:val="da-DK"/>
        </w:rPr>
        <w:t xml:space="preserve"> </w:t>
      </w:r>
      <w:r w:rsidRPr="00AA499E">
        <w:rPr>
          <w:rFonts w:ascii="Times New Roman" w:hAnsi="Times New Roman"/>
          <w:lang w:val="da-DK"/>
        </w:rPr>
        <w:t>gav samme optagelse som doser på henholdsvis 400 mg og 600 mg til voksne. Sammenligningen af AUC</w:t>
      </w:r>
      <w:r w:rsidRPr="00AA499E">
        <w:rPr>
          <w:rFonts w:ascii="Times New Roman" w:hAnsi="Times New Roman"/>
          <w:vertAlign w:val="subscript"/>
          <w:lang w:val="da-DK"/>
        </w:rPr>
        <w:t>(0-24)</w:t>
      </w:r>
      <w:r w:rsidRPr="00AA499E">
        <w:rPr>
          <w:rFonts w:ascii="Times New Roman" w:hAnsi="Times New Roman"/>
          <w:lang w:val="da-DK"/>
        </w:rPr>
        <w:t xml:space="preserve"> på dag 8 og dag 1 ved 340 mg/m</w:t>
      </w:r>
      <w:r w:rsidRPr="00AA499E">
        <w:rPr>
          <w:rFonts w:ascii="Times New Roman" w:hAnsi="Times New Roman"/>
          <w:vertAlign w:val="superscript"/>
          <w:lang w:val="da-DK"/>
        </w:rPr>
        <w:t>2</w:t>
      </w:r>
      <w:r w:rsidRPr="00AA499E">
        <w:rPr>
          <w:rFonts w:ascii="Times New Roman" w:hAnsi="Times New Roman"/>
          <w:lang w:val="da-DK"/>
        </w:rPr>
        <w:t>/dag dosisniveauet viste en 1,7</w:t>
      </w:r>
      <w:r w:rsidR="00F644B8" w:rsidRPr="00AA499E">
        <w:rPr>
          <w:rFonts w:ascii="Times New Roman" w:hAnsi="Times New Roman"/>
          <w:lang w:val="da-DK"/>
        </w:rPr>
        <w:t> </w:t>
      </w:r>
      <w:r w:rsidRPr="00AA499E">
        <w:rPr>
          <w:rFonts w:ascii="Times New Roman" w:hAnsi="Times New Roman"/>
          <w:lang w:val="da-DK"/>
        </w:rPr>
        <w:t>gang højere lægemiddelakkumulering efter gentagen dosering, én gang daglig.</w:t>
      </w:r>
    </w:p>
    <w:p w14:paraId="1FBD93A9" w14:textId="77777777" w:rsidR="00F644B8" w:rsidRPr="00AA499E" w:rsidRDefault="00F644B8" w:rsidP="00F644B8">
      <w:pPr>
        <w:autoSpaceDE w:val="0"/>
        <w:autoSpaceDN w:val="0"/>
        <w:adjustRightInd w:val="0"/>
        <w:spacing w:after="0" w:line="240" w:lineRule="auto"/>
        <w:rPr>
          <w:rFonts w:ascii="Times New Roman" w:hAnsi="Times New Roman"/>
          <w:lang w:val="da-DK"/>
        </w:rPr>
      </w:pPr>
    </w:p>
    <w:p w14:paraId="46D66F38" w14:textId="77777777" w:rsidR="00F644B8" w:rsidRPr="00AA499E" w:rsidRDefault="00F644B8" w:rsidP="00F644B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Baseret på den poolede farmakokinetiske populationsanalyse hos børn med hæmatologiske sygdomme (CML, Ph+ ALL eller andre hæmatologiske sygdomme behandlet med imatinib), stiger imatinib-clearance med stigende legemsoverflade. Efter korrigering for legemsoverflade-effekten havde andre demografiske faktorer som alder, kropsvægt og kropsmasseindeks (</w:t>
      </w:r>
      <w:r w:rsidRPr="00AA499E">
        <w:rPr>
          <w:rFonts w:ascii="Times New Roman" w:hAnsi="Times New Roman"/>
          <w:i/>
          <w:lang w:val="da-DK"/>
        </w:rPr>
        <w:t>body mass index</w:t>
      </w:r>
      <w:r w:rsidRPr="00AA499E">
        <w:rPr>
          <w:rFonts w:ascii="Times New Roman" w:hAnsi="Times New Roman"/>
          <w:lang w:val="da-DK"/>
        </w:rPr>
        <w:t>) ikke klinisk signifikant effekt på imatinib-eksponeringen. Analysen bekræftede, at imatinib-eksponeringen hos børn, som fik 260 mg/m</w:t>
      </w:r>
      <w:r w:rsidRPr="00AA499E">
        <w:rPr>
          <w:rFonts w:ascii="Times New Roman" w:hAnsi="Times New Roman"/>
          <w:vertAlign w:val="superscript"/>
          <w:lang w:val="da-DK"/>
        </w:rPr>
        <w:t>2</w:t>
      </w:r>
      <w:r w:rsidRPr="00AA499E">
        <w:rPr>
          <w:rFonts w:ascii="Times New Roman" w:hAnsi="Times New Roman"/>
          <w:lang w:val="da-DK"/>
        </w:rPr>
        <w:t xml:space="preserve"> en gang daglig (højst 400 mg en gang daglig) eller 340 mg/m</w:t>
      </w:r>
      <w:r w:rsidRPr="00AA499E">
        <w:rPr>
          <w:rFonts w:ascii="Times New Roman" w:hAnsi="Times New Roman"/>
          <w:vertAlign w:val="superscript"/>
          <w:lang w:val="da-DK"/>
        </w:rPr>
        <w:t>2</w:t>
      </w:r>
      <w:r w:rsidRPr="00AA499E">
        <w:rPr>
          <w:rFonts w:ascii="Times New Roman" w:hAnsi="Times New Roman"/>
          <w:lang w:val="da-DK"/>
        </w:rPr>
        <w:t xml:space="preserve"> en gang daglig (højst 600 mg en gang daglig), svarede til eksponeringen hos voksne, som fik imatinib 400 mg eller 600 mg en gang daglig.</w:t>
      </w:r>
    </w:p>
    <w:p w14:paraId="2B75935B" w14:textId="77777777" w:rsidR="006478AD" w:rsidRPr="00AA499E" w:rsidRDefault="006478AD">
      <w:pPr>
        <w:autoSpaceDE w:val="0"/>
        <w:autoSpaceDN w:val="0"/>
        <w:adjustRightInd w:val="0"/>
        <w:spacing w:after="0" w:line="240" w:lineRule="auto"/>
        <w:rPr>
          <w:rFonts w:ascii="Times New Roman" w:hAnsi="Times New Roman"/>
          <w:lang w:val="da-DK"/>
        </w:rPr>
      </w:pPr>
    </w:p>
    <w:p w14:paraId="58A2E5FF"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Nedsat organfunktion</w:t>
      </w:r>
    </w:p>
    <w:p w14:paraId="7C5E3C9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 og dets metabolitter udskilles kun i ubetydelig grad via nyrerne. Patienter med mild og moderat nedsat nyrefunktion ser ud til at have større plasmaeksponering end patienter med normal nyrefunktion. Eksponeringen er ca. 1,5- til 2- fold, svarende til en 1,5-gangs stigning af plasma AGP som imatinib </w:t>
      </w:r>
      <w:r w:rsidRPr="00AA499E">
        <w:rPr>
          <w:rFonts w:ascii="Times New Roman" w:hAnsi="Times New Roman"/>
          <w:lang w:val="da-DK"/>
        </w:rPr>
        <w:lastRenderedPageBreak/>
        <w:t>binder stærkt til. Udskildning af fri imatinib er sandsynligvis sammenlignelig for patienter med nedsat nyrefunktion og dem med normal nyrefunktion, eftersom udskillelse via nyren kun udgør en mindre elimineringsvej for imatinib (se pkt. 4.2 og 4.4).</w:t>
      </w:r>
    </w:p>
    <w:p w14:paraId="4647DF66" w14:textId="77777777" w:rsidR="006478AD" w:rsidRPr="00AA499E" w:rsidRDefault="006478AD">
      <w:pPr>
        <w:autoSpaceDE w:val="0"/>
        <w:autoSpaceDN w:val="0"/>
        <w:adjustRightInd w:val="0"/>
        <w:spacing w:after="0" w:line="240" w:lineRule="auto"/>
        <w:rPr>
          <w:rFonts w:ascii="Times New Roman" w:hAnsi="Times New Roman"/>
          <w:lang w:val="da-DK"/>
        </w:rPr>
      </w:pPr>
    </w:p>
    <w:p w14:paraId="4E5224D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Selvom resultaterne fra en farmakokinetisk analyse viste, at der var en betydelig variation mellem forsøgspersoner, øgede den gennemsnitlige eksponering af imatinib sig ikke hos patienter med varierende grad af nedsat leverfunktion, sammenlignet med patienter med normal leverfunktion (se pkt. 4.2, 4.4 og 4.8).</w:t>
      </w:r>
    </w:p>
    <w:p w14:paraId="405C55AD" w14:textId="77777777" w:rsidR="006478AD" w:rsidRPr="00AA499E" w:rsidRDefault="006478AD">
      <w:pPr>
        <w:autoSpaceDE w:val="0"/>
        <w:autoSpaceDN w:val="0"/>
        <w:adjustRightInd w:val="0"/>
        <w:spacing w:after="0" w:line="240" w:lineRule="auto"/>
        <w:rPr>
          <w:rFonts w:ascii="Times New Roman" w:hAnsi="Times New Roman"/>
          <w:lang w:val="da-DK"/>
        </w:rPr>
      </w:pPr>
    </w:p>
    <w:p w14:paraId="314F9435" w14:textId="08A1EE81"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5.3</w:t>
      </w:r>
      <w:r w:rsidRPr="00AA499E">
        <w:rPr>
          <w:rFonts w:ascii="Times New Roman" w:hAnsi="Times New Roman"/>
          <w:b/>
          <w:bCs/>
          <w:lang w:val="da-DK"/>
        </w:rPr>
        <w:tab/>
      </w:r>
      <w:r w:rsidR="007E3CA6" w:rsidRPr="00AA499E">
        <w:rPr>
          <w:rFonts w:ascii="Times New Roman" w:hAnsi="Times New Roman"/>
          <w:b/>
          <w:bCs/>
          <w:lang w:val="da-DK"/>
        </w:rPr>
        <w:t>Non-</w:t>
      </w:r>
      <w:r w:rsidRPr="00AA499E">
        <w:rPr>
          <w:rFonts w:ascii="Times New Roman" w:hAnsi="Times New Roman"/>
          <w:b/>
          <w:bCs/>
          <w:lang w:val="da-DK"/>
        </w:rPr>
        <w:t>kliniske sikkerhedsdata</w:t>
      </w:r>
    </w:p>
    <w:p w14:paraId="54F57E3C" w14:textId="77777777" w:rsidR="006478AD" w:rsidRPr="00AA499E" w:rsidRDefault="006478AD">
      <w:pPr>
        <w:autoSpaceDE w:val="0"/>
        <w:autoSpaceDN w:val="0"/>
        <w:adjustRightInd w:val="0"/>
        <w:spacing w:after="0" w:line="240" w:lineRule="auto"/>
        <w:rPr>
          <w:rFonts w:ascii="Times New Roman" w:hAnsi="Times New Roman"/>
          <w:lang w:val="da-DK"/>
        </w:rPr>
      </w:pPr>
    </w:p>
    <w:p w14:paraId="68F89A7D" w14:textId="089EBF1D"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Imatinibs prækliniske sikkerhedsprofil blev vurderet hos rotter, hunde, aber og kaniner.</w:t>
      </w:r>
    </w:p>
    <w:p w14:paraId="244B8D52" w14:textId="77777777" w:rsidR="006478AD" w:rsidRPr="00AA499E" w:rsidRDefault="006478AD">
      <w:pPr>
        <w:autoSpaceDE w:val="0"/>
        <w:autoSpaceDN w:val="0"/>
        <w:adjustRightInd w:val="0"/>
        <w:spacing w:after="0" w:line="240" w:lineRule="auto"/>
        <w:rPr>
          <w:rFonts w:ascii="Times New Roman" w:hAnsi="Times New Roman"/>
          <w:lang w:val="da-DK"/>
        </w:rPr>
      </w:pPr>
    </w:p>
    <w:p w14:paraId="0179497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Toksicitetsundersøgelser med gentagen dosering viste milde til moderate hæmatologiske forandringer hos rotter, hunde og aber, ledsaget af knoglemarvsændringer hos rotter og hunde.</w:t>
      </w:r>
    </w:p>
    <w:p w14:paraId="25037F45" w14:textId="77777777" w:rsidR="006478AD" w:rsidRPr="00AA499E" w:rsidRDefault="006478AD">
      <w:pPr>
        <w:autoSpaceDE w:val="0"/>
        <w:autoSpaceDN w:val="0"/>
        <w:adjustRightInd w:val="0"/>
        <w:spacing w:after="0" w:line="240" w:lineRule="auto"/>
        <w:rPr>
          <w:rFonts w:ascii="Times New Roman" w:hAnsi="Times New Roman"/>
          <w:lang w:val="da-DK"/>
        </w:rPr>
      </w:pPr>
    </w:p>
    <w:p w14:paraId="1236404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Leveren var målorganet hos rotter og hunde. Der sås milde til moderate stigninger i transaminaser og lette stigninger i kolesterol, triglycerider, totale protein- og albuminniveauer hos begge dyrearter. Der sås ingen histopatologiske forandringer i rottelever. Der sås svær levertoksicitet hos hunde behandlet i 2 uger, inkluderende forhøjede leverenzymer, hepatocellulær nekrose, galdevejsnekrose samt galdevejshyperplasia.</w:t>
      </w:r>
    </w:p>
    <w:p w14:paraId="464CAA57" w14:textId="77777777" w:rsidR="006478AD" w:rsidRPr="00AA499E" w:rsidRDefault="006478AD">
      <w:pPr>
        <w:autoSpaceDE w:val="0"/>
        <w:autoSpaceDN w:val="0"/>
        <w:adjustRightInd w:val="0"/>
        <w:spacing w:after="0" w:line="240" w:lineRule="auto"/>
        <w:rPr>
          <w:rFonts w:ascii="Times New Roman" w:hAnsi="Times New Roman"/>
          <w:lang w:val="da-DK"/>
        </w:rPr>
      </w:pPr>
    </w:p>
    <w:p w14:paraId="062F92D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sås nyretoksicitet hos aber behandlet i 2 uger, inkluderende fokal mineralisering og dilatering af nyretubuli samt tubulær nefrose. Der sås forhøjet se-carbamid og se-creatinin hos adskillige af disse dyr. Ved doser &gt;6 mg/kg, sås hos rotter i 13-ugers undersøgelsen hyperplasi af det transitoriske epithel i nyrepapillerne og i urinblæren, uden ændringer i serum- eller urinparametre. Der sås øget incidens af opportunistiske infektioner ved kronisk imatinib-behandling.</w:t>
      </w:r>
      <w:r w:rsidRPr="00AA499E">
        <w:rPr>
          <w:rFonts w:ascii="Times New Roman" w:hAnsi="Times New Roman"/>
          <w:lang w:val="da-DK"/>
        </w:rPr>
        <w:noBreakHyphen/>
      </w:r>
    </w:p>
    <w:p w14:paraId="6A208842" w14:textId="77777777" w:rsidR="006478AD" w:rsidRPr="00AA499E" w:rsidRDefault="006478AD">
      <w:pPr>
        <w:autoSpaceDE w:val="0"/>
        <w:autoSpaceDN w:val="0"/>
        <w:adjustRightInd w:val="0"/>
        <w:spacing w:after="0" w:line="240" w:lineRule="auto"/>
        <w:rPr>
          <w:rFonts w:ascii="Times New Roman" w:hAnsi="Times New Roman"/>
          <w:lang w:val="da-DK"/>
        </w:rPr>
      </w:pPr>
    </w:p>
    <w:p w14:paraId="7D18437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fandtes i en 39-ugers undersøgelse med aber ingen NOAEL (no observed adverse effect level/niveau ved ingen observeret bivirkningseffekt) ved den laveste dosis på 15 mg/kg, ca. 1/3 af den maksimale humane dosis på 800 mg baseret på legemsoverfladeareal. Behandlingen resulterede hos disse dyr i en forværring af normalt kontrollerede malariainfektioner.</w:t>
      </w:r>
      <w:r w:rsidRPr="00AA499E">
        <w:rPr>
          <w:rFonts w:ascii="Times New Roman" w:hAnsi="Times New Roman"/>
          <w:lang w:val="da-DK"/>
        </w:rPr>
        <w:noBreakHyphen/>
      </w:r>
    </w:p>
    <w:p w14:paraId="26E1E163" w14:textId="77777777" w:rsidR="006478AD" w:rsidRPr="00AA499E" w:rsidRDefault="006478AD">
      <w:pPr>
        <w:autoSpaceDE w:val="0"/>
        <w:autoSpaceDN w:val="0"/>
        <w:adjustRightInd w:val="0"/>
        <w:spacing w:after="0" w:line="240" w:lineRule="auto"/>
        <w:rPr>
          <w:rFonts w:ascii="Times New Roman" w:hAnsi="Times New Roman"/>
          <w:lang w:val="da-DK"/>
        </w:rPr>
      </w:pPr>
    </w:p>
    <w:p w14:paraId="429057D3"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lang w:val="da-DK"/>
        </w:rPr>
        <w:t xml:space="preserve">Imatinib ansås ikke som værende genotoksisk i </w:t>
      </w:r>
      <w:r w:rsidRPr="00AA499E">
        <w:rPr>
          <w:rFonts w:ascii="Times New Roman" w:hAnsi="Times New Roman"/>
          <w:i/>
          <w:iCs/>
          <w:lang w:val="da-DK"/>
        </w:rPr>
        <w:t xml:space="preserve">in vitro </w:t>
      </w:r>
      <w:r w:rsidRPr="00AA499E">
        <w:rPr>
          <w:rFonts w:ascii="Times New Roman" w:hAnsi="Times New Roman"/>
          <w:lang w:val="da-DK"/>
        </w:rPr>
        <w:t xml:space="preserve">bakteriecelleundersøgelse (Ames test), i </w:t>
      </w:r>
      <w:r w:rsidRPr="00AA499E">
        <w:rPr>
          <w:rFonts w:ascii="Times New Roman" w:hAnsi="Times New Roman"/>
          <w:i/>
          <w:iCs/>
          <w:lang w:val="da-DK"/>
        </w:rPr>
        <w:t xml:space="preserve">in vitro </w:t>
      </w:r>
      <w:r w:rsidRPr="00AA499E">
        <w:rPr>
          <w:rFonts w:ascii="Times New Roman" w:hAnsi="Times New Roman"/>
          <w:lang w:val="da-DK"/>
        </w:rPr>
        <w:t xml:space="preserve">pattedyrscelleundersøgelse (muselymfom) samt i </w:t>
      </w:r>
      <w:r w:rsidRPr="00AA499E">
        <w:rPr>
          <w:rFonts w:ascii="Times New Roman" w:hAnsi="Times New Roman"/>
          <w:i/>
          <w:iCs/>
          <w:lang w:val="da-DK"/>
        </w:rPr>
        <w:t xml:space="preserve">in vivo </w:t>
      </w:r>
      <w:r w:rsidRPr="00AA499E">
        <w:rPr>
          <w:rFonts w:ascii="Times New Roman" w:hAnsi="Times New Roman"/>
          <w:lang w:val="da-DK"/>
        </w:rPr>
        <w:t>rottemikronukleusundersøgelse. Der sås positiv</w:t>
      </w:r>
      <w:r w:rsidRPr="00AA499E">
        <w:rPr>
          <w:rFonts w:ascii="Times New Roman" w:hAnsi="Times New Roman"/>
          <w:i/>
          <w:iCs/>
          <w:lang w:val="da-DK"/>
        </w:rPr>
        <w:t xml:space="preserve"> </w:t>
      </w:r>
      <w:r w:rsidRPr="00AA499E">
        <w:rPr>
          <w:rFonts w:ascii="Times New Roman" w:hAnsi="Times New Roman"/>
          <w:lang w:val="da-DK"/>
        </w:rPr>
        <w:t xml:space="preserve">genotoksisk effekt med imatinib i en </w:t>
      </w:r>
      <w:r w:rsidRPr="00AA499E">
        <w:rPr>
          <w:rFonts w:ascii="Times New Roman" w:hAnsi="Times New Roman"/>
          <w:i/>
          <w:iCs/>
          <w:lang w:val="da-DK"/>
        </w:rPr>
        <w:t xml:space="preserve">in vitro </w:t>
      </w:r>
      <w:r w:rsidRPr="00AA499E">
        <w:rPr>
          <w:rFonts w:ascii="Times New Roman" w:hAnsi="Times New Roman"/>
          <w:lang w:val="da-DK"/>
        </w:rPr>
        <w:t>pattedyrscelleundersøgelse (kinesisk</w:t>
      </w:r>
      <w:r w:rsidRPr="00AA499E">
        <w:rPr>
          <w:rFonts w:ascii="Times New Roman" w:hAnsi="Times New Roman"/>
          <w:i/>
          <w:iCs/>
          <w:lang w:val="da-DK"/>
        </w:rPr>
        <w:t xml:space="preserve"> </w:t>
      </w:r>
      <w:r w:rsidRPr="00AA499E">
        <w:rPr>
          <w:rFonts w:ascii="Times New Roman" w:hAnsi="Times New Roman"/>
          <w:lang w:val="da-DK"/>
        </w:rPr>
        <w:t>hamsterovarium) for clastogenicitet (kromosomafvigelser) ved metabolisk aktivering. To</w:t>
      </w:r>
      <w:r w:rsidRPr="00AA499E">
        <w:rPr>
          <w:rFonts w:ascii="Times New Roman" w:hAnsi="Times New Roman"/>
          <w:i/>
          <w:iCs/>
          <w:lang w:val="da-DK"/>
        </w:rPr>
        <w:t xml:space="preserve"> </w:t>
      </w:r>
      <w:r w:rsidRPr="00AA499E">
        <w:rPr>
          <w:rFonts w:ascii="Times New Roman" w:hAnsi="Times New Roman"/>
          <w:lang w:val="da-DK"/>
        </w:rPr>
        <w:t>intermediatorer i fremstillingsprocessen, der også tilstede i det endelige produkt, er positive for</w:t>
      </w:r>
      <w:r w:rsidRPr="00AA499E">
        <w:rPr>
          <w:rFonts w:ascii="Times New Roman" w:hAnsi="Times New Roman"/>
          <w:i/>
          <w:iCs/>
          <w:lang w:val="da-DK"/>
        </w:rPr>
        <w:t xml:space="preserve"> </w:t>
      </w:r>
      <w:r w:rsidRPr="00AA499E">
        <w:rPr>
          <w:rFonts w:ascii="Times New Roman" w:hAnsi="Times New Roman"/>
          <w:lang w:val="da-DK"/>
        </w:rPr>
        <w:t>mutagenese i Ames testen. En af disse intermediatorer var også positiv i</w:t>
      </w:r>
      <w:r w:rsidRPr="00AA499E">
        <w:rPr>
          <w:rFonts w:ascii="Times New Roman" w:hAnsi="Times New Roman"/>
          <w:i/>
          <w:iCs/>
          <w:lang w:val="da-DK"/>
        </w:rPr>
        <w:t xml:space="preserve"> </w:t>
      </w:r>
      <w:r w:rsidRPr="00AA499E">
        <w:rPr>
          <w:rFonts w:ascii="Times New Roman" w:hAnsi="Times New Roman"/>
          <w:lang w:val="da-DK"/>
        </w:rPr>
        <w:t>muselymfomtesten.</w:t>
      </w:r>
    </w:p>
    <w:p w14:paraId="368610B8" w14:textId="77777777" w:rsidR="006478AD" w:rsidRPr="00AA499E" w:rsidRDefault="006478AD">
      <w:pPr>
        <w:autoSpaceDE w:val="0"/>
        <w:autoSpaceDN w:val="0"/>
        <w:adjustRightInd w:val="0"/>
        <w:spacing w:after="0" w:line="240" w:lineRule="auto"/>
        <w:rPr>
          <w:rFonts w:ascii="Times New Roman" w:hAnsi="Times New Roman"/>
          <w:lang w:val="da-DK"/>
        </w:rPr>
      </w:pPr>
    </w:p>
    <w:p w14:paraId="503C3F3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en fertilitetsundersøgelse med hanrotter doseret i 70 dage før parring, sås nedsat testikel- og epididymisvægt samt reduceret antal bevægelige sædceller ved 60 mg/kg, ca. svarende til den maksimale kliniske dosis på 800 mg/dag, baseret på legemsoverfladeareal. Dette sås ikke ved doser ≤20 mg/kg. Der sås også en let til moderat reduktion i spermatogenesen hos hunde ved orale doser ≥30 mg/kg. Når hunrotter doseredes 14 dage inden parring og vedvarende til gestationsdag 6, sås ingen effekt på parringen eller antallet af gravide hunner. Ved en dosis på 60 mg/kg, havde hunrotterne et signifikant føtaltab efter implantation og et reduceret antal levende fostre. Dette sås ikke ved doser ≤20 mg/kg.</w:t>
      </w:r>
    </w:p>
    <w:p w14:paraId="325292DA" w14:textId="77777777" w:rsidR="006478AD" w:rsidRPr="00AA499E" w:rsidRDefault="006478AD">
      <w:pPr>
        <w:autoSpaceDE w:val="0"/>
        <w:autoSpaceDN w:val="0"/>
        <w:adjustRightInd w:val="0"/>
        <w:spacing w:after="0" w:line="240" w:lineRule="auto"/>
        <w:rPr>
          <w:rFonts w:ascii="Times New Roman" w:hAnsi="Times New Roman"/>
          <w:lang w:val="da-DK"/>
        </w:rPr>
      </w:pPr>
    </w:p>
    <w:p w14:paraId="24D8759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 et oralt præ- og postnatalt udviklingsstudie med rotter sås rødt, vaginalt udflåd i gruppen med 45 mg/kg/dag på enten dag 14 eller dag 15 efter gestation. Der sås ved samme dosis øgning i antallet af </w:t>
      </w:r>
      <w:r w:rsidRPr="00AA499E">
        <w:rPr>
          <w:rFonts w:ascii="Times New Roman" w:hAnsi="Times New Roman"/>
          <w:lang w:val="da-DK"/>
        </w:rPr>
        <w:lastRenderedPageBreak/>
        <w:t>dødfødte unger, såvel som i antallet af unger der døde postpartum mellem dag 0 og dag 4. I F</w:t>
      </w:r>
      <w:r w:rsidRPr="00AA499E">
        <w:rPr>
          <w:rFonts w:ascii="Times New Roman" w:hAnsi="Times New Roman"/>
          <w:vertAlign w:val="subscript"/>
          <w:lang w:val="da-DK"/>
        </w:rPr>
        <w:t>1</w:t>
      </w:r>
      <w:r w:rsidRPr="00AA499E">
        <w:rPr>
          <w:rFonts w:ascii="Times New Roman" w:hAnsi="Times New Roman"/>
          <w:lang w:val="da-DK"/>
        </w:rPr>
        <w:t>-afkommet var den gennemsnitlige kropsvægt ved samme dosisniveau reduceret fra fødsel til aflivning og antallet af kuld der opfyldte kriteriet for præputial separation var let nedsat. F</w:t>
      </w:r>
      <w:r w:rsidRPr="00AA499E">
        <w:rPr>
          <w:rFonts w:ascii="Times New Roman" w:hAnsi="Times New Roman"/>
          <w:vertAlign w:val="subscript"/>
          <w:lang w:val="da-DK"/>
        </w:rPr>
        <w:t>1</w:t>
      </w:r>
      <w:r w:rsidRPr="00AA499E">
        <w:rPr>
          <w:rFonts w:ascii="Times New Roman" w:hAnsi="Times New Roman"/>
          <w:lang w:val="da-DK"/>
        </w:rPr>
        <w:t xml:space="preserve"> fertilitet var ikke påvirket, mens der sås et øget antal resorptioner og et nedsat antal levende fostre ved 45 mg/kg/dag. Niveauet for ingen observeret effekt (NOEL) var 15 mg/kg/dag for både moderdyr og F</w:t>
      </w:r>
      <w:r w:rsidRPr="00AA499E">
        <w:rPr>
          <w:rFonts w:ascii="Times New Roman" w:hAnsi="Times New Roman"/>
          <w:vertAlign w:val="subscript"/>
          <w:lang w:val="da-DK"/>
        </w:rPr>
        <w:t>1</w:t>
      </w:r>
      <w:r w:rsidRPr="00AA499E">
        <w:rPr>
          <w:rFonts w:ascii="Times New Roman" w:hAnsi="Times New Roman"/>
          <w:lang w:val="da-DK"/>
        </w:rPr>
        <w:t xml:space="preserve"> generation (en ¼ af den maksimale humane dosis på 800 mg).</w:t>
      </w:r>
    </w:p>
    <w:p w14:paraId="1F22C9EA" w14:textId="77777777" w:rsidR="006478AD" w:rsidRPr="00AA499E" w:rsidRDefault="006478AD">
      <w:pPr>
        <w:autoSpaceDE w:val="0"/>
        <w:autoSpaceDN w:val="0"/>
        <w:adjustRightInd w:val="0"/>
        <w:spacing w:after="0" w:line="240" w:lineRule="auto"/>
        <w:rPr>
          <w:rFonts w:ascii="Times New Roman" w:hAnsi="Times New Roman"/>
          <w:lang w:val="da-DK"/>
        </w:rPr>
      </w:pPr>
    </w:p>
    <w:p w14:paraId="14A8DD1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var teratogent hos rotter ved administration under organgenese ved doser ≥100 mg/kg, ca. svarende til den maksimale kliniske dosis på 800 mg/dag, baseret på legemsoverfladeareal. Teratogene virkninger inkluderede exencephali eller encephalocele, manglende/reducerede frontale knogler og manglende parietalknogler. Disse virkninger sås ikke ved doser ≤30 mg/kg.</w:t>
      </w:r>
    </w:p>
    <w:p w14:paraId="2D3789D6" w14:textId="77777777" w:rsidR="008B42C6" w:rsidRPr="00AA499E" w:rsidRDefault="008B42C6">
      <w:pPr>
        <w:autoSpaceDE w:val="0"/>
        <w:autoSpaceDN w:val="0"/>
        <w:adjustRightInd w:val="0"/>
        <w:spacing w:after="0" w:line="240" w:lineRule="auto"/>
        <w:rPr>
          <w:rFonts w:ascii="Times New Roman" w:hAnsi="Times New Roman"/>
          <w:lang w:val="da-DK"/>
        </w:rPr>
      </w:pPr>
    </w:p>
    <w:p w14:paraId="46AFAA96" w14:textId="77777777" w:rsidR="008B42C6" w:rsidRPr="00AA499E" w:rsidRDefault="008B42C6" w:rsidP="000E26B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et juvenilt udviklingstoksikologisk rottestudie blev der ikke identificeret nye målorganer (dag</w:t>
      </w:r>
      <w:r w:rsidR="00DD6B09" w:rsidRPr="00AA499E">
        <w:rPr>
          <w:rFonts w:ascii="Times New Roman" w:hAnsi="Times New Roman"/>
          <w:lang w:val="da-DK"/>
        </w:rPr>
        <w:t> </w:t>
      </w:r>
      <w:r w:rsidRPr="00AA499E">
        <w:rPr>
          <w:rFonts w:ascii="Times New Roman" w:hAnsi="Times New Roman"/>
          <w:lang w:val="da-DK"/>
        </w:rPr>
        <w:t>10 til 70 postpartum) med hensyn til kendte målorganer hos voksne rotter. I det juvenile toksikologistudie blev der set effekt på vækst samt forsinket vaginalåbning og præputial separation ved ca. 0,3 til 2</w:t>
      </w:r>
      <w:r w:rsidR="000E26B2" w:rsidRPr="00AA499E">
        <w:rPr>
          <w:rFonts w:ascii="Times New Roman" w:hAnsi="Times New Roman"/>
          <w:lang w:val="da-DK"/>
        </w:rPr>
        <w:t> </w:t>
      </w:r>
      <w:r w:rsidRPr="00AA499E">
        <w:rPr>
          <w:rFonts w:ascii="Times New Roman" w:hAnsi="Times New Roman"/>
          <w:lang w:val="da-DK"/>
        </w:rPr>
        <w:t>gange den gennemsnitlige pædiatriske eksponering ved den højst anbefalede dosis på 340 mg/m</w:t>
      </w:r>
      <w:r w:rsidRPr="00AA499E">
        <w:rPr>
          <w:rFonts w:ascii="Times New Roman" w:hAnsi="Times New Roman"/>
          <w:vertAlign w:val="superscript"/>
          <w:lang w:val="da-DK"/>
        </w:rPr>
        <w:t>2</w:t>
      </w:r>
      <w:r w:rsidRPr="00AA499E">
        <w:rPr>
          <w:rFonts w:ascii="Times New Roman" w:hAnsi="Times New Roman"/>
          <w:lang w:val="da-DK"/>
        </w:rPr>
        <w:t xml:space="preserve">. Derudover blev der set mortalitet hos juvenile dyr (omkring fravænningsfase) ved ca. </w:t>
      </w:r>
      <w:r w:rsidR="000E26B2" w:rsidRPr="00AA499E">
        <w:rPr>
          <w:rFonts w:ascii="Times New Roman" w:hAnsi="Times New Roman"/>
          <w:lang w:val="da-DK"/>
        </w:rPr>
        <w:t>2 </w:t>
      </w:r>
      <w:r w:rsidRPr="00AA499E">
        <w:rPr>
          <w:rFonts w:ascii="Times New Roman" w:hAnsi="Times New Roman"/>
          <w:lang w:val="da-DK"/>
        </w:rPr>
        <w:t>gange den gennemsnitlige pædiatriske eksponering ved den højst anbefalede dosis på 340 mg/m</w:t>
      </w:r>
      <w:r w:rsidRPr="00AA499E">
        <w:rPr>
          <w:rFonts w:ascii="Times New Roman" w:hAnsi="Times New Roman"/>
          <w:vertAlign w:val="superscript"/>
          <w:lang w:val="da-DK"/>
        </w:rPr>
        <w:t>2</w:t>
      </w:r>
      <w:r w:rsidRPr="00AA499E">
        <w:rPr>
          <w:rFonts w:ascii="Times New Roman" w:hAnsi="Times New Roman"/>
          <w:lang w:val="da-DK"/>
        </w:rPr>
        <w:t>.</w:t>
      </w:r>
    </w:p>
    <w:p w14:paraId="5C302025" w14:textId="77777777" w:rsidR="006478AD" w:rsidRPr="00AA499E" w:rsidRDefault="006478AD">
      <w:pPr>
        <w:autoSpaceDE w:val="0"/>
        <w:autoSpaceDN w:val="0"/>
        <w:adjustRightInd w:val="0"/>
        <w:spacing w:after="0" w:line="240" w:lineRule="auto"/>
        <w:rPr>
          <w:rFonts w:ascii="Times New Roman" w:hAnsi="Times New Roman"/>
          <w:lang w:val="da-DK"/>
        </w:rPr>
      </w:pPr>
    </w:p>
    <w:p w14:paraId="3D4E1B9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et 2-års carcinogen studie i rotter resulterede administration af imatinib på 15, 30 og 60 mg/kg/dag i en signifikant reduktion i levetiden ved 60 mg/kg/dag for hanner og for hunner ved ≥30 mg/kg/dag. Histopatologiske undersøgelser af de afdøde rotter afslørede kardiomyopati (for begge køn), kronisk progressiv nefropati (hunkøn) og papillomaer på forhuden som hovedårsag til død eller begrundelse for aflivning. Målorganerne for neoplastiske ændringer var nyrerne, urinblæren, urinrøret, fedtkirtlerne på forhuden og klitoris, tyndtarmen, bisskjoldbruskkirtlerne, binyrererne og den ikke-kirtellignende del af maven.</w:t>
      </w:r>
    </w:p>
    <w:p w14:paraId="78860649" w14:textId="77777777" w:rsidR="006478AD" w:rsidRPr="00AA499E" w:rsidRDefault="006478AD">
      <w:pPr>
        <w:autoSpaceDE w:val="0"/>
        <w:autoSpaceDN w:val="0"/>
        <w:adjustRightInd w:val="0"/>
        <w:spacing w:after="0" w:line="240" w:lineRule="auto"/>
        <w:rPr>
          <w:rFonts w:ascii="Times New Roman" w:hAnsi="Times New Roman"/>
          <w:lang w:val="da-DK"/>
        </w:rPr>
      </w:pPr>
    </w:p>
    <w:p w14:paraId="48AC1DD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Papillomaer/carcinomer i fedtkirtlerne på forhuden/klitoris blev set fra 30 mg/kg/dag og højere, som svarer til cirka 0,5 eller 0,3 gange den daglige humane eksponering (baseret på AUC) på henholdsvis 400 mg/dag eller 800 mg/dag. Dette svarer til 0,4 gange den daglige eksponering (baseret på AUC) hos børn på 340 mg/m</w:t>
      </w:r>
      <w:r w:rsidRPr="00AA499E">
        <w:rPr>
          <w:rFonts w:ascii="Times New Roman" w:hAnsi="Times New Roman"/>
          <w:vertAlign w:val="superscript"/>
          <w:lang w:val="da-DK"/>
        </w:rPr>
        <w:t>2</w:t>
      </w:r>
      <w:r w:rsidRPr="00AA499E">
        <w:rPr>
          <w:rFonts w:ascii="Times New Roman" w:hAnsi="Times New Roman"/>
          <w:lang w:val="da-DK"/>
        </w:rPr>
        <w:t>/dag. Niveauet for ingen observeret effekt (NOEL) var 15 mg/kg/dag. Renale adenomer/carcinomer, papillomaer i blæren og urinrøret, adenocarcinomer i tyndtarmen, adenomer i bisskjoldbruskkirtlerne, de benigne og maligne tumorer i binyremarven og ikke-kirtellignende ventrikelpapillomaer/carcinomer blev observeret ved 60 mg/kg/dag. Dette svarer til ca. 1,7 eller 1 gang den humane daglige eksponering (baseret på AUC) på henholdsvis 400 mg/dag eller 800 mg/dag, og 1,2 gange den daglige eksponering hos børn (baseret på AUC) på 340 mg/m</w:t>
      </w:r>
      <w:r w:rsidRPr="00AA499E">
        <w:rPr>
          <w:rFonts w:ascii="Times New Roman" w:hAnsi="Times New Roman"/>
          <w:vertAlign w:val="superscript"/>
          <w:lang w:val="da-DK"/>
        </w:rPr>
        <w:t>2</w:t>
      </w:r>
      <w:r w:rsidRPr="00AA499E">
        <w:rPr>
          <w:rFonts w:ascii="Times New Roman" w:hAnsi="Times New Roman"/>
          <w:lang w:val="da-DK"/>
        </w:rPr>
        <w:t>/dag. Niveauet for ingen observeret effekt (NOEL) var 30 mg/kg/dag.</w:t>
      </w:r>
    </w:p>
    <w:p w14:paraId="0E00F282" w14:textId="77777777" w:rsidR="006478AD" w:rsidRPr="00AA499E" w:rsidRDefault="006478AD">
      <w:pPr>
        <w:autoSpaceDE w:val="0"/>
        <w:autoSpaceDN w:val="0"/>
        <w:adjustRightInd w:val="0"/>
        <w:spacing w:after="0" w:line="240" w:lineRule="auto"/>
        <w:rPr>
          <w:rFonts w:ascii="Times New Roman" w:hAnsi="Times New Roman"/>
          <w:lang w:val="da-DK"/>
        </w:rPr>
      </w:pPr>
    </w:p>
    <w:p w14:paraId="55642A4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Mekanismen og betydningen for mennesker af disse resultater i carcinogen studiet hos rotter er endnu ikke afklaret.</w:t>
      </w:r>
    </w:p>
    <w:p w14:paraId="7EB804AB" w14:textId="77777777" w:rsidR="006478AD" w:rsidRPr="00AA499E" w:rsidRDefault="006478AD">
      <w:pPr>
        <w:autoSpaceDE w:val="0"/>
        <w:autoSpaceDN w:val="0"/>
        <w:adjustRightInd w:val="0"/>
        <w:spacing w:after="0" w:line="240" w:lineRule="auto"/>
        <w:rPr>
          <w:rFonts w:ascii="Times New Roman" w:hAnsi="Times New Roman"/>
          <w:lang w:val="da-DK"/>
        </w:rPr>
      </w:pPr>
    </w:p>
    <w:p w14:paraId="74980A81" w14:textId="4D16765A"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Non-neoplastisk skade, som ikke er identificeret ved tidligere prækliniske studier, er i det kardiovaskulære system, pankreas, endokrine organer og tænder. Den vigtigste ændring er hjertehypertrofi og dilation, som i nogle dyr kan føre til tegn på hjerteinsufficiens.</w:t>
      </w:r>
    </w:p>
    <w:p w14:paraId="07D7F6C5" w14:textId="77777777" w:rsidR="006516B3" w:rsidRPr="00AA499E" w:rsidRDefault="006516B3">
      <w:pPr>
        <w:autoSpaceDE w:val="0"/>
        <w:autoSpaceDN w:val="0"/>
        <w:adjustRightInd w:val="0"/>
        <w:spacing w:after="0" w:line="240" w:lineRule="auto"/>
        <w:rPr>
          <w:rFonts w:ascii="Times New Roman" w:hAnsi="Times New Roman"/>
          <w:lang w:val="da-DK"/>
        </w:rPr>
      </w:pPr>
    </w:p>
    <w:p w14:paraId="03229972" w14:textId="77777777" w:rsidR="006516B3" w:rsidRPr="00AA499E" w:rsidRDefault="006516B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 aktive stof imatinib viser en miljørisiko for sedimentlevende organismer.</w:t>
      </w:r>
    </w:p>
    <w:p w14:paraId="61654E87" w14:textId="77777777" w:rsidR="006478AD" w:rsidRPr="00AA499E" w:rsidRDefault="006478AD">
      <w:pPr>
        <w:autoSpaceDE w:val="0"/>
        <w:autoSpaceDN w:val="0"/>
        <w:adjustRightInd w:val="0"/>
        <w:spacing w:after="0" w:line="240" w:lineRule="auto"/>
        <w:rPr>
          <w:rFonts w:ascii="Times New Roman" w:hAnsi="Times New Roman"/>
          <w:lang w:val="da-DK"/>
        </w:rPr>
      </w:pPr>
    </w:p>
    <w:p w14:paraId="06828005" w14:textId="77777777" w:rsidR="006478AD" w:rsidRPr="00AA499E" w:rsidRDefault="006478AD">
      <w:pPr>
        <w:autoSpaceDE w:val="0"/>
        <w:autoSpaceDN w:val="0"/>
        <w:adjustRightInd w:val="0"/>
        <w:spacing w:after="0" w:line="240" w:lineRule="auto"/>
        <w:rPr>
          <w:rFonts w:ascii="Times New Roman" w:hAnsi="Times New Roman"/>
          <w:lang w:val="da-DK"/>
        </w:rPr>
      </w:pPr>
    </w:p>
    <w:p w14:paraId="5775E44E"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FARMACEUTISKE OPLYSNINGER</w:t>
      </w:r>
    </w:p>
    <w:p w14:paraId="60C46FC8" w14:textId="77777777" w:rsidR="006478AD" w:rsidRPr="00AA499E" w:rsidRDefault="006478AD">
      <w:pPr>
        <w:autoSpaceDE w:val="0"/>
        <w:autoSpaceDN w:val="0"/>
        <w:adjustRightInd w:val="0"/>
        <w:spacing w:after="0" w:line="240" w:lineRule="auto"/>
        <w:rPr>
          <w:rFonts w:ascii="Times New Roman" w:hAnsi="Times New Roman"/>
          <w:lang w:val="da-DK"/>
        </w:rPr>
      </w:pPr>
    </w:p>
    <w:p w14:paraId="6B0137A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6.1</w:t>
      </w:r>
      <w:r w:rsidRPr="00AA499E">
        <w:rPr>
          <w:rFonts w:ascii="Times New Roman" w:hAnsi="Times New Roman"/>
          <w:b/>
          <w:bCs/>
          <w:lang w:val="da-DK"/>
        </w:rPr>
        <w:tab/>
        <w:t>Hjælpestoffer</w:t>
      </w:r>
    </w:p>
    <w:p w14:paraId="28BFEB83" w14:textId="77777777" w:rsidR="006478AD" w:rsidRPr="00AA499E" w:rsidRDefault="006478AD">
      <w:pPr>
        <w:pStyle w:val="KeinLeerraum"/>
        <w:rPr>
          <w:rFonts w:ascii="Times New Roman" w:hAnsi="Times New Roman"/>
          <w:lang w:val="da-DK"/>
        </w:rPr>
      </w:pPr>
    </w:p>
    <w:p w14:paraId="65BADA21" w14:textId="77777777" w:rsidR="001658C2" w:rsidRPr="00AA499E" w:rsidRDefault="001658C2">
      <w:pPr>
        <w:autoSpaceDE w:val="0"/>
        <w:autoSpaceDN w:val="0"/>
        <w:adjustRightInd w:val="0"/>
        <w:spacing w:after="0" w:line="240" w:lineRule="auto"/>
        <w:ind w:left="567" w:hanging="567"/>
        <w:rPr>
          <w:rFonts w:ascii="Times New Roman" w:hAnsi="Times New Roman"/>
          <w:u w:val="single"/>
          <w:lang w:val="da-DK"/>
        </w:rPr>
      </w:pPr>
      <w:r w:rsidRPr="00AA499E">
        <w:rPr>
          <w:rFonts w:ascii="Times New Roman" w:hAnsi="Times New Roman"/>
          <w:u w:val="single"/>
          <w:lang w:val="da-DK"/>
        </w:rPr>
        <w:t>Imatinib Actavis 50 mg hårde kapsler</w:t>
      </w:r>
    </w:p>
    <w:p w14:paraId="4C4F0026" w14:textId="77777777" w:rsidR="006478AD" w:rsidRPr="00AA499E" w:rsidRDefault="00616F3C">
      <w:pPr>
        <w:autoSpaceDE w:val="0"/>
        <w:autoSpaceDN w:val="0"/>
        <w:adjustRightInd w:val="0"/>
        <w:spacing w:after="0" w:line="240" w:lineRule="auto"/>
        <w:ind w:left="567" w:hanging="567"/>
        <w:rPr>
          <w:rFonts w:ascii="Times New Roman" w:hAnsi="Times New Roman"/>
          <w:i/>
          <w:iCs/>
          <w:lang w:val="da-DK"/>
        </w:rPr>
      </w:pPr>
      <w:r w:rsidRPr="00AA499E">
        <w:rPr>
          <w:rFonts w:ascii="Times New Roman" w:hAnsi="Times New Roman"/>
          <w:i/>
          <w:lang w:val="da-DK"/>
        </w:rPr>
        <w:t>Kapselindhold</w:t>
      </w:r>
    </w:p>
    <w:p w14:paraId="0DC59BA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Cellulose, mikrokrystallinsk</w:t>
      </w:r>
    </w:p>
    <w:p w14:paraId="70F22EE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Copovidon</w:t>
      </w:r>
    </w:p>
    <w:p w14:paraId="15FF870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Crospovidon</w:t>
      </w:r>
    </w:p>
    <w:p w14:paraId="06EBE94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Natriumstearylfumarat</w:t>
      </w:r>
    </w:p>
    <w:p w14:paraId="23619C3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 xml:space="preserve">Silica, vandskyende kolloid </w:t>
      </w:r>
    </w:p>
    <w:p w14:paraId="72B3C0A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Silica, kolloid vandfri</w:t>
      </w:r>
    </w:p>
    <w:p w14:paraId="74F1AC9D" w14:textId="77777777" w:rsidR="006478AD" w:rsidRPr="00AA499E" w:rsidRDefault="006478AD">
      <w:pPr>
        <w:autoSpaceDE w:val="0"/>
        <w:autoSpaceDN w:val="0"/>
        <w:adjustRightInd w:val="0"/>
        <w:spacing w:after="0" w:line="240" w:lineRule="auto"/>
        <w:rPr>
          <w:rFonts w:ascii="Times New Roman" w:hAnsi="Times New Roman"/>
          <w:highlight w:val="yellow"/>
          <w:lang w:val="da-DK"/>
        </w:rPr>
      </w:pPr>
    </w:p>
    <w:p w14:paraId="7677F1DA"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Kapselskal</w:t>
      </w:r>
    </w:p>
    <w:p w14:paraId="72862AE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Hypromellose</w:t>
      </w:r>
    </w:p>
    <w:p w14:paraId="20290A1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Titandioxid (E 171)</w:t>
      </w:r>
    </w:p>
    <w:p w14:paraId="61748E9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Jernoxid, gul (E 172)</w:t>
      </w:r>
    </w:p>
    <w:p w14:paraId="4F8EEADB" w14:textId="77777777" w:rsidR="006478AD" w:rsidRPr="00AA499E" w:rsidRDefault="006478AD">
      <w:pPr>
        <w:autoSpaceDE w:val="0"/>
        <w:autoSpaceDN w:val="0"/>
        <w:adjustRightInd w:val="0"/>
        <w:spacing w:after="0" w:line="240" w:lineRule="auto"/>
        <w:rPr>
          <w:rFonts w:ascii="Times New Roman" w:hAnsi="Times New Roman"/>
          <w:lang w:val="da-DK"/>
        </w:rPr>
      </w:pPr>
    </w:p>
    <w:p w14:paraId="38D4AFA5"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lang w:val="da-DK"/>
        </w:rPr>
        <w:t>Trykfarve</w:t>
      </w:r>
    </w:p>
    <w:p w14:paraId="52632FD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Shellac</w:t>
      </w:r>
    </w:p>
    <w:p w14:paraId="422F68A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Sort jernoxid (E172)</w:t>
      </w:r>
    </w:p>
    <w:p w14:paraId="2FCFB4A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Propylenglycol</w:t>
      </w:r>
    </w:p>
    <w:p w14:paraId="4E53260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Ammoniakopløsning</w:t>
      </w:r>
    </w:p>
    <w:p w14:paraId="66E73BA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Natriumhydroxid</w:t>
      </w:r>
    </w:p>
    <w:p w14:paraId="4FE75BD7" w14:textId="77777777" w:rsidR="008370B1" w:rsidRPr="00AA499E" w:rsidRDefault="008370B1">
      <w:pPr>
        <w:autoSpaceDE w:val="0"/>
        <w:autoSpaceDN w:val="0"/>
        <w:adjustRightInd w:val="0"/>
        <w:spacing w:after="0" w:line="240" w:lineRule="auto"/>
        <w:rPr>
          <w:rFonts w:ascii="Times New Roman" w:hAnsi="Times New Roman"/>
          <w:u w:val="single"/>
          <w:lang w:val="da-DK"/>
        </w:rPr>
      </w:pPr>
    </w:p>
    <w:p w14:paraId="79BB2477" w14:textId="77777777" w:rsidR="001658C2" w:rsidRPr="00AA499E" w:rsidRDefault="001658C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100 mg hårde kapsler</w:t>
      </w:r>
    </w:p>
    <w:p w14:paraId="1B72CF83" w14:textId="77777777" w:rsidR="005A228E" w:rsidRPr="00AA499E" w:rsidRDefault="005A228E" w:rsidP="005A228E">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Kapselindhold</w:t>
      </w:r>
    </w:p>
    <w:p w14:paraId="1E8F85D2"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Cellulose, mikrokrystallinsk</w:t>
      </w:r>
    </w:p>
    <w:p w14:paraId="030D89BB"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Copovidon</w:t>
      </w:r>
    </w:p>
    <w:p w14:paraId="39698681"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Crospovidon</w:t>
      </w:r>
    </w:p>
    <w:p w14:paraId="2059C5DB"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Natriumstearylfumarat</w:t>
      </w:r>
    </w:p>
    <w:p w14:paraId="2F081583"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Silica, vandskyende kolloid </w:t>
      </w:r>
    </w:p>
    <w:p w14:paraId="642E09D8"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Silica, kolloid vandfri</w:t>
      </w:r>
    </w:p>
    <w:p w14:paraId="553C99B4" w14:textId="77777777" w:rsidR="005A228E" w:rsidRPr="00AA499E" w:rsidRDefault="005A228E" w:rsidP="005A228E">
      <w:pPr>
        <w:autoSpaceDE w:val="0"/>
        <w:autoSpaceDN w:val="0"/>
        <w:adjustRightInd w:val="0"/>
        <w:spacing w:after="0" w:line="240" w:lineRule="auto"/>
        <w:rPr>
          <w:rFonts w:ascii="Times New Roman" w:hAnsi="Times New Roman"/>
          <w:lang w:val="da-DK"/>
        </w:rPr>
      </w:pPr>
    </w:p>
    <w:p w14:paraId="10E1805C" w14:textId="77777777" w:rsidR="005A228E" w:rsidRPr="00AA499E" w:rsidRDefault="005A228E" w:rsidP="005A228E">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Kapselskal</w:t>
      </w:r>
    </w:p>
    <w:p w14:paraId="36060777"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Hypromellose</w:t>
      </w:r>
    </w:p>
    <w:p w14:paraId="205922FE"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Titandioxid (E 171)</w:t>
      </w:r>
    </w:p>
    <w:p w14:paraId="16A03E0C" w14:textId="77777777" w:rsidR="005A228E" w:rsidRPr="00C76A02" w:rsidRDefault="005A228E" w:rsidP="005A228E">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Jernoxid, gul (E 172)</w:t>
      </w:r>
    </w:p>
    <w:p w14:paraId="1C7908AF" w14:textId="77777777" w:rsidR="005A228E" w:rsidRPr="00C76A02" w:rsidRDefault="005A228E" w:rsidP="005A228E">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 xml:space="preserve">Jernoxid, rød (E 172) </w:t>
      </w:r>
    </w:p>
    <w:p w14:paraId="6A4EEF7F" w14:textId="77777777" w:rsidR="005A228E" w:rsidRPr="00C76A02" w:rsidRDefault="005A228E" w:rsidP="005A228E">
      <w:pPr>
        <w:autoSpaceDE w:val="0"/>
        <w:autoSpaceDN w:val="0"/>
        <w:adjustRightInd w:val="0"/>
        <w:spacing w:after="0" w:line="240" w:lineRule="auto"/>
        <w:rPr>
          <w:rFonts w:ascii="Times New Roman" w:hAnsi="Times New Roman"/>
          <w:lang w:val="pt-PT"/>
        </w:rPr>
      </w:pPr>
    </w:p>
    <w:p w14:paraId="7146D7BD" w14:textId="77777777" w:rsidR="005A228E" w:rsidRPr="00AA499E" w:rsidRDefault="005A228E" w:rsidP="005A228E">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Trykfarve</w:t>
      </w:r>
    </w:p>
    <w:p w14:paraId="45CF707C"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Shellac</w:t>
      </w:r>
    </w:p>
    <w:p w14:paraId="421B2495"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Sort jernoxid (E172)</w:t>
      </w:r>
    </w:p>
    <w:p w14:paraId="2657324F"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Propylenglycol</w:t>
      </w:r>
    </w:p>
    <w:p w14:paraId="7A31D3CB"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Ammoniakopløsning</w:t>
      </w:r>
    </w:p>
    <w:p w14:paraId="6496FD71" w14:textId="77777777" w:rsidR="001658C2"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Natriumhydroxid</w:t>
      </w:r>
    </w:p>
    <w:p w14:paraId="0F85CB12" w14:textId="77777777" w:rsidR="001658C2" w:rsidRPr="00AA499E" w:rsidRDefault="001658C2">
      <w:pPr>
        <w:autoSpaceDE w:val="0"/>
        <w:autoSpaceDN w:val="0"/>
        <w:adjustRightInd w:val="0"/>
        <w:spacing w:after="0" w:line="240" w:lineRule="auto"/>
        <w:rPr>
          <w:rFonts w:ascii="Times New Roman" w:hAnsi="Times New Roman"/>
          <w:lang w:val="da-DK"/>
        </w:rPr>
      </w:pPr>
    </w:p>
    <w:p w14:paraId="1ACC1E0D" w14:textId="77777777" w:rsidR="001658C2" w:rsidRPr="00AA499E" w:rsidRDefault="001658C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400 mg hårde kapsler</w:t>
      </w:r>
    </w:p>
    <w:p w14:paraId="23A98828" w14:textId="77777777" w:rsidR="005A228E" w:rsidRPr="00AA499E" w:rsidRDefault="005A228E" w:rsidP="005A228E">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Kapselindhold</w:t>
      </w:r>
    </w:p>
    <w:p w14:paraId="39D9192F"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Cellulose, mikrokrystallinsk</w:t>
      </w:r>
    </w:p>
    <w:p w14:paraId="58A7F1D2"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Copovidon</w:t>
      </w:r>
    </w:p>
    <w:p w14:paraId="3DF4E5A6"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Crospovidon</w:t>
      </w:r>
    </w:p>
    <w:p w14:paraId="771ADB68"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Natriumstearylfumarat</w:t>
      </w:r>
    </w:p>
    <w:p w14:paraId="5C601745"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Silica, vandskyende kolloid </w:t>
      </w:r>
    </w:p>
    <w:p w14:paraId="6D69A0E2"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Silica, kolloid vandfri</w:t>
      </w:r>
    </w:p>
    <w:p w14:paraId="084DF0BF" w14:textId="77777777" w:rsidR="005A228E" w:rsidRPr="00AA499E" w:rsidRDefault="005A228E" w:rsidP="005A228E">
      <w:pPr>
        <w:autoSpaceDE w:val="0"/>
        <w:autoSpaceDN w:val="0"/>
        <w:adjustRightInd w:val="0"/>
        <w:spacing w:after="0" w:line="240" w:lineRule="auto"/>
        <w:rPr>
          <w:rFonts w:ascii="Times New Roman" w:hAnsi="Times New Roman"/>
          <w:lang w:val="da-DK"/>
        </w:rPr>
      </w:pPr>
    </w:p>
    <w:p w14:paraId="31197F91" w14:textId="77777777" w:rsidR="005A228E" w:rsidRPr="00AA499E" w:rsidRDefault="005A228E" w:rsidP="005A228E">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Kapselskal</w:t>
      </w:r>
    </w:p>
    <w:p w14:paraId="3A3FAFA6"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Hypromellose</w:t>
      </w:r>
    </w:p>
    <w:p w14:paraId="38424234"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Titandioxid (E 171)</w:t>
      </w:r>
    </w:p>
    <w:p w14:paraId="60F2A8FE" w14:textId="77777777" w:rsidR="005A228E" w:rsidRPr="00C76A02" w:rsidRDefault="005A228E" w:rsidP="005A228E">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Jernoxid, gul (E 172)</w:t>
      </w:r>
    </w:p>
    <w:p w14:paraId="584A0BE3" w14:textId="77777777" w:rsidR="005A228E" w:rsidRPr="00C76A02" w:rsidRDefault="005A228E" w:rsidP="005A228E">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Jernoxid, rød (E 172)</w:t>
      </w:r>
    </w:p>
    <w:p w14:paraId="2BB6E7B8"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Jernoxid, sort (E 172)</w:t>
      </w:r>
    </w:p>
    <w:p w14:paraId="22E45909" w14:textId="77777777" w:rsidR="005A228E" w:rsidRPr="00AA499E" w:rsidRDefault="005A228E" w:rsidP="005A228E">
      <w:pPr>
        <w:autoSpaceDE w:val="0"/>
        <w:autoSpaceDN w:val="0"/>
        <w:adjustRightInd w:val="0"/>
        <w:spacing w:after="0" w:line="240" w:lineRule="auto"/>
        <w:rPr>
          <w:rFonts w:ascii="Times New Roman" w:hAnsi="Times New Roman"/>
          <w:lang w:val="da-DK"/>
        </w:rPr>
      </w:pPr>
    </w:p>
    <w:p w14:paraId="2D3863EB" w14:textId="77777777" w:rsidR="005A228E" w:rsidRPr="00AA499E" w:rsidRDefault="005A228E" w:rsidP="005A228E">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Trykfarve</w:t>
      </w:r>
    </w:p>
    <w:p w14:paraId="675E0A4E"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Shellac Glaze-45%</w:t>
      </w:r>
    </w:p>
    <w:p w14:paraId="1DBE4DAC"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Sort jernoxid (E172)</w:t>
      </w:r>
    </w:p>
    <w:p w14:paraId="28B67236"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Propylenglycol</w:t>
      </w:r>
    </w:p>
    <w:p w14:paraId="7A485A54" w14:textId="77777777" w:rsidR="001658C2" w:rsidRPr="00AA499E" w:rsidRDefault="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Ammoniumhydroxid 28%</w:t>
      </w:r>
    </w:p>
    <w:p w14:paraId="44BE4B1E" w14:textId="77777777" w:rsidR="001658C2" w:rsidRPr="00AA499E" w:rsidRDefault="001658C2">
      <w:pPr>
        <w:autoSpaceDE w:val="0"/>
        <w:autoSpaceDN w:val="0"/>
        <w:adjustRightInd w:val="0"/>
        <w:spacing w:after="0" w:line="240" w:lineRule="auto"/>
        <w:rPr>
          <w:rFonts w:ascii="Times New Roman" w:hAnsi="Times New Roman"/>
          <w:lang w:val="da-DK"/>
        </w:rPr>
      </w:pPr>
    </w:p>
    <w:p w14:paraId="53548874" w14:textId="77777777" w:rsidR="006478AD" w:rsidRPr="00AA499E" w:rsidRDefault="006478AD">
      <w:pPr>
        <w:pStyle w:val="KeinLeerraum"/>
        <w:rPr>
          <w:rFonts w:ascii="Times New Roman" w:hAnsi="Times New Roman"/>
          <w:lang w:val="da-DK"/>
        </w:rPr>
      </w:pPr>
    </w:p>
    <w:p w14:paraId="6D0399B6"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6.2</w:t>
      </w:r>
      <w:r w:rsidRPr="00AA499E">
        <w:rPr>
          <w:rFonts w:ascii="Times New Roman" w:hAnsi="Times New Roman"/>
          <w:b/>
          <w:bCs/>
          <w:lang w:val="da-DK"/>
        </w:rPr>
        <w:tab/>
        <w:t>Uforligeligheder</w:t>
      </w:r>
    </w:p>
    <w:p w14:paraId="3E2CD793" w14:textId="77777777" w:rsidR="006478AD" w:rsidRPr="00AA499E" w:rsidRDefault="006478AD" w:rsidP="008370B1">
      <w:pPr>
        <w:keepNext/>
        <w:autoSpaceDE w:val="0"/>
        <w:autoSpaceDN w:val="0"/>
        <w:adjustRightInd w:val="0"/>
        <w:spacing w:after="0" w:line="240" w:lineRule="auto"/>
        <w:rPr>
          <w:rFonts w:ascii="Times New Roman" w:hAnsi="Times New Roman"/>
          <w:lang w:val="da-DK"/>
        </w:rPr>
      </w:pPr>
    </w:p>
    <w:p w14:paraId="5956F10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relevant.</w:t>
      </w:r>
    </w:p>
    <w:p w14:paraId="77687B97" w14:textId="77777777" w:rsidR="006478AD" w:rsidRPr="00AA499E" w:rsidRDefault="006478AD">
      <w:pPr>
        <w:autoSpaceDE w:val="0"/>
        <w:autoSpaceDN w:val="0"/>
        <w:adjustRightInd w:val="0"/>
        <w:spacing w:after="0" w:line="240" w:lineRule="auto"/>
        <w:rPr>
          <w:rFonts w:ascii="Times New Roman" w:hAnsi="Times New Roman"/>
          <w:lang w:val="da-DK"/>
        </w:rPr>
      </w:pPr>
    </w:p>
    <w:p w14:paraId="7E5A53F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6.3</w:t>
      </w:r>
      <w:r w:rsidRPr="00AA499E">
        <w:rPr>
          <w:rFonts w:ascii="Times New Roman" w:hAnsi="Times New Roman"/>
          <w:b/>
          <w:bCs/>
          <w:lang w:val="da-DK"/>
        </w:rPr>
        <w:tab/>
        <w:t>Opbevaringstid</w:t>
      </w:r>
    </w:p>
    <w:p w14:paraId="6A539A78" w14:textId="77777777" w:rsidR="006478AD" w:rsidRPr="00AA499E" w:rsidRDefault="006478AD">
      <w:pPr>
        <w:pStyle w:val="KeinLeerraum"/>
        <w:rPr>
          <w:rFonts w:ascii="Times New Roman" w:hAnsi="Times New Roman"/>
          <w:lang w:val="da-DK"/>
        </w:rPr>
      </w:pPr>
    </w:p>
    <w:p w14:paraId="2459DDEA" w14:textId="77777777" w:rsidR="006478AD" w:rsidRPr="00AA499E" w:rsidRDefault="007371D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 år</w:t>
      </w:r>
    </w:p>
    <w:p w14:paraId="26A31833" w14:textId="77777777" w:rsidR="006478AD" w:rsidRPr="00AA499E" w:rsidRDefault="006478AD">
      <w:pPr>
        <w:pStyle w:val="KeinLeerraum"/>
        <w:rPr>
          <w:rFonts w:ascii="Times New Roman" w:hAnsi="Times New Roman"/>
          <w:highlight w:val="lightGray"/>
          <w:lang w:val="da-DK"/>
        </w:rPr>
      </w:pPr>
    </w:p>
    <w:p w14:paraId="59E42D39"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6.4</w:t>
      </w:r>
      <w:r w:rsidRPr="00AA499E">
        <w:rPr>
          <w:rFonts w:ascii="Times New Roman" w:hAnsi="Times New Roman"/>
          <w:b/>
          <w:bCs/>
          <w:lang w:val="da-DK"/>
        </w:rPr>
        <w:tab/>
        <w:t>Særlige opbevaringsforhold</w:t>
      </w:r>
    </w:p>
    <w:p w14:paraId="21A7D59A" w14:textId="77777777" w:rsidR="006478AD" w:rsidRPr="00AA499E" w:rsidRDefault="006478AD">
      <w:pPr>
        <w:autoSpaceDE w:val="0"/>
        <w:autoSpaceDN w:val="0"/>
        <w:adjustRightInd w:val="0"/>
        <w:spacing w:after="0" w:line="240" w:lineRule="auto"/>
        <w:rPr>
          <w:rFonts w:ascii="Times New Roman" w:hAnsi="Times New Roman"/>
          <w:lang w:val="da-DK"/>
        </w:rPr>
      </w:pPr>
    </w:p>
    <w:p w14:paraId="3EBA2C0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Må ikke opbevares ved temperaturer over </w:t>
      </w:r>
      <w:r w:rsidR="007371D5" w:rsidRPr="00AA499E">
        <w:rPr>
          <w:rFonts w:ascii="Times New Roman" w:hAnsi="Times New Roman"/>
          <w:lang w:val="da-DK"/>
        </w:rPr>
        <w:t>25</w:t>
      </w:r>
      <w:r w:rsidRPr="00AA499E">
        <w:rPr>
          <w:rFonts w:ascii="Times New Roman" w:hAnsi="Times New Roman"/>
          <w:lang w:val="da-DK"/>
        </w:rPr>
        <w:t>°C.</w:t>
      </w:r>
    </w:p>
    <w:p w14:paraId="073782B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i den originale yderpakning for at beskytte mod fugt.</w:t>
      </w:r>
    </w:p>
    <w:p w14:paraId="779DE06B" w14:textId="77777777" w:rsidR="006478AD" w:rsidRPr="00AA499E" w:rsidRDefault="006478AD">
      <w:pPr>
        <w:autoSpaceDE w:val="0"/>
        <w:autoSpaceDN w:val="0"/>
        <w:adjustRightInd w:val="0"/>
        <w:spacing w:after="0" w:line="240" w:lineRule="auto"/>
        <w:rPr>
          <w:rFonts w:ascii="Times New Roman" w:hAnsi="Times New Roman"/>
          <w:lang w:val="da-DK"/>
        </w:rPr>
      </w:pPr>
    </w:p>
    <w:p w14:paraId="7EB76F70" w14:textId="77777777" w:rsidR="006478AD" w:rsidRPr="00AA499E" w:rsidRDefault="00616F3C">
      <w:pPr>
        <w:autoSpaceDE w:val="0"/>
        <w:autoSpaceDN w:val="0"/>
        <w:adjustRightInd w:val="0"/>
        <w:spacing w:after="0" w:line="240" w:lineRule="auto"/>
        <w:rPr>
          <w:rFonts w:ascii="Times New Roman" w:hAnsi="Times New Roman"/>
          <w:b/>
          <w:bCs/>
          <w:lang w:val="da-DK"/>
        </w:rPr>
      </w:pPr>
      <w:bookmarkStart w:id="0" w:name="OLE_LINK3"/>
      <w:bookmarkStart w:id="1" w:name="OLE_LINK4"/>
      <w:r w:rsidRPr="00AA499E">
        <w:rPr>
          <w:rFonts w:ascii="Times New Roman" w:hAnsi="Times New Roman"/>
          <w:b/>
          <w:bCs/>
          <w:lang w:val="da-DK"/>
        </w:rPr>
        <w:t>6.5</w:t>
      </w:r>
      <w:r w:rsidRPr="00AA499E">
        <w:rPr>
          <w:rFonts w:ascii="Times New Roman" w:hAnsi="Times New Roman"/>
          <w:b/>
          <w:bCs/>
          <w:lang w:val="da-DK"/>
        </w:rPr>
        <w:tab/>
        <w:t>Emballagetype og pakningsstørrelser</w:t>
      </w:r>
    </w:p>
    <w:p w14:paraId="5E3B2494" w14:textId="77777777" w:rsidR="006478AD" w:rsidRPr="00AA499E" w:rsidRDefault="006478AD">
      <w:pPr>
        <w:autoSpaceDE w:val="0"/>
        <w:autoSpaceDN w:val="0"/>
        <w:adjustRightInd w:val="0"/>
        <w:spacing w:after="0" w:line="240" w:lineRule="auto"/>
        <w:rPr>
          <w:rFonts w:ascii="Times New Roman" w:hAnsi="Times New Roman"/>
          <w:lang w:val="da-DK"/>
        </w:rPr>
      </w:pPr>
    </w:p>
    <w:p w14:paraId="1DF73C93" w14:textId="77777777" w:rsidR="005A228E" w:rsidRPr="00AA499E" w:rsidRDefault="005A228E">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50 mg hårde kapsler</w:t>
      </w:r>
    </w:p>
    <w:p w14:paraId="30DBA21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Aluminium/PVC/aclar blister</w:t>
      </w:r>
      <w:r w:rsidR="009A46E5" w:rsidRPr="00AA499E">
        <w:rPr>
          <w:rFonts w:ascii="Times New Roman" w:hAnsi="Times New Roman"/>
          <w:lang w:val="da-DK"/>
        </w:rPr>
        <w:t>. En blister indeholder 10 kapsler.</w:t>
      </w:r>
    </w:p>
    <w:p w14:paraId="74E5A876"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Pakninger indeholdende 30 eller 90 kapsler.</w:t>
      </w:r>
    </w:p>
    <w:bookmarkEnd w:id="0"/>
    <w:bookmarkEnd w:id="1"/>
    <w:p w14:paraId="297CB6D9" w14:textId="77777777" w:rsidR="006478AD" w:rsidRPr="00AA499E" w:rsidRDefault="006478AD">
      <w:pPr>
        <w:autoSpaceDE w:val="0"/>
        <w:autoSpaceDN w:val="0"/>
        <w:adjustRightInd w:val="0"/>
        <w:spacing w:after="0" w:line="240" w:lineRule="auto"/>
        <w:rPr>
          <w:rFonts w:ascii="Times New Roman" w:hAnsi="Times New Roman"/>
          <w:highlight w:val="yellow"/>
          <w:lang w:val="da-DK"/>
        </w:rPr>
      </w:pPr>
    </w:p>
    <w:p w14:paraId="307F5F9A" w14:textId="77777777" w:rsidR="005A228E" w:rsidRPr="00AA499E" w:rsidRDefault="005A228E">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100 mg hårde kapsler</w:t>
      </w:r>
    </w:p>
    <w:p w14:paraId="21835656"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Aluminium/PVC/aclar blister. En blister indeholder enten 8 eller 10 kapsler.</w:t>
      </w:r>
    </w:p>
    <w:p w14:paraId="4693EE58"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Pakninger indeholdende 24, 48, 60, 96, 120 eller 180 kapsler.</w:t>
      </w:r>
    </w:p>
    <w:p w14:paraId="342B7C4A" w14:textId="77777777" w:rsidR="005A228E" w:rsidRPr="00AA499E" w:rsidRDefault="005A228E">
      <w:pPr>
        <w:autoSpaceDE w:val="0"/>
        <w:autoSpaceDN w:val="0"/>
        <w:adjustRightInd w:val="0"/>
        <w:spacing w:after="0" w:line="240" w:lineRule="auto"/>
        <w:rPr>
          <w:rFonts w:ascii="Times New Roman" w:hAnsi="Times New Roman"/>
          <w:highlight w:val="yellow"/>
          <w:lang w:val="da-DK"/>
        </w:rPr>
      </w:pPr>
    </w:p>
    <w:p w14:paraId="034BDFF4" w14:textId="77777777" w:rsidR="005A228E" w:rsidRPr="00AA499E" w:rsidRDefault="005A228E">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400 mg hårde kapsler</w:t>
      </w:r>
    </w:p>
    <w:p w14:paraId="10DB488B"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Aluminium/PVC/PVDC blister. En blister indeholder 10 kapsler.</w:t>
      </w:r>
    </w:p>
    <w:p w14:paraId="477AB91E"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Pakninger indeholdende 10, 30, 60 eller 90 kapsler.</w:t>
      </w:r>
    </w:p>
    <w:p w14:paraId="4A1C7C5B" w14:textId="77777777" w:rsidR="005A228E" w:rsidRPr="00AA499E" w:rsidRDefault="005A228E">
      <w:pPr>
        <w:autoSpaceDE w:val="0"/>
        <w:autoSpaceDN w:val="0"/>
        <w:adjustRightInd w:val="0"/>
        <w:spacing w:after="0" w:line="240" w:lineRule="auto"/>
        <w:rPr>
          <w:rFonts w:ascii="Times New Roman" w:hAnsi="Times New Roman"/>
          <w:highlight w:val="yellow"/>
          <w:lang w:val="da-DK"/>
        </w:rPr>
      </w:pPr>
    </w:p>
    <w:p w14:paraId="41DB7B5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alle pakningsstørrelser er nødvendigvis markedsført.</w:t>
      </w:r>
    </w:p>
    <w:p w14:paraId="1C1768A3" w14:textId="77777777" w:rsidR="006478AD" w:rsidRPr="00AA499E" w:rsidRDefault="006478AD">
      <w:pPr>
        <w:autoSpaceDE w:val="0"/>
        <w:autoSpaceDN w:val="0"/>
        <w:adjustRightInd w:val="0"/>
        <w:spacing w:after="0" w:line="240" w:lineRule="auto"/>
        <w:rPr>
          <w:rFonts w:ascii="Times New Roman" w:hAnsi="Times New Roman"/>
          <w:lang w:val="da-DK"/>
        </w:rPr>
      </w:pPr>
    </w:p>
    <w:p w14:paraId="4915F94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6.6</w:t>
      </w:r>
      <w:r w:rsidRPr="00AA499E">
        <w:rPr>
          <w:rFonts w:ascii="Times New Roman" w:hAnsi="Times New Roman"/>
          <w:b/>
          <w:bCs/>
          <w:lang w:val="da-DK"/>
        </w:rPr>
        <w:tab/>
        <w:t>Regler for bortskaffelse og anden håndtering</w:t>
      </w:r>
    </w:p>
    <w:p w14:paraId="6B07E364" w14:textId="77777777" w:rsidR="006478AD" w:rsidRPr="00AA499E" w:rsidRDefault="006478AD">
      <w:pPr>
        <w:autoSpaceDE w:val="0"/>
        <w:autoSpaceDN w:val="0"/>
        <w:adjustRightInd w:val="0"/>
        <w:spacing w:after="0" w:line="240" w:lineRule="auto"/>
        <w:rPr>
          <w:rFonts w:ascii="Times New Roman" w:hAnsi="Times New Roman"/>
          <w:lang w:val="da-DK"/>
        </w:rPr>
      </w:pPr>
    </w:p>
    <w:p w14:paraId="28AB56AF"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Håndtering af åbne kapsler af kvinder i den fødedygtige alder</w:t>
      </w:r>
    </w:p>
    <w:p w14:paraId="50294C0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Da dyreundersøgelser har vist reproduktionstoksicitet, og den potentielle risiko for humane fostre er ukendt, bør kvinder i den fødedygtige alder tilrådes at udvise forsigtighed ved åbning af kapsler og håndtering af indholdet, samt at undgå hud- og øjenkontakt eller inhalation (se pkt. 4.6). Der bør vaskes hænder straks efter håndtering af åbne kapsler.</w:t>
      </w:r>
    </w:p>
    <w:p w14:paraId="5B562A7D" w14:textId="77777777" w:rsidR="006478AD" w:rsidRPr="00AA499E" w:rsidRDefault="006478AD">
      <w:pPr>
        <w:autoSpaceDE w:val="0"/>
        <w:autoSpaceDN w:val="0"/>
        <w:adjustRightInd w:val="0"/>
        <w:spacing w:after="0" w:line="240" w:lineRule="auto"/>
        <w:rPr>
          <w:rFonts w:ascii="Times New Roman" w:hAnsi="Times New Roman"/>
          <w:lang w:val="da-DK"/>
        </w:rPr>
      </w:pPr>
    </w:p>
    <w:p w14:paraId="13A8F2FA" w14:textId="77777777" w:rsidR="006478AD" w:rsidRPr="00AA499E" w:rsidRDefault="00DD6B0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anvendt lægemiddel samt affald heraf skal bortskaffes i henhold til lokale retningslinjer.</w:t>
      </w:r>
    </w:p>
    <w:p w14:paraId="537E1412" w14:textId="77777777" w:rsidR="006478AD" w:rsidRPr="00AA499E" w:rsidRDefault="006478AD">
      <w:pPr>
        <w:autoSpaceDE w:val="0"/>
        <w:autoSpaceDN w:val="0"/>
        <w:adjustRightInd w:val="0"/>
        <w:spacing w:after="0" w:line="240" w:lineRule="auto"/>
        <w:rPr>
          <w:rFonts w:ascii="Times New Roman" w:hAnsi="Times New Roman"/>
          <w:lang w:val="da-DK"/>
        </w:rPr>
      </w:pPr>
    </w:p>
    <w:p w14:paraId="26D4D9AC" w14:textId="77777777" w:rsidR="00213581" w:rsidRPr="00AA499E" w:rsidRDefault="00213581">
      <w:pPr>
        <w:autoSpaceDE w:val="0"/>
        <w:autoSpaceDN w:val="0"/>
        <w:adjustRightInd w:val="0"/>
        <w:spacing w:after="0" w:line="240" w:lineRule="auto"/>
        <w:rPr>
          <w:rFonts w:ascii="Times New Roman" w:hAnsi="Times New Roman"/>
          <w:lang w:val="da-DK"/>
        </w:rPr>
      </w:pPr>
    </w:p>
    <w:p w14:paraId="4EAF5AE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7.</w:t>
      </w:r>
      <w:r w:rsidRPr="00AA499E">
        <w:rPr>
          <w:rFonts w:ascii="Times New Roman" w:hAnsi="Times New Roman"/>
          <w:b/>
          <w:bCs/>
          <w:lang w:val="da-DK"/>
        </w:rPr>
        <w:tab/>
        <w:t>INDEHAVER AF MARKEDSFØRINGSTILLADELSEN</w:t>
      </w:r>
    </w:p>
    <w:p w14:paraId="383E107A" w14:textId="77777777" w:rsidR="006478AD" w:rsidRPr="00AA499E" w:rsidRDefault="006478AD">
      <w:pPr>
        <w:autoSpaceDE w:val="0"/>
        <w:autoSpaceDN w:val="0"/>
        <w:adjustRightInd w:val="0"/>
        <w:spacing w:after="0" w:line="240" w:lineRule="auto"/>
        <w:rPr>
          <w:rFonts w:ascii="Times New Roman" w:hAnsi="Times New Roman"/>
          <w:lang w:val="da-DK"/>
        </w:rPr>
      </w:pPr>
    </w:p>
    <w:p w14:paraId="400AEEA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7E71C6A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Reykjavíkurvegur 76-78</w:t>
      </w:r>
    </w:p>
    <w:p w14:paraId="6DDE833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IS-220 Hafnarfjörður</w:t>
      </w:r>
    </w:p>
    <w:p w14:paraId="0C5C450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4AD0B6A5" w14:textId="77777777" w:rsidR="006478AD" w:rsidRPr="00AA499E" w:rsidRDefault="006478AD">
      <w:pPr>
        <w:autoSpaceDE w:val="0"/>
        <w:autoSpaceDN w:val="0"/>
        <w:adjustRightInd w:val="0"/>
        <w:spacing w:after="0" w:line="240" w:lineRule="auto"/>
        <w:rPr>
          <w:rFonts w:ascii="Times New Roman" w:hAnsi="Times New Roman"/>
          <w:lang w:val="da-DK"/>
        </w:rPr>
      </w:pPr>
    </w:p>
    <w:p w14:paraId="43FBAC03" w14:textId="77777777" w:rsidR="006478AD" w:rsidRPr="00AA499E" w:rsidRDefault="006478AD">
      <w:pPr>
        <w:autoSpaceDE w:val="0"/>
        <w:autoSpaceDN w:val="0"/>
        <w:adjustRightInd w:val="0"/>
        <w:spacing w:after="0" w:line="240" w:lineRule="auto"/>
        <w:rPr>
          <w:rFonts w:ascii="Times New Roman" w:hAnsi="Times New Roman"/>
          <w:lang w:val="da-DK"/>
        </w:rPr>
      </w:pPr>
    </w:p>
    <w:p w14:paraId="2902C14A"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8.</w:t>
      </w:r>
      <w:r w:rsidRPr="00AA499E">
        <w:rPr>
          <w:rFonts w:ascii="Times New Roman" w:hAnsi="Times New Roman"/>
          <w:b/>
          <w:bCs/>
          <w:lang w:val="da-DK"/>
        </w:rPr>
        <w:tab/>
        <w:t>MARKEDSFØRINGSTILLADELSESNUMMER (NUMRE)</w:t>
      </w:r>
    </w:p>
    <w:p w14:paraId="69BDF152" w14:textId="77777777" w:rsidR="006478AD" w:rsidRPr="00AA499E" w:rsidRDefault="006478AD" w:rsidP="008370B1">
      <w:pPr>
        <w:keepNext/>
        <w:autoSpaceDE w:val="0"/>
        <w:autoSpaceDN w:val="0"/>
        <w:adjustRightInd w:val="0"/>
        <w:spacing w:after="0" w:line="240" w:lineRule="auto"/>
        <w:rPr>
          <w:rFonts w:ascii="Times New Roman" w:hAnsi="Times New Roman"/>
          <w:lang w:val="da-DK"/>
        </w:rPr>
      </w:pPr>
    </w:p>
    <w:p w14:paraId="36DFD4E5" w14:textId="77777777" w:rsidR="005A228E" w:rsidRPr="00C76A02" w:rsidRDefault="005A228E" w:rsidP="00F635EC">
      <w:pPr>
        <w:autoSpaceDE w:val="0"/>
        <w:autoSpaceDN w:val="0"/>
        <w:adjustRightInd w:val="0"/>
        <w:spacing w:after="0" w:line="240" w:lineRule="auto"/>
        <w:rPr>
          <w:rFonts w:ascii="Times New Roman" w:hAnsi="Times New Roman"/>
          <w:u w:val="single"/>
          <w:lang w:val="sv-SE"/>
        </w:rPr>
      </w:pPr>
      <w:r w:rsidRPr="00C76A02">
        <w:rPr>
          <w:rFonts w:ascii="Times New Roman" w:hAnsi="Times New Roman"/>
          <w:u w:val="single"/>
          <w:lang w:val="sv-SE"/>
        </w:rPr>
        <w:t>Imatinib Actavis 50 mg hårde kapsler</w:t>
      </w:r>
    </w:p>
    <w:p w14:paraId="43F72391" w14:textId="77777777" w:rsidR="00F635EC" w:rsidRPr="00C76A02" w:rsidRDefault="00F635EC" w:rsidP="00F635EC">
      <w:pPr>
        <w:autoSpaceDE w:val="0"/>
        <w:autoSpaceDN w:val="0"/>
        <w:adjustRightInd w:val="0"/>
        <w:spacing w:after="0" w:line="240" w:lineRule="auto"/>
        <w:rPr>
          <w:rFonts w:ascii="Times New Roman" w:hAnsi="Times New Roman"/>
          <w:lang w:val="sv-SE"/>
        </w:rPr>
      </w:pPr>
      <w:r w:rsidRPr="00C76A02">
        <w:rPr>
          <w:rFonts w:ascii="Times New Roman" w:hAnsi="Times New Roman"/>
          <w:lang w:val="sv-SE"/>
        </w:rPr>
        <w:t>EU/1/13/825/001</w:t>
      </w:r>
    </w:p>
    <w:p w14:paraId="7B1C4B5D" w14:textId="77777777" w:rsidR="006478AD" w:rsidRPr="00C76A02" w:rsidRDefault="00F635EC" w:rsidP="00F635EC">
      <w:pPr>
        <w:autoSpaceDE w:val="0"/>
        <w:autoSpaceDN w:val="0"/>
        <w:adjustRightInd w:val="0"/>
        <w:spacing w:after="0" w:line="240" w:lineRule="auto"/>
        <w:rPr>
          <w:rFonts w:ascii="Times New Roman" w:hAnsi="Times New Roman"/>
          <w:lang w:val="sv-SE"/>
        </w:rPr>
      </w:pPr>
      <w:r w:rsidRPr="00C76A02">
        <w:rPr>
          <w:rFonts w:ascii="Times New Roman" w:hAnsi="Times New Roman"/>
          <w:lang w:val="sv-SE"/>
        </w:rPr>
        <w:t>EU/1/13/825/002</w:t>
      </w:r>
    </w:p>
    <w:p w14:paraId="078418E3" w14:textId="77777777" w:rsidR="005A228E" w:rsidRPr="00C76A02" w:rsidRDefault="005A228E" w:rsidP="00F635EC">
      <w:pPr>
        <w:autoSpaceDE w:val="0"/>
        <w:autoSpaceDN w:val="0"/>
        <w:adjustRightInd w:val="0"/>
        <w:spacing w:after="0" w:line="240" w:lineRule="auto"/>
        <w:rPr>
          <w:rFonts w:ascii="Times New Roman" w:hAnsi="Times New Roman"/>
          <w:lang w:val="sv-SE"/>
        </w:rPr>
      </w:pPr>
    </w:p>
    <w:p w14:paraId="71BB77BB" w14:textId="77777777" w:rsidR="005A228E" w:rsidRPr="00C76A02" w:rsidRDefault="005A228E" w:rsidP="005A228E">
      <w:pPr>
        <w:autoSpaceDE w:val="0"/>
        <w:autoSpaceDN w:val="0"/>
        <w:adjustRightInd w:val="0"/>
        <w:spacing w:after="0" w:line="240" w:lineRule="auto"/>
        <w:rPr>
          <w:rFonts w:ascii="Times New Roman" w:hAnsi="Times New Roman"/>
          <w:u w:val="single"/>
          <w:lang w:val="sv-SE"/>
        </w:rPr>
      </w:pPr>
      <w:r w:rsidRPr="00C76A02">
        <w:rPr>
          <w:rFonts w:ascii="Times New Roman" w:hAnsi="Times New Roman"/>
          <w:u w:val="single"/>
          <w:lang w:val="sv-SE"/>
        </w:rPr>
        <w:t>Imatinib Actavis 100 mg hårde kapsler</w:t>
      </w:r>
    </w:p>
    <w:p w14:paraId="3FED34C6" w14:textId="77777777" w:rsidR="005A228E" w:rsidRPr="00C76A02" w:rsidRDefault="005A228E" w:rsidP="005A228E">
      <w:pPr>
        <w:autoSpaceDE w:val="0"/>
        <w:autoSpaceDN w:val="0"/>
        <w:adjustRightInd w:val="0"/>
        <w:spacing w:after="0" w:line="240" w:lineRule="auto"/>
        <w:rPr>
          <w:rFonts w:ascii="Times New Roman" w:hAnsi="Times New Roman"/>
          <w:lang w:val="sv-SE"/>
        </w:rPr>
      </w:pPr>
      <w:r w:rsidRPr="00C76A02">
        <w:rPr>
          <w:rFonts w:ascii="Times New Roman" w:hAnsi="Times New Roman"/>
          <w:lang w:val="sv-SE"/>
        </w:rPr>
        <w:t>EU/1/13/825/003</w:t>
      </w:r>
    </w:p>
    <w:p w14:paraId="0A0E62E1" w14:textId="77777777" w:rsidR="005A228E" w:rsidRPr="00C76A02" w:rsidRDefault="005A228E" w:rsidP="005A228E">
      <w:pPr>
        <w:autoSpaceDE w:val="0"/>
        <w:autoSpaceDN w:val="0"/>
        <w:adjustRightInd w:val="0"/>
        <w:spacing w:after="0" w:line="240" w:lineRule="auto"/>
        <w:rPr>
          <w:rFonts w:ascii="Times New Roman" w:hAnsi="Times New Roman"/>
          <w:lang w:val="sv-SE"/>
        </w:rPr>
      </w:pPr>
      <w:r w:rsidRPr="00C76A02">
        <w:rPr>
          <w:rFonts w:ascii="Times New Roman" w:hAnsi="Times New Roman"/>
          <w:lang w:val="sv-SE"/>
        </w:rPr>
        <w:t>EU/1/13/825/004</w:t>
      </w:r>
    </w:p>
    <w:p w14:paraId="64F40822" w14:textId="77777777" w:rsidR="005A228E" w:rsidRPr="00C76A02" w:rsidRDefault="005A228E" w:rsidP="005A228E">
      <w:pPr>
        <w:autoSpaceDE w:val="0"/>
        <w:autoSpaceDN w:val="0"/>
        <w:adjustRightInd w:val="0"/>
        <w:spacing w:after="0" w:line="240" w:lineRule="auto"/>
        <w:rPr>
          <w:rFonts w:ascii="Times New Roman" w:hAnsi="Times New Roman"/>
          <w:lang w:val="sv-SE"/>
        </w:rPr>
      </w:pPr>
      <w:r w:rsidRPr="00C76A02">
        <w:rPr>
          <w:rFonts w:ascii="Times New Roman" w:hAnsi="Times New Roman"/>
          <w:lang w:val="sv-SE"/>
        </w:rPr>
        <w:t>EU/1/13/825/005</w:t>
      </w:r>
    </w:p>
    <w:p w14:paraId="00E8FB9D" w14:textId="6137D8F7" w:rsidR="005A228E" w:rsidRPr="00C76A02" w:rsidRDefault="005A228E" w:rsidP="00AA499E">
      <w:pPr>
        <w:autoSpaceDE w:val="0"/>
        <w:autoSpaceDN w:val="0"/>
        <w:adjustRightInd w:val="0"/>
        <w:spacing w:after="0" w:line="240" w:lineRule="auto"/>
        <w:rPr>
          <w:rFonts w:ascii="Times New Roman" w:hAnsi="Times New Roman"/>
          <w:lang w:val="sv-SE"/>
        </w:rPr>
      </w:pPr>
      <w:r w:rsidRPr="00C76A02">
        <w:rPr>
          <w:rFonts w:ascii="Times New Roman" w:hAnsi="Times New Roman"/>
          <w:lang w:val="sv-SE"/>
        </w:rPr>
        <w:t>EU/1/13/825/006</w:t>
      </w:r>
    </w:p>
    <w:p w14:paraId="050961CC" w14:textId="77777777" w:rsidR="005A228E" w:rsidRPr="00C76A02" w:rsidRDefault="005A228E" w:rsidP="005A228E">
      <w:pPr>
        <w:autoSpaceDE w:val="0"/>
        <w:autoSpaceDN w:val="0"/>
        <w:adjustRightInd w:val="0"/>
        <w:spacing w:after="0" w:line="240" w:lineRule="auto"/>
        <w:rPr>
          <w:rFonts w:ascii="Times New Roman" w:hAnsi="Times New Roman"/>
          <w:lang w:val="sv-SE"/>
        </w:rPr>
      </w:pPr>
      <w:r w:rsidRPr="00C76A02">
        <w:rPr>
          <w:rFonts w:ascii="Times New Roman" w:hAnsi="Times New Roman"/>
          <w:lang w:val="sv-SE"/>
        </w:rPr>
        <w:t>EU/1/13/825/007</w:t>
      </w:r>
    </w:p>
    <w:p w14:paraId="53F98595" w14:textId="77777777" w:rsidR="005A228E" w:rsidRPr="00C76A02" w:rsidRDefault="005A228E" w:rsidP="005A228E">
      <w:pPr>
        <w:autoSpaceDE w:val="0"/>
        <w:autoSpaceDN w:val="0"/>
        <w:adjustRightInd w:val="0"/>
        <w:spacing w:after="0" w:line="240" w:lineRule="auto"/>
        <w:rPr>
          <w:rFonts w:ascii="Times New Roman" w:hAnsi="Times New Roman"/>
          <w:lang w:val="sv-SE"/>
        </w:rPr>
      </w:pPr>
      <w:r w:rsidRPr="00C76A02">
        <w:rPr>
          <w:rFonts w:ascii="Times New Roman" w:hAnsi="Times New Roman"/>
          <w:lang w:val="sv-SE"/>
        </w:rPr>
        <w:t>EU/1/13/825/019</w:t>
      </w:r>
    </w:p>
    <w:p w14:paraId="26868C7D" w14:textId="77777777" w:rsidR="005A228E" w:rsidRPr="00C76A02" w:rsidRDefault="005A228E" w:rsidP="00F635EC">
      <w:pPr>
        <w:autoSpaceDE w:val="0"/>
        <w:autoSpaceDN w:val="0"/>
        <w:adjustRightInd w:val="0"/>
        <w:spacing w:after="0" w:line="240" w:lineRule="auto"/>
        <w:rPr>
          <w:rFonts w:ascii="Times New Roman" w:hAnsi="Times New Roman"/>
          <w:lang w:val="sv-SE"/>
        </w:rPr>
      </w:pPr>
    </w:p>
    <w:p w14:paraId="12C86C75" w14:textId="77777777" w:rsidR="005A228E" w:rsidRPr="00C76A02" w:rsidRDefault="005A228E" w:rsidP="005A228E">
      <w:pPr>
        <w:autoSpaceDE w:val="0"/>
        <w:autoSpaceDN w:val="0"/>
        <w:adjustRightInd w:val="0"/>
        <w:spacing w:after="0" w:line="240" w:lineRule="auto"/>
        <w:rPr>
          <w:rFonts w:ascii="Times New Roman" w:hAnsi="Times New Roman"/>
          <w:u w:val="single"/>
          <w:lang w:val="sv-SE"/>
        </w:rPr>
      </w:pPr>
      <w:r w:rsidRPr="00C76A02">
        <w:rPr>
          <w:rFonts w:ascii="Times New Roman" w:hAnsi="Times New Roman"/>
          <w:u w:val="single"/>
          <w:lang w:val="sv-SE"/>
        </w:rPr>
        <w:t>Imatinib Actavis 400 mg hårde kapsler</w:t>
      </w:r>
    </w:p>
    <w:p w14:paraId="2DF57E33"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EU/1/13/825/020</w:t>
      </w:r>
    </w:p>
    <w:p w14:paraId="3DF73F1F"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EU/1/13/825/021</w:t>
      </w:r>
    </w:p>
    <w:p w14:paraId="513D64DF"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EU/1/13/825/022</w:t>
      </w:r>
    </w:p>
    <w:p w14:paraId="3B53AC55" w14:textId="77777777" w:rsidR="005A228E" w:rsidRPr="00AA499E" w:rsidRDefault="005A228E" w:rsidP="005A22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EU/1/13/825/023</w:t>
      </w:r>
    </w:p>
    <w:p w14:paraId="1407133F" w14:textId="77777777" w:rsidR="006478AD" w:rsidRPr="00AA499E" w:rsidRDefault="006478AD">
      <w:pPr>
        <w:autoSpaceDE w:val="0"/>
        <w:autoSpaceDN w:val="0"/>
        <w:adjustRightInd w:val="0"/>
        <w:spacing w:after="0" w:line="240" w:lineRule="auto"/>
        <w:rPr>
          <w:rFonts w:ascii="Times New Roman" w:hAnsi="Times New Roman"/>
          <w:lang w:val="da-DK"/>
        </w:rPr>
      </w:pPr>
    </w:p>
    <w:p w14:paraId="6E7A0D9C" w14:textId="77777777" w:rsidR="006478AD" w:rsidRPr="00AA499E" w:rsidRDefault="006478AD">
      <w:pPr>
        <w:autoSpaceDE w:val="0"/>
        <w:autoSpaceDN w:val="0"/>
        <w:adjustRightInd w:val="0"/>
        <w:spacing w:after="0" w:line="240" w:lineRule="auto"/>
        <w:rPr>
          <w:rFonts w:ascii="Times New Roman" w:hAnsi="Times New Roman"/>
          <w:lang w:val="da-DK"/>
        </w:rPr>
      </w:pPr>
    </w:p>
    <w:p w14:paraId="5B68FC93" w14:textId="77777777" w:rsidR="006478AD" w:rsidRPr="00AA499E" w:rsidRDefault="00616F3C" w:rsidP="00063A26">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9.</w:t>
      </w:r>
      <w:r w:rsidRPr="00AA499E">
        <w:rPr>
          <w:rFonts w:ascii="Times New Roman" w:hAnsi="Times New Roman"/>
          <w:b/>
          <w:bCs/>
          <w:lang w:val="da-DK"/>
        </w:rPr>
        <w:tab/>
        <w:t>DATO FOR FØRSTE MARKEDSFØRINGSTILLADELSE/FORNYELSE AF TILLADELSEN</w:t>
      </w:r>
    </w:p>
    <w:p w14:paraId="65AE8A9C" w14:textId="77777777" w:rsidR="00081E28" w:rsidRPr="00AA499E" w:rsidRDefault="00081E28">
      <w:pPr>
        <w:autoSpaceDE w:val="0"/>
        <w:autoSpaceDN w:val="0"/>
        <w:adjustRightInd w:val="0"/>
        <w:spacing w:after="0" w:line="240" w:lineRule="auto"/>
        <w:rPr>
          <w:rFonts w:ascii="Times New Roman" w:hAnsi="Times New Roman"/>
          <w:b/>
          <w:bCs/>
          <w:lang w:val="da-DK"/>
        </w:rPr>
      </w:pPr>
    </w:p>
    <w:p w14:paraId="7408827F" w14:textId="77777777" w:rsidR="007371D5" w:rsidRPr="00AA499E" w:rsidRDefault="007371D5" w:rsidP="007371D5">
      <w:pPr>
        <w:autoSpaceDE w:val="0"/>
        <w:autoSpaceDN w:val="0"/>
        <w:adjustRightInd w:val="0"/>
        <w:spacing w:after="0" w:line="240" w:lineRule="auto"/>
        <w:rPr>
          <w:rFonts w:ascii="Times New Roman" w:hAnsi="Times New Roman"/>
          <w:bCs/>
          <w:lang w:val="da-DK"/>
        </w:rPr>
      </w:pPr>
      <w:r w:rsidRPr="00AA499E">
        <w:rPr>
          <w:rFonts w:ascii="Times New Roman" w:hAnsi="Times New Roman"/>
          <w:bCs/>
          <w:lang w:val="da-DK"/>
        </w:rPr>
        <w:t>Dato for første markedsføringstilladelse: 17 april 2013</w:t>
      </w:r>
    </w:p>
    <w:p w14:paraId="05833DB3" w14:textId="77777777" w:rsidR="006478AD" w:rsidRPr="00AA499E" w:rsidRDefault="006478AD">
      <w:pPr>
        <w:autoSpaceDE w:val="0"/>
        <w:autoSpaceDN w:val="0"/>
        <w:adjustRightInd w:val="0"/>
        <w:spacing w:after="0" w:line="240" w:lineRule="auto"/>
        <w:rPr>
          <w:rFonts w:ascii="Times New Roman" w:hAnsi="Times New Roman"/>
          <w:lang w:val="da-DK"/>
        </w:rPr>
      </w:pPr>
    </w:p>
    <w:p w14:paraId="16E29D6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10.</w:t>
      </w:r>
      <w:r w:rsidRPr="00AA499E">
        <w:rPr>
          <w:rFonts w:ascii="Times New Roman" w:hAnsi="Times New Roman"/>
          <w:b/>
          <w:bCs/>
          <w:lang w:val="da-DK"/>
        </w:rPr>
        <w:tab/>
        <w:t>DATO FOR ÆNDRING AF TEKSTEN</w:t>
      </w:r>
    </w:p>
    <w:p w14:paraId="0EBC18D6" w14:textId="77777777" w:rsidR="006478AD" w:rsidRPr="00AA499E" w:rsidRDefault="006478AD">
      <w:pPr>
        <w:autoSpaceDE w:val="0"/>
        <w:autoSpaceDN w:val="0"/>
        <w:adjustRightInd w:val="0"/>
        <w:spacing w:after="0" w:line="240" w:lineRule="auto"/>
        <w:rPr>
          <w:rFonts w:ascii="Times New Roman" w:hAnsi="Times New Roman"/>
          <w:lang w:val="da-DK"/>
        </w:rPr>
      </w:pPr>
    </w:p>
    <w:p w14:paraId="61117C9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Yderligere </w:t>
      </w:r>
      <w:r w:rsidR="00C35D31" w:rsidRPr="00AA499E">
        <w:rPr>
          <w:rFonts w:ascii="Times New Roman" w:hAnsi="Times New Roman"/>
          <w:lang w:val="da-DK"/>
        </w:rPr>
        <w:t>oplysninger</w:t>
      </w:r>
      <w:r w:rsidRPr="00AA499E">
        <w:rPr>
          <w:rFonts w:ascii="Times New Roman" w:hAnsi="Times New Roman"/>
          <w:lang w:val="da-DK"/>
        </w:rPr>
        <w:t xml:space="preserve"> om </w:t>
      </w:r>
      <w:r w:rsidR="00DF5B65" w:rsidRPr="00AA499E">
        <w:rPr>
          <w:rFonts w:ascii="Times New Roman" w:hAnsi="Times New Roman"/>
          <w:lang w:val="da-DK"/>
        </w:rPr>
        <w:t xml:space="preserve">dette lægemiddel </w:t>
      </w:r>
      <w:r w:rsidRPr="00AA499E">
        <w:rPr>
          <w:rFonts w:ascii="Times New Roman" w:hAnsi="Times New Roman"/>
          <w:lang w:val="da-DK"/>
        </w:rPr>
        <w:t xml:space="preserve">findes på Det Europæiske Lægemiddelagenturs hjemmeside </w:t>
      </w:r>
      <w:hyperlink r:id="rId12" w:history="1">
        <w:r w:rsidRPr="00AA499E">
          <w:rPr>
            <w:rStyle w:val="Hyperlink"/>
            <w:rFonts w:ascii="Times New Roman" w:hAnsi="Times New Roman"/>
            <w:lang w:val="da-DK"/>
          </w:rPr>
          <w:t>http://www.ema.europa.eu</w:t>
        </w:r>
      </w:hyperlink>
    </w:p>
    <w:p w14:paraId="76E6A00C" w14:textId="77777777" w:rsidR="006478AD" w:rsidRPr="00AA499E" w:rsidRDefault="006478AD">
      <w:pPr>
        <w:autoSpaceDE w:val="0"/>
        <w:autoSpaceDN w:val="0"/>
        <w:adjustRightInd w:val="0"/>
        <w:spacing w:after="0" w:line="240" w:lineRule="auto"/>
        <w:rPr>
          <w:rFonts w:ascii="Times New Roman" w:hAnsi="Times New Roman"/>
          <w:lang w:val="da-DK"/>
        </w:rPr>
      </w:pPr>
    </w:p>
    <w:p w14:paraId="0896E6B9" w14:textId="77777777" w:rsidR="006478AD" w:rsidRPr="00AA499E" w:rsidRDefault="006478AD">
      <w:pPr>
        <w:autoSpaceDE w:val="0"/>
        <w:autoSpaceDN w:val="0"/>
        <w:adjustRightInd w:val="0"/>
        <w:spacing w:after="0" w:line="240" w:lineRule="auto"/>
        <w:rPr>
          <w:rFonts w:ascii="Times New Roman" w:hAnsi="Times New Roman"/>
          <w:lang w:val="da-DK"/>
        </w:rPr>
      </w:pPr>
    </w:p>
    <w:p w14:paraId="201DEC26" w14:textId="77777777" w:rsidR="006478AD" w:rsidRPr="00AA499E" w:rsidRDefault="00ED1920" w:rsidP="00676542">
      <w:pPr>
        <w:tabs>
          <w:tab w:val="left" w:pos="567"/>
        </w:tabs>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br w:type="page"/>
      </w:r>
      <w:r w:rsidR="00676542" w:rsidRPr="00AA499E" w:rsidDel="00676542">
        <w:rPr>
          <w:rFonts w:ascii="Times New Roman" w:hAnsi="Times New Roman"/>
          <w:b/>
          <w:bCs/>
          <w:lang w:val="da-DK"/>
        </w:rPr>
        <w:lastRenderedPageBreak/>
        <w:t xml:space="preserve"> </w:t>
      </w:r>
      <w:r w:rsidR="00616F3C" w:rsidRPr="00AA499E">
        <w:rPr>
          <w:rFonts w:ascii="Times New Roman" w:hAnsi="Times New Roman"/>
          <w:b/>
          <w:bCs/>
          <w:lang w:val="da-DK"/>
        </w:rPr>
        <w:t>1.</w:t>
      </w:r>
      <w:r w:rsidR="00616F3C" w:rsidRPr="00AA499E">
        <w:rPr>
          <w:rFonts w:ascii="Times New Roman" w:hAnsi="Times New Roman"/>
          <w:b/>
          <w:bCs/>
          <w:lang w:val="da-DK"/>
        </w:rPr>
        <w:tab/>
        <w:t>LÆGEMIDLETS NAVN</w:t>
      </w:r>
    </w:p>
    <w:p w14:paraId="36F93656" w14:textId="77777777" w:rsidR="006478AD" w:rsidRPr="00AA499E" w:rsidRDefault="006478AD">
      <w:pPr>
        <w:tabs>
          <w:tab w:val="left" w:pos="567"/>
        </w:tabs>
        <w:autoSpaceDE w:val="0"/>
        <w:autoSpaceDN w:val="0"/>
        <w:adjustRightInd w:val="0"/>
        <w:spacing w:after="0" w:line="240" w:lineRule="auto"/>
        <w:rPr>
          <w:rFonts w:ascii="Times New Roman" w:hAnsi="Times New Roman"/>
          <w:lang w:val="da-DK"/>
        </w:rPr>
      </w:pPr>
    </w:p>
    <w:p w14:paraId="11A6547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 filmovertrukne tabletter</w:t>
      </w:r>
    </w:p>
    <w:p w14:paraId="350411AF" w14:textId="77777777" w:rsidR="00676542" w:rsidRPr="00AA499E" w:rsidRDefault="0067654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 filmovertrukne tabletter</w:t>
      </w:r>
    </w:p>
    <w:p w14:paraId="78272AFB" w14:textId="77777777" w:rsidR="006478AD" w:rsidRPr="00AA499E" w:rsidRDefault="006478AD">
      <w:pPr>
        <w:autoSpaceDE w:val="0"/>
        <w:autoSpaceDN w:val="0"/>
        <w:adjustRightInd w:val="0"/>
        <w:spacing w:after="0" w:line="240" w:lineRule="auto"/>
        <w:rPr>
          <w:rFonts w:ascii="Times New Roman" w:hAnsi="Times New Roman"/>
          <w:lang w:val="da-DK"/>
        </w:rPr>
      </w:pPr>
    </w:p>
    <w:p w14:paraId="11A8D92C" w14:textId="77777777" w:rsidR="006478AD" w:rsidRPr="00AA499E" w:rsidRDefault="006478AD">
      <w:pPr>
        <w:autoSpaceDE w:val="0"/>
        <w:autoSpaceDN w:val="0"/>
        <w:adjustRightInd w:val="0"/>
        <w:spacing w:after="0" w:line="240" w:lineRule="auto"/>
        <w:rPr>
          <w:rFonts w:ascii="Times New Roman" w:hAnsi="Times New Roman"/>
          <w:lang w:val="da-DK"/>
        </w:rPr>
      </w:pPr>
    </w:p>
    <w:p w14:paraId="15A01560" w14:textId="77777777" w:rsidR="006478AD" w:rsidRPr="00AA499E" w:rsidRDefault="00616F3C">
      <w:pPr>
        <w:tabs>
          <w:tab w:val="left" w:pos="567"/>
        </w:tabs>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2.</w:t>
      </w:r>
      <w:r w:rsidRPr="00AA499E">
        <w:rPr>
          <w:rFonts w:ascii="Times New Roman" w:hAnsi="Times New Roman"/>
          <w:b/>
          <w:bCs/>
          <w:lang w:val="da-DK"/>
        </w:rPr>
        <w:tab/>
        <w:t>KVALITATIV OG KVANTITATIV SAMMENSÆTNING</w:t>
      </w:r>
    </w:p>
    <w:p w14:paraId="3960B3AE" w14:textId="77777777" w:rsidR="006478AD" w:rsidRPr="00AA499E" w:rsidRDefault="006478AD">
      <w:pPr>
        <w:tabs>
          <w:tab w:val="left" w:pos="567"/>
        </w:tabs>
        <w:autoSpaceDE w:val="0"/>
        <w:autoSpaceDN w:val="0"/>
        <w:adjustRightInd w:val="0"/>
        <w:spacing w:after="0" w:line="240" w:lineRule="auto"/>
        <w:rPr>
          <w:rFonts w:ascii="Times New Roman" w:hAnsi="Times New Roman"/>
          <w:lang w:val="da-DK"/>
        </w:rPr>
      </w:pPr>
    </w:p>
    <w:p w14:paraId="4DD9EFB4" w14:textId="77777777" w:rsidR="00347142" w:rsidRPr="00AA499E" w:rsidRDefault="0034714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100 mg filmovertrukne tabletter</w:t>
      </w:r>
    </w:p>
    <w:p w14:paraId="3CCDAFE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Hver filmovertrukken tablet indeholder 100 mg imatinib (som mesilat).</w:t>
      </w:r>
    </w:p>
    <w:p w14:paraId="39E1C66C" w14:textId="77777777" w:rsidR="006478AD" w:rsidRPr="00AA499E" w:rsidRDefault="006478AD">
      <w:pPr>
        <w:autoSpaceDE w:val="0"/>
        <w:autoSpaceDN w:val="0"/>
        <w:adjustRightInd w:val="0"/>
        <w:spacing w:after="0" w:line="240" w:lineRule="auto"/>
        <w:rPr>
          <w:rFonts w:ascii="Times New Roman" w:hAnsi="Times New Roman"/>
          <w:lang w:val="da-DK"/>
        </w:rPr>
      </w:pPr>
    </w:p>
    <w:p w14:paraId="2585FC18" w14:textId="77777777" w:rsidR="006478AD" w:rsidRPr="00AA499E" w:rsidRDefault="00616F3C">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Hjælpestoffer med kendt effekt:</w:t>
      </w:r>
    </w:p>
    <w:p w14:paraId="2024FCE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Hver filmovertrukken tablet indeholder 0,19 mg lecithin (soya) (E322)</w:t>
      </w:r>
    </w:p>
    <w:p w14:paraId="46074877" w14:textId="77777777" w:rsidR="006478AD" w:rsidRPr="00AA499E" w:rsidRDefault="006478AD">
      <w:pPr>
        <w:autoSpaceDE w:val="0"/>
        <w:autoSpaceDN w:val="0"/>
        <w:adjustRightInd w:val="0"/>
        <w:spacing w:after="0" w:line="240" w:lineRule="auto"/>
        <w:rPr>
          <w:rFonts w:ascii="Times New Roman" w:hAnsi="Times New Roman"/>
          <w:highlight w:val="lightGray"/>
          <w:lang w:val="da-DK"/>
        </w:rPr>
      </w:pPr>
    </w:p>
    <w:p w14:paraId="2073E48F" w14:textId="77777777" w:rsidR="00347142" w:rsidRPr="00AA499E" w:rsidRDefault="0034714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400 mg filmovertrukne tabletter</w:t>
      </w:r>
    </w:p>
    <w:p w14:paraId="191407EF" w14:textId="77777777" w:rsidR="00347142" w:rsidRPr="00AA499E" w:rsidRDefault="00347142" w:rsidP="0034714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Hver filmovertrukken tablet indeholder 400 mg imatinib (som mesilat).</w:t>
      </w:r>
    </w:p>
    <w:p w14:paraId="30812854" w14:textId="77777777" w:rsidR="00347142" w:rsidRPr="00AA499E" w:rsidRDefault="00347142" w:rsidP="00347142">
      <w:pPr>
        <w:autoSpaceDE w:val="0"/>
        <w:autoSpaceDN w:val="0"/>
        <w:adjustRightInd w:val="0"/>
        <w:spacing w:after="0" w:line="240" w:lineRule="auto"/>
        <w:rPr>
          <w:rFonts w:ascii="Times New Roman" w:hAnsi="Times New Roman"/>
          <w:lang w:val="da-DK"/>
        </w:rPr>
      </w:pPr>
    </w:p>
    <w:p w14:paraId="65F4E373" w14:textId="77777777" w:rsidR="00347142" w:rsidRPr="00AA499E" w:rsidRDefault="00347142" w:rsidP="00347142">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Hjælpestoffer med kendt effekt:</w:t>
      </w:r>
    </w:p>
    <w:p w14:paraId="7EC690CF" w14:textId="77777777" w:rsidR="00347142" w:rsidRPr="00AA499E" w:rsidRDefault="00347142" w:rsidP="0034714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Hver filmovertrukken tablet indeholder 0,75 mg lecithin (soya) (E322)</w:t>
      </w:r>
    </w:p>
    <w:p w14:paraId="22AE53D5" w14:textId="77777777" w:rsidR="00347142" w:rsidRPr="00AA499E" w:rsidRDefault="00347142">
      <w:pPr>
        <w:autoSpaceDE w:val="0"/>
        <w:autoSpaceDN w:val="0"/>
        <w:adjustRightInd w:val="0"/>
        <w:spacing w:after="0" w:line="240" w:lineRule="auto"/>
        <w:rPr>
          <w:rFonts w:ascii="Times New Roman" w:hAnsi="Times New Roman"/>
          <w:highlight w:val="lightGray"/>
          <w:lang w:val="da-DK"/>
        </w:rPr>
      </w:pPr>
    </w:p>
    <w:p w14:paraId="14D2C4F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Alle hjælpestoffer er anført under pkt. 6.1.</w:t>
      </w:r>
    </w:p>
    <w:p w14:paraId="74DAB5C8" w14:textId="77777777" w:rsidR="006478AD" w:rsidRPr="00AA499E" w:rsidRDefault="006478AD">
      <w:pPr>
        <w:autoSpaceDE w:val="0"/>
        <w:autoSpaceDN w:val="0"/>
        <w:adjustRightInd w:val="0"/>
        <w:spacing w:after="0" w:line="240" w:lineRule="auto"/>
        <w:rPr>
          <w:rFonts w:ascii="Times New Roman" w:hAnsi="Times New Roman"/>
          <w:lang w:val="da-DK"/>
        </w:rPr>
      </w:pPr>
    </w:p>
    <w:p w14:paraId="057C9E24" w14:textId="77777777" w:rsidR="006478AD" w:rsidRPr="00AA499E" w:rsidRDefault="006478AD">
      <w:pPr>
        <w:autoSpaceDE w:val="0"/>
        <w:autoSpaceDN w:val="0"/>
        <w:adjustRightInd w:val="0"/>
        <w:spacing w:after="0" w:line="240" w:lineRule="auto"/>
        <w:rPr>
          <w:rFonts w:ascii="Times New Roman" w:hAnsi="Times New Roman"/>
          <w:lang w:val="da-DK"/>
        </w:rPr>
      </w:pPr>
    </w:p>
    <w:p w14:paraId="18CB6E86" w14:textId="77777777" w:rsidR="006478AD" w:rsidRPr="00AA499E" w:rsidRDefault="00616F3C">
      <w:pPr>
        <w:tabs>
          <w:tab w:val="left" w:pos="567"/>
        </w:tabs>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3.</w:t>
      </w:r>
      <w:r w:rsidRPr="00AA499E">
        <w:rPr>
          <w:rFonts w:ascii="Times New Roman" w:hAnsi="Times New Roman"/>
          <w:b/>
          <w:bCs/>
          <w:lang w:val="da-DK"/>
        </w:rPr>
        <w:tab/>
        <w:t>LÆGEMIDDELFORM</w:t>
      </w:r>
    </w:p>
    <w:p w14:paraId="4F5BBAEF" w14:textId="77777777" w:rsidR="006478AD" w:rsidRPr="00AA499E" w:rsidRDefault="006478AD">
      <w:pPr>
        <w:autoSpaceDE w:val="0"/>
        <w:autoSpaceDN w:val="0"/>
        <w:adjustRightInd w:val="0"/>
        <w:spacing w:after="0" w:line="240" w:lineRule="auto"/>
        <w:rPr>
          <w:rFonts w:ascii="Times New Roman" w:hAnsi="Times New Roman"/>
          <w:highlight w:val="lightGray"/>
          <w:lang w:val="da-DK"/>
        </w:rPr>
      </w:pPr>
    </w:p>
    <w:p w14:paraId="0D1F3BC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Filmovertrukken tablet</w:t>
      </w:r>
      <w:r w:rsidR="00203D86" w:rsidRPr="00AA499E">
        <w:rPr>
          <w:rFonts w:ascii="Times New Roman" w:hAnsi="Times New Roman"/>
          <w:lang w:val="da-DK"/>
        </w:rPr>
        <w:t xml:space="preserve"> (tablet)</w:t>
      </w:r>
    </w:p>
    <w:p w14:paraId="024498FC" w14:textId="77777777" w:rsidR="006478AD" w:rsidRPr="00AA499E" w:rsidRDefault="006478AD">
      <w:pPr>
        <w:autoSpaceDE w:val="0"/>
        <w:autoSpaceDN w:val="0"/>
        <w:adjustRightInd w:val="0"/>
        <w:spacing w:after="0" w:line="240" w:lineRule="auto"/>
        <w:rPr>
          <w:rFonts w:ascii="Times New Roman" w:hAnsi="Times New Roman"/>
          <w:highlight w:val="lightGray"/>
          <w:lang w:val="da-DK"/>
        </w:rPr>
      </w:pPr>
    </w:p>
    <w:p w14:paraId="1CADB9AA" w14:textId="77777777" w:rsidR="00347142" w:rsidRPr="00AA499E" w:rsidRDefault="00347142">
      <w:pPr>
        <w:pStyle w:val="KeinLeerraum"/>
        <w:rPr>
          <w:rFonts w:ascii="Times New Roman" w:hAnsi="Times New Roman"/>
          <w:u w:val="single"/>
          <w:lang w:val="da-DK"/>
        </w:rPr>
      </w:pPr>
      <w:r w:rsidRPr="00AA499E">
        <w:rPr>
          <w:rFonts w:ascii="Times New Roman" w:hAnsi="Times New Roman"/>
          <w:u w:val="single"/>
          <w:lang w:val="da-DK"/>
        </w:rPr>
        <w:t>Imatinib Actavis 100 mg filmovertrukne tabletter</w:t>
      </w:r>
    </w:p>
    <w:p w14:paraId="4FB8787D"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 xml:space="preserve">Rund, 9,2 mm i diameter, bikonveks mørkegul til brun filmovertrukken tablet, præget med virksomhedslogoet på den ene side og "36" med delekærv på den anden side. </w:t>
      </w:r>
    </w:p>
    <w:p w14:paraId="72F33A0F"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Tabletten kan deles i to lige store doser.</w:t>
      </w:r>
    </w:p>
    <w:p w14:paraId="78074BCE" w14:textId="77777777" w:rsidR="006478AD" w:rsidRPr="00AA499E" w:rsidRDefault="006478AD">
      <w:pPr>
        <w:pStyle w:val="KeinLeerraum"/>
        <w:rPr>
          <w:rFonts w:ascii="Times New Roman" w:hAnsi="Times New Roman"/>
          <w:lang w:val="da-DK"/>
        </w:rPr>
      </w:pPr>
    </w:p>
    <w:p w14:paraId="4AF40F80" w14:textId="77777777" w:rsidR="00347142" w:rsidRPr="00AA499E" w:rsidRDefault="00347142">
      <w:pPr>
        <w:pStyle w:val="KeinLeerraum"/>
        <w:rPr>
          <w:rFonts w:ascii="Times New Roman" w:hAnsi="Times New Roman"/>
          <w:u w:val="single"/>
          <w:lang w:val="da-DK"/>
        </w:rPr>
      </w:pPr>
      <w:r w:rsidRPr="00AA499E">
        <w:rPr>
          <w:rFonts w:ascii="Times New Roman" w:hAnsi="Times New Roman"/>
          <w:u w:val="single"/>
          <w:lang w:val="da-DK"/>
        </w:rPr>
        <w:t>Imatinib Actavis 400 mg filmovertrukne tabletter</w:t>
      </w:r>
    </w:p>
    <w:p w14:paraId="10039079" w14:textId="77777777" w:rsidR="00347142" w:rsidRPr="00AA499E" w:rsidRDefault="00347142" w:rsidP="00347142">
      <w:pPr>
        <w:pStyle w:val="KeinLeerraum"/>
        <w:rPr>
          <w:rFonts w:ascii="Times New Roman" w:hAnsi="Times New Roman"/>
          <w:lang w:val="da-DK"/>
        </w:rPr>
      </w:pPr>
      <w:r w:rsidRPr="00AA499E">
        <w:rPr>
          <w:rFonts w:ascii="Times New Roman" w:hAnsi="Times New Roman"/>
          <w:lang w:val="da-DK"/>
        </w:rPr>
        <w:t>Oval, 18,6x6,6 mm bikonveks mørkegul til brun filmovertrukken tablet, præget med virksomhedslogoet på den ene side og "37" med delekærv på den anden side</w:t>
      </w:r>
    </w:p>
    <w:p w14:paraId="73CA25CE" w14:textId="77777777" w:rsidR="00347142" w:rsidRPr="00AA499E" w:rsidRDefault="00347142" w:rsidP="00347142">
      <w:pPr>
        <w:pStyle w:val="KeinLeerraum"/>
        <w:rPr>
          <w:rFonts w:ascii="Times New Roman" w:hAnsi="Times New Roman"/>
          <w:lang w:val="da-DK"/>
        </w:rPr>
      </w:pPr>
      <w:r w:rsidRPr="00AA499E">
        <w:rPr>
          <w:rFonts w:ascii="Times New Roman" w:hAnsi="Times New Roman"/>
          <w:lang w:val="da-DK"/>
        </w:rPr>
        <w:t>Delekærven skal ikke bruges til at brække tabletten.</w:t>
      </w:r>
    </w:p>
    <w:p w14:paraId="2D19445A" w14:textId="77777777" w:rsidR="00347142" w:rsidRPr="00AA499E" w:rsidRDefault="00347142">
      <w:pPr>
        <w:pStyle w:val="KeinLeerraum"/>
        <w:rPr>
          <w:rFonts w:ascii="Times New Roman" w:hAnsi="Times New Roman"/>
          <w:lang w:val="da-DK"/>
        </w:rPr>
      </w:pPr>
    </w:p>
    <w:p w14:paraId="3D5FF58E" w14:textId="77777777" w:rsidR="006478AD" w:rsidRPr="00AA499E" w:rsidRDefault="006478AD">
      <w:pPr>
        <w:pStyle w:val="KeinLeerraum"/>
        <w:rPr>
          <w:rFonts w:ascii="Times New Roman" w:hAnsi="Times New Roman"/>
          <w:lang w:val="da-DK"/>
        </w:rPr>
      </w:pPr>
    </w:p>
    <w:p w14:paraId="255C1FA8" w14:textId="77777777" w:rsidR="006478AD" w:rsidRPr="00AA499E" w:rsidRDefault="00616F3C">
      <w:pPr>
        <w:tabs>
          <w:tab w:val="left" w:pos="567"/>
        </w:tabs>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w:t>
      </w:r>
      <w:r w:rsidRPr="00AA499E">
        <w:rPr>
          <w:rFonts w:ascii="Times New Roman" w:hAnsi="Times New Roman"/>
          <w:b/>
          <w:bCs/>
          <w:lang w:val="da-DK"/>
        </w:rPr>
        <w:tab/>
        <w:t>KLINISKE OPLYSNINGER</w:t>
      </w:r>
    </w:p>
    <w:p w14:paraId="5A37260E" w14:textId="77777777" w:rsidR="006478AD" w:rsidRPr="00AA499E" w:rsidRDefault="006478AD">
      <w:pPr>
        <w:autoSpaceDE w:val="0"/>
        <w:autoSpaceDN w:val="0"/>
        <w:adjustRightInd w:val="0"/>
        <w:spacing w:after="0" w:line="240" w:lineRule="auto"/>
        <w:rPr>
          <w:rFonts w:ascii="Times New Roman" w:hAnsi="Times New Roman"/>
          <w:lang w:val="da-DK"/>
        </w:rPr>
      </w:pPr>
    </w:p>
    <w:p w14:paraId="10BBBF81" w14:textId="77777777" w:rsidR="006478AD" w:rsidRPr="00AA499E" w:rsidRDefault="00616F3C">
      <w:pPr>
        <w:tabs>
          <w:tab w:val="left" w:pos="567"/>
        </w:tabs>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4.1</w:t>
      </w:r>
      <w:r w:rsidRPr="00AA499E">
        <w:rPr>
          <w:rFonts w:ascii="Times New Roman" w:hAnsi="Times New Roman"/>
          <w:b/>
          <w:bCs/>
          <w:lang w:val="da-DK"/>
        </w:rPr>
        <w:tab/>
        <w:t>Terapeutiske indikationer</w:t>
      </w:r>
    </w:p>
    <w:p w14:paraId="0DAE783B" w14:textId="77777777" w:rsidR="006478AD" w:rsidRPr="00AA499E" w:rsidRDefault="006478AD">
      <w:pPr>
        <w:tabs>
          <w:tab w:val="left" w:pos="567"/>
        </w:tabs>
        <w:autoSpaceDE w:val="0"/>
        <w:autoSpaceDN w:val="0"/>
        <w:adjustRightInd w:val="0"/>
        <w:spacing w:after="0" w:line="240" w:lineRule="auto"/>
        <w:rPr>
          <w:rFonts w:ascii="Times New Roman" w:hAnsi="Times New Roman"/>
          <w:lang w:val="da-DK"/>
        </w:rPr>
      </w:pPr>
    </w:p>
    <w:p w14:paraId="7947240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er indiceret til behandling af</w:t>
      </w:r>
    </w:p>
    <w:p w14:paraId="393E3461" w14:textId="77777777" w:rsidR="006478AD" w:rsidRPr="00AA499E" w:rsidRDefault="00616F3C" w:rsidP="00063A26">
      <w:pPr>
        <w:numPr>
          <w:ilvl w:val="0"/>
          <w:numId w:val="19"/>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børn med nydiagnosticeret Philadelphiakromosom (bcr-abl) positiv (Ph+) kronisk myeloid leukæmi (CML), for hvilke knoglemarvstransplantation ikke anses for førstevalgsbehandling.</w:t>
      </w:r>
    </w:p>
    <w:p w14:paraId="226C2F41" w14:textId="77777777" w:rsidR="006478AD" w:rsidRPr="00AA499E" w:rsidRDefault="00616F3C" w:rsidP="00063A26">
      <w:pPr>
        <w:numPr>
          <w:ilvl w:val="0"/>
          <w:numId w:val="19"/>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børn med Ph+ CML i kronisk fase efter manglende effekt af alfa-interferonbehandling, eller i accelereret fase eller blastkrise.</w:t>
      </w:r>
    </w:p>
    <w:p w14:paraId="2B5D8511" w14:textId="77777777" w:rsidR="006478AD" w:rsidRPr="00AA499E" w:rsidRDefault="00616F3C" w:rsidP="00063A26">
      <w:pPr>
        <w:numPr>
          <w:ilvl w:val="0"/>
          <w:numId w:val="19"/>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voksne med Ph+ CML i blastkrise.</w:t>
      </w:r>
    </w:p>
    <w:p w14:paraId="3DC69659" w14:textId="77777777" w:rsidR="00416E20" w:rsidRPr="00AA499E" w:rsidRDefault="00416E20" w:rsidP="00416E20">
      <w:pPr>
        <w:numPr>
          <w:ilvl w:val="0"/>
          <w:numId w:val="19"/>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 xml:space="preserve">voksne </w:t>
      </w:r>
      <w:r w:rsidR="00666526" w:rsidRPr="00AA499E">
        <w:rPr>
          <w:rFonts w:ascii="Times New Roman" w:hAnsi="Times New Roman"/>
          <w:lang w:val="da-DK"/>
        </w:rPr>
        <w:t xml:space="preserve">og børn </w:t>
      </w:r>
      <w:r w:rsidRPr="00AA499E">
        <w:rPr>
          <w:rFonts w:ascii="Times New Roman" w:hAnsi="Times New Roman"/>
          <w:lang w:val="da-DK"/>
        </w:rPr>
        <w:t>med nydiagnosticeret Philadelphia-kromosom-positiv akut lymfoblastær</w:t>
      </w:r>
    </w:p>
    <w:p w14:paraId="06829E84" w14:textId="77777777" w:rsidR="00416E20" w:rsidRPr="00C76A02" w:rsidRDefault="00416E20" w:rsidP="00063A26">
      <w:pPr>
        <w:tabs>
          <w:tab w:val="left" w:pos="567"/>
        </w:tabs>
        <w:autoSpaceDE w:val="0"/>
        <w:autoSpaceDN w:val="0"/>
        <w:adjustRightInd w:val="0"/>
        <w:spacing w:after="0" w:line="240" w:lineRule="auto"/>
        <w:ind w:left="567" w:hanging="567"/>
        <w:rPr>
          <w:rFonts w:ascii="Times New Roman" w:hAnsi="Times New Roman"/>
          <w:lang w:val="sv-SE"/>
        </w:rPr>
      </w:pPr>
      <w:r w:rsidRPr="00AA499E">
        <w:rPr>
          <w:rFonts w:ascii="Times New Roman" w:hAnsi="Times New Roman"/>
          <w:lang w:val="da-DK"/>
        </w:rPr>
        <w:tab/>
      </w:r>
      <w:r w:rsidRPr="00C76A02">
        <w:rPr>
          <w:rFonts w:ascii="Times New Roman" w:hAnsi="Times New Roman"/>
          <w:lang w:val="sv-SE"/>
        </w:rPr>
        <w:t>leukæmi (Ph+ ALL) integreret med kemoterapi.</w:t>
      </w:r>
    </w:p>
    <w:p w14:paraId="5C07DAAF" w14:textId="77777777" w:rsidR="00416E20" w:rsidRPr="00AA499E" w:rsidRDefault="00416E20" w:rsidP="00416E20">
      <w:pPr>
        <w:numPr>
          <w:ilvl w:val="0"/>
          <w:numId w:val="19"/>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voksne patienter med Ph+ ALL med tilbagefald eller refraktær sygdom som monoterapi.</w:t>
      </w:r>
    </w:p>
    <w:p w14:paraId="345D5646" w14:textId="77777777" w:rsidR="00416E20" w:rsidRPr="00AA499E" w:rsidRDefault="00416E20" w:rsidP="00416E20">
      <w:pPr>
        <w:numPr>
          <w:ilvl w:val="0"/>
          <w:numId w:val="19"/>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voksne patienter med myelodysplastisk syndrom/myeloproliferative sygdomme (MDS/MPD)</w:t>
      </w:r>
    </w:p>
    <w:p w14:paraId="7BC38814" w14:textId="77777777" w:rsidR="00416E20" w:rsidRPr="00AA499E" w:rsidRDefault="00416E20" w:rsidP="00063A26">
      <w:p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ab/>
        <w:t>som er forbundet med platelet-derived growth factor receptor-omlejring (PDGFR-omlejring).</w:t>
      </w:r>
    </w:p>
    <w:p w14:paraId="17486081" w14:textId="77777777" w:rsidR="00416E20" w:rsidRPr="00AA499E" w:rsidRDefault="00416E20" w:rsidP="00063A26">
      <w:pPr>
        <w:numPr>
          <w:ilvl w:val="0"/>
          <w:numId w:val="19"/>
        </w:numPr>
        <w:tabs>
          <w:tab w:val="left" w:pos="567"/>
        </w:tabs>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 xml:space="preserve">voksne patienter med refraktært hypereosiniphil syndrom (HES) og/eller kronisk eosinofil leukæmi (CEL) uden </w:t>
      </w:r>
      <w:r w:rsidRPr="00AA499E">
        <w:rPr>
          <w:rFonts w:ascii="Times New Roman" w:hAnsi="Times New Roman"/>
          <w:spacing w:val="1"/>
          <w:lang w:val="da-DK" w:eastAsia="sv-SE"/>
        </w:rPr>
        <w:t>F</w:t>
      </w:r>
      <w:r w:rsidRPr="00AA499E">
        <w:rPr>
          <w:rFonts w:ascii="Times New Roman" w:hAnsi="Times New Roman"/>
          <w:spacing w:val="-4"/>
          <w:lang w:val="da-DK" w:eastAsia="sv-SE"/>
        </w:rPr>
        <w:t>I</w:t>
      </w:r>
      <w:r w:rsidRPr="00AA499E">
        <w:rPr>
          <w:rFonts w:ascii="Times New Roman" w:hAnsi="Times New Roman"/>
          <w:lang w:val="da-DK" w:eastAsia="sv-SE"/>
        </w:rPr>
        <w:t>P1</w:t>
      </w:r>
      <w:r w:rsidRPr="00AA499E">
        <w:rPr>
          <w:rFonts w:ascii="Times New Roman" w:hAnsi="Times New Roman"/>
          <w:spacing w:val="-1"/>
          <w:lang w:val="da-DK" w:eastAsia="sv-SE"/>
        </w:rPr>
        <w:t>L</w:t>
      </w:r>
      <w:r w:rsidRPr="00AA499E">
        <w:rPr>
          <w:rFonts w:ascii="Times New Roman" w:hAnsi="Times New Roman"/>
          <w:lang w:val="da-DK" w:eastAsia="sv-SE"/>
        </w:rPr>
        <w:t>1</w:t>
      </w:r>
      <w:r w:rsidRPr="00AA499E">
        <w:rPr>
          <w:rFonts w:ascii="Times New Roman" w:hAnsi="Times New Roman"/>
          <w:spacing w:val="-4"/>
          <w:lang w:val="da-DK" w:eastAsia="sv-SE"/>
        </w:rPr>
        <w:t>-</w:t>
      </w:r>
      <w:r w:rsidRPr="00AA499E">
        <w:rPr>
          <w:rFonts w:ascii="Times New Roman" w:hAnsi="Times New Roman"/>
          <w:lang w:val="da-DK" w:eastAsia="sv-SE"/>
        </w:rPr>
        <w:t>P</w:t>
      </w:r>
      <w:r w:rsidRPr="00AA499E">
        <w:rPr>
          <w:rFonts w:ascii="Times New Roman" w:hAnsi="Times New Roman"/>
          <w:spacing w:val="-1"/>
          <w:lang w:val="da-DK" w:eastAsia="sv-SE"/>
        </w:rPr>
        <w:t>DG</w:t>
      </w:r>
      <w:r w:rsidRPr="00AA499E">
        <w:rPr>
          <w:rFonts w:ascii="Times New Roman" w:hAnsi="Times New Roman"/>
          <w:lang w:val="da-DK" w:eastAsia="sv-SE"/>
        </w:rPr>
        <w:t>F</w:t>
      </w:r>
      <w:r w:rsidRPr="00AA499E">
        <w:rPr>
          <w:rFonts w:ascii="Times New Roman" w:hAnsi="Times New Roman"/>
          <w:spacing w:val="-1"/>
          <w:lang w:val="da-DK" w:eastAsia="sv-SE"/>
        </w:rPr>
        <w:t>R</w:t>
      </w:r>
      <w:r w:rsidRPr="00AA499E">
        <w:rPr>
          <w:rFonts w:ascii="Times New Roman" w:hAnsi="Times New Roman"/>
          <w:spacing w:val="-3"/>
          <w:lang w:val="da-DK" w:eastAsia="sv-SE"/>
        </w:rPr>
        <w:t></w:t>
      </w:r>
      <w:r w:rsidRPr="00AA499E">
        <w:rPr>
          <w:rFonts w:ascii="Times New Roman" w:hAnsi="Times New Roman"/>
          <w:spacing w:val="-4"/>
          <w:lang w:val="da-DK" w:eastAsia="sv-SE"/>
        </w:rPr>
        <w:t>-</w:t>
      </w:r>
      <w:r w:rsidRPr="00AA499E">
        <w:rPr>
          <w:rFonts w:ascii="Times New Roman" w:hAnsi="Times New Roman"/>
          <w:lang w:val="da-DK" w:eastAsia="sv-SE"/>
        </w:rPr>
        <w:t>o</w:t>
      </w:r>
      <w:r w:rsidRPr="00AA499E">
        <w:rPr>
          <w:rFonts w:ascii="Times New Roman" w:hAnsi="Times New Roman"/>
          <w:spacing w:val="-4"/>
          <w:lang w:val="da-DK" w:eastAsia="sv-SE"/>
        </w:rPr>
        <w:t>m</w:t>
      </w:r>
      <w:r w:rsidRPr="00AA499E">
        <w:rPr>
          <w:rFonts w:ascii="Times New Roman" w:hAnsi="Times New Roman"/>
          <w:spacing w:val="1"/>
          <w:lang w:val="da-DK" w:eastAsia="sv-SE"/>
        </w:rPr>
        <w:t>l</w:t>
      </w:r>
      <w:r w:rsidRPr="00AA499E">
        <w:rPr>
          <w:rFonts w:ascii="Times New Roman" w:hAnsi="Times New Roman"/>
          <w:lang w:val="da-DK" w:eastAsia="sv-SE"/>
        </w:rPr>
        <w:t>e</w:t>
      </w:r>
      <w:r w:rsidRPr="00AA499E">
        <w:rPr>
          <w:rFonts w:ascii="Times New Roman" w:hAnsi="Times New Roman"/>
          <w:spacing w:val="4"/>
          <w:lang w:val="da-DK" w:eastAsia="sv-SE"/>
        </w:rPr>
        <w:t>j</w:t>
      </w:r>
      <w:r w:rsidRPr="00AA499E">
        <w:rPr>
          <w:rFonts w:ascii="Times New Roman" w:hAnsi="Times New Roman"/>
          <w:spacing w:val="1"/>
          <w:lang w:val="da-DK" w:eastAsia="sv-SE"/>
        </w:rPr>
        <w:t>ri</w:t>
      </w:r>
      <w:r w:rsidRPr="00AA499E">
        <w:rPr>
          <w:rFonts w:ascii="Times New Roman" w:hAnsi="Times New Roman"/>
          <w:lang w:val="da-DK" w:eastAsia="sv-SE"/>
        </w:rPr>
        <w:t>n</w:t>
      </w:r>
      <w:r w:rsidRPr="00AA499E">
        <w:rPr>
          <w:rFonts w:ascii="Times New Roman" w:hAnsi="Times New Roman"/>
          <w:spacing w:val="-1"/>
          <w:lang w:val="da-DK" w:eastAsia="sv-SE"/>
        </w:rPr>
        <w:t>g</w:t>
      </w:r>
      <w:r w:rsidRPr="00AA499E">
        <w:rPr>
          <w:rFonts w:ascii="Times New Roman" w:hAnsi="Times New Roman"/>
          <w:lang w:val="da-DK" w:eastAsia="sv-SE"/>
        </w:rPr>
        <w:t>.</w:t>
      </w:r>
    </w:p>
    <w:p w14:paraId="4EAAE471" w14:textId="77777777" w:rsidR="006478AD" w:rsidRPr="00AA499E" w:rsidRDefault="006478AD">
      <w:pPr>
        <w:autoSpaceDE w:val="0"/>
        <w:autoSpaceDN w:val="0"/>
        <w:adjustRightInd w:val="0"/>
        <w:spacing w:after="0" w:line="240" w:lineRule="auto"/>
        <w:rPr>
          <w:rFonts w:ascii="Times New Roman" w:hAnsi="Times New Roman"/>
          <w:lang w:val="da-DK"/>
        </w:rPr>
      </w:pPr>
    </w:p>
    <w:p w14:paraId="0D0AAA01" w14:textId="77777777" w:rsidR="006478AD" w:rsidRPr="00AA499E" w:rsidRDefault="00786C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Imatinibs </w:t>
      </w:r>
      <w:r w:rsidR="00616F3C" w:rsidRPr="00AA499E">
        <w:rPr>
          <w:rFonts w:ascii="Times New Roman" w:hAnsi="Times New Roman"/>
          <w:lang w:val="da-DK"/>
        </w:rPr>
        <w:t>effekt på resultatet af knoglemarvstransplantation er ikke blevet bestemt.</w:t>
      </w:r>
    </w:p>
    <w:p w14:paraId="6D28B1DE" w14:textId="77777777" w:rsidR="00786C6F" w:rsidRPr="00AA499E" w:rsidRDefault="00786C6F">
      <w:pPr>
        <w:autoSpaceDE w:val="0"/>
        <w:autoSpaceDN w:val="0"/>
        <w:adjustRightInd w:val="0"/>
        <w:spacing w:after="0" w:line="240" w:lineRule="auto"/>
        <w:rPr>
          <w:rFonts w:ascii="Times New Roman" w:hAnsi="Times New Roman"/>
          <w:lang w:val="da-DK"/>
        </w:rPr>
      </w:pPr>
    </w:p>
    <w:p w14:paraId="4D3C72C1" w14:textId="77777777" w:rsidR="00786C6F" w:rsidRPr="00AA499E" w:rsidRDefault="00786C6F" w:rsidP="00786C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er indiceret til</w:t>
      </w:r>
    </w:p>
    <w:p w14:paraId="230B3F8A" w14:textId="77777777" w:rsidR="00786C6F" w:rsidRPr="00AA499E" w:rsidRDefault="00786C6F" w:rsidP="00786C6F">
      <w:pPr>
        <w:numPr>
          <w:ilvl w:val="0"/>
          <w:numId w:val="7"/>
        </w:numPr>
        <w:autoSpaceDE w:val="0"/>
        <w:autoSpaceDN w:val="0"/>
        <w:adjustRightInd w:val="0"/>
        <w:spacing w:after="0" w:line="225" w:lineRule="exact"/>
        <w:ind w:left="567" w:right="-20" w:hanging="567"/>
        <w:rPr>
          <w:rFonts w:ascii="Times New Roman" w:hAnsi="Times New Roman"/>
          <w:lang w:val="da-DK" w:eastAsia="sv-SE"/>
        </w:rPr>
      </w:pPr>
      <w:r w:rsidRPr="00AA499E">
        <w:rPr>
          <w:rFonts w:ascii="Times New Roman" w:hAnsi="Times New Roman"/>
          <w:lang w:val="da-DK" w:eastAsia="sv-SE"/>
        </w:rPr>
        <w:t>beh</w:t>
      </w:r>
      <w:r w:rsidRPr="00AA499E">
        <w:rPr>
          <w:rFonts w:ascii="Times New Roman" w:hAnsi="Times New Roman"/>
          <w:spacing w:val="1"/>
          <w:lang w:val="da-DK" w:eastAsia="sv-SE"/>
        </w:rPr>
        <w:t>a</w:t>
      </w:r>
      <w:r w:rsidRPr="00AA499E">
        <w:rPr>
          <w:rFonts w:ascii="Times New Roman" w:hAnsi="Times New Roman"/>
          <w:lang w:val="da-DK" w:eastAsia="sv-SE"/>
        </w:rPr>
        <w:t>nd</w:t>
      </w:r>
      <w:r w:rsidRPr="00AA499E">
        <w:rPr>
          <w:rFonts w:ascii="Times New Roman" w:hAnsi="Times New Roman"/>
          <w:spacing w:val="1"/>
          <w:lang w:val="da-DK" w:eastAsia="sv-SE"/>
        </w:rPr>
        <w:t>li</w:t>
      </w:r>
      <w:r w:rsidRPr="00AA499E">
        <w:rPr>
          <w:rFonts w:ascii="Times New Roman" w:hAnsi="Times New Roman"/>
          <w:lang w:val="da-DK" w:eastAsia="sv-SE"/>
        </w:rPr>
        <w:t>ng</w:t>
      </w:r>
      <w:r w:rsidRPr="00AA499E">
        <w:rPr>
          <w:rFonts w:ascii="Times New Roman" w:hAnsi="Times New Roman"/>
          <w:spacing w:val="-2"/>
          <w:lang w:val="da-DK" w:eastAsia="sv-SE"/>
        </w:rPr>
        <w:t xml:space="preserve"> </w:t>
      </w:r>
      <w:r w:rsidRPr="00AA499E">
        <w:rPr>
          <w:rFonts w:ascii="Times New Roman" w:hAnsi="Times New Roman"/>
          <w:lang w:val="da-DK" w:eastAsia="sv-SE"/>
        </w:rPr>
        <w:t>af</w:t>
      </w:r>
      <w:r w:rsidRPr="00AA499E">
        <w:rPr>
          <w:rFonts w:ascii="Times New Roman" w:hAnsi="Times New Roman"/>
          <w:spacing w:val="1"/>
          <w:lang w:val="da-DK" w:eastAsia="sv-SE"/>
        </w:rPr>
        <w:t xml:space="preserve"> </w:t>
      </w:r>
      <w:r w:rsidRPr="00AA499E">
        <w:rPr>
          <w:rFonts w:ascii="Times New Roman" w:hAnsi="Times New Roman"/>
          <w:spacing w:val="-2"/>
          <w:lang w:val="da-DK" w:eastAsia="sv-SE"/>
        </w:rPr>
        <w:t>v</w:t>
      </w:r>
      <w:r w:rsidRPr="00AA499E">
        <w:rPr>
          <w:rFonts w:ascii="Times New Roman" w:hAnsi="Times New Roman"/>
          <w:lang w:val="da-DK" w:eastAsia="sv-SE"/>
        </w:rPr>
        <w:t>o</w:t>
      </w:r>
      <w:r w:rsidRPr="00AA499E">
        <w:rPr>
          <w:rFonts w:ascii="Times New Roman" w:hAnsi="Times New Roman"/>
          <w:spacing w:val="-2"/>
          <w:lang w:val="da-DK" w:eastAsia="sv-SE"/>
        </w:rPr>
        <w:t>k</w:t>
      </w:r>
      <w:r w:rsidRPr="00AA499E">
        <w:rPr>
          <w:rFonts w:ascii="Times New Roman" w:hAnsi="Times New Roman"/>
          <w:lang w:val="da-DK" w:eastAsia="sv-SE"/>
        </w:rPr>
        <w:t>sne</w:t>
      </w:r>
      <w:r w:rsidRPr="00AA499E">
        <w:rPr>
          <w:rFonts w:ascii="Times New Roman" w:hAnsi="Times New Roman"/>
          <w:spacing w:val="1"/>
          <w:lang w:val="da-DK" w:eastAsia="sv-SE"/>
        </w:rPr>
        <w:t xml:space="preserve"> </w:t>
      </w:r>
      <w:r w:rsidRPr="00AA499E">
        <w:rPr>
          <w:rFonts w:ascii="Times New Roman" w:hAnsi="Times New Roman"/>
          <w:lang w:val="da-DK" w:eastAsia="sv-SE"/>
        </w:rPr>
        <w:t>pa</w:t>
      </w:r>
      <w:r w:rsidRPr="00AA499E">
        <w:rPr>
          <w:rFonts w:ascii="Times New Roman" w:hAnsi="Times New Roman"/>
          <w:spacing w:val="1"/>
          <w:lang w:val="da-DK" w:eastAsia="sv-SE"/>
        </w:rPr>
        <w:t>ti</w:t>
      </w:r>
      <w:r w:rsidRPr="00AA499E">
        <w:rPr>
          <w:rFonts w:ascii="Times New Roman" w:hAnsi="Times New Roman"/>
          <w:lang w:val="da-DK" w:eastAsia="sv-SE"/>
        </w:rPr>
        <w:t>en</w:t>
      </w:r>
      <w:r w:rsidRPr="00AA499E">
        <w:rPr>
          <w:rFonts w:ascii="Times New Roman" w:hAnsi="Times New Roman"/>
          <w:spacing w:val="1"/>
          <w:lang w:val="da-DK" w:eastAsia="sv-SE"/>
        </w:rPr>
        <w:t>t</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 xml:space="preserve">ed </w:t>
      </w:r>
      <w:r w:rsidRPr="00AA499E">
        <w:rPr>
          <w:rFonts w:ascii="Times New Roman" w:hAnsi="Times New Roman"/>
          <w:spacing w:val="1"/>
          <w:lang w:val="da-DK" w:eastAsia="sv-SE"/>
        </w:rPr>
        <w:t>i</w:t>
      </w:r>
      <w:r w:rsidRPr="00AA499E">
        <w:rPr>
          <w:rFonts w:ascii="Times New Roman" w:hAnsi="Times New Roman"/>
          <w:lang w:val="da-DK" w:eastAsia="sv-SE"/>
        </w:rPr>
        <w:t>nope</w:t>
      </w:r>
      <w:r w:rsidRPr="00AA499E">
        <w:rPr>
          <w:rFonts w:ascii="Times New Roman" w:hAnsi="Times New Roman"/>
          <w:spacing w:val="1"/>
          <w:lang w:val="da-DK" w:eastAsia="sv-SE"/>
        </w:rPr>
        <w:t>r</w:t>
      </w:r>
      <w:r w:rsidRPr="00AA499E">
        <w:rPr>
          <w:rFonts w:ascii="Times New Roman" w:hAnsi="Times New Roman"/>
          <w:lang w:val="da-DK" w:eastAsia="sv-SE"/>
        </w:rPr>
        <w:t>ab</w:t>
      </w:r>
      <w:r w:rsidRPr="00AA499E">
        <w:rPr>
          <w:rFonts w:ascii="Times New Roman" w:hAnsi="Times New Roman"/>
          <w:spacing w:val="1"/>
          <w:lang w:val="da-DK" w:eastAsia="sv-SE"/>
        </w:rPr>
        <w:t>e</w:t>
      </w:r>
      <w:r w:rsidRPr="00AA499E">
        <w:rPr>
          <w:rFonts w:ascii="Times New Roman" w:hAnsi="Times New Roman"/>
          <w:lang w:val="da-DK" w:eastAsia="sv-SE"/>
        </w:rPr>
        <w:t>l</w:t>
      </w:r>
      <w:r w:rsidRPr="00AA499E">
        <w:rPr>
          <w:rFonts w:ascii="Times New Roman" w:hAnsi="Times New Roman"/>
          <w:spacing w:val="1"/>
          <w:lang w:val="da-DK" w:eastAsia="sv-SE"/>
        </w:rPr>
        <w:t xml:space="preserve"> </w:t>
      </w:r>
      <w:r w:rsidRPr="00AA499E">
        <w:rPr>
          <w:rFonts w:ascii="Times New Roman" w:hAnsi="Times New Roman"/>
          <w:lang w:val="da-DK" w:eastAsia="sv-SE"/>
        </w:rPr>
        <w:t>de</w:t>
      </w:r>
      <w:r w:rsidRPr="00AA499E">
        <w:rPr>
          <w:rFonts w:ascii="Times New Roman" w:hAnsi="Times New Roman"/>
          <w:spacing w:val="1"/>
          <w:lang w:val="da-DK" w:eastAsia="sv-SE"/>
        </w:rPr>
        <w:t>r</w:t>
      </w:r>
      <w:r w:rsidRPr="00AA499E">
        <w:rPr>
          <w:rFonts w:ascii="Times New Roman" w:hAnsi="Times New Roman"/>
          <w:spacing w:val="-4"/>
          <w:lang w:val="da-DK" w:eastAsia="sv-SE"/>
        </w:rPr>
        <w:t>m</w:t>
      </w:r>
      <w:r w:rsidRPr="00AA499E">
        <w:rPr>
          <w:rFonts w:ascii="Times New Roman" w:hAnsi="Times New Roman"/>
          <w:lang w:val="da-DK" w:eastAsia="sv-SE"/>
        </w:rPr>
        <w:t>a</w:t>
      </w:r>
      <w:r w:rsidRPr="00AA499E">
        <w:rPr>
          <w:rFonts w:ascii="Times New Roman" w:hAnsi="Times New Roman"/>
          <w:spacing w:val="1"/>
          <w:lang w:val="da-DK" w:eastAsia="sv-SE"/>
        </w:rPr>
        <w:t>t</w:t>
      </w:r>
      <w:r w:rsidRPr="00AA499E">
        <w:rPr>
          <w:rFonts w:ascii="Times New Roman" w:hAnsi="Times New Roman"/>
          <w:lang w:val="da-DK" w:eastAsia="sv-SE"/>
        </w:rPr>
        <w:t>o</w:t>
      </w:r>
      <w:r w:rsidRPr="00AA499E">
        <w:rPr>
          <w:rFonts w:ascii="Times New Roman" w:hAnsi="Times New Roman"/>
          <w:spacing w:val="1"/>
          <w:lang w:val="da-DK" w:eastAsia="sv-SE"/>
        </w:rPr>
        <w:t>fi</w:t>
      </w:r>
      <w:r w:rsidRPr="00AA499E">
        <w:rPr>
          <w:rFonts w:ascii="Times New Roman" w:hAnsi="Times New Roman"/>
          <w:lang w:val="da-DK" w:eastAsia="sv-SE"/>
        </w:rPr>
        <w:t>b</w:t>
      </w:r>
      <w:r w:rsidRPr="00AA499E">
        <w:rPr>
          <w:rFonts w:ascii="Times New Roman" w:hAnsi="Times New Roman"/>
          <w:spacing w:val="1"/>
          <w:lang w:val="da-DK" w:eastAsia="sv-SE"/>
        </w:rPr>
        <w:t>r</w:t>
      </w:r>
      <w:r w:rsidRPr="00AA499E">
        <w:rPr>
          <w:rFonts w:ascii="Times New Roman" w:hAnsi="Times New Roman"/>
          <w:lang w:val="da-DK" w:eastAsia="sv-SE"/>
        </w:rPr>
        <w:t>os</w:t>
      </w:r>
      <w:r w:rsidRPr="00AA499E">
        <w:rPr>
          <w:rFonts w:ascii="Times New Roman" w:hAnsi="Times New Roman"/>
          <w:spacing w:val="1"/>
          <w:lang w:val="da-DK" w:eastAsia="sv-SE"/>
        </w:rPr>
        <w:t>ar</w:t>
      </w:r>
      <w:r w:rsidRPr="00AA499E">
        <w:rPr>
          <w:rFonts w:ascii="Times New Roman" w:hAnsi="Times New Roman"/>
          <w:spacing w:val="-2"/>
          <w:lang w:val="da-DK" w:eastAsia="sv-SE"/>
        </w:rPr>
        <w:t>k</w:t>
      </w:r>
      <w:r w:rsidRPr="00AA499E">
        <w:rPr>
          <w:rFonts w:ascii="Times New Roman" w:hAnsi="Times New Roman"/>
          <w:lang w:val="da-DK" w:eastAsia="sv-SE"/>
        </w:rPr>
        <w:t>om</w:t>
      </w:r>
      <w:r w:rsidRPr="00AA499E">
        <w:rPr>
          <w:rFonts w:ascii="Times New Roman" w:hAnsi="Times New Roman"/>
          <w:spacing w:val="-4"/>
          <w:lang w:val="da-DK" w:eastAsia="sv-SE"/>
        </w:rPr>
        <w:t xml:space="preserve"> </w:t>
      </w:r>
      <w:r w:rsidRPr="00AA499E">
        <w:rPr>
          <w:rFonts w:ascii="Times New Roman" w:hAnsi="Times New Roman"/>
          <w:lang w:val="da-DK" w:eastAsia="sv-SE"/>
        </w:rPr>
        <w:t>p</w:t>
      </w:r>
      <w:r w:rsidRPr="00AA499E">
        <w:rPr>
          <w:rFonts w:ascii="Times New Roman" w:hAnsi="Times New Roman"/>
          <w:spacing w:val="1"/>
          <w:lang w:val="da-DK" w:eastAsia="sv-SE"/>
        </w:rPr>
        <w:t>r</w:t>
      </w:r>
      <w:r w:rsidRPr="00AA499E">
        <w:rPr>
          <w:rFonts w:ascii="Times New Roman" w:hAnsi="Times New Roman"/>
          <w:lang w:val="da-DK" w:eastAsia="sv-SE"/>
        </w:rPr>
        <w:t>o</w:t>
      </w:r>
      <w:r w:rsidRPr="00AA499E">
        <w:rPr>
          <w:rFonts w:ascii="Times New Roman" w:hAnsi="Times New Roman"/>
          <w:spacing w:val="1"/>
          <w:lang w:val="da-DK" w:eastAsia="sv-SE"/>
        </w:rPr>
        <w:t>t</w:t>
      </w:r>
      <w:r w:rsidRPr="00AA499E">
        <w:rPr>
          <w:rFonts w:ascii="Times New Roman" w:hAnsi="Times New Roman"/>
          <w:lang w:val="da-DK" w:eastAsia="sv-SE"/>
        </w:rPr>
        <w:t>ube</w:t>
      </w:r>
      <w:r w:rsidRPr="00AA499E">
        <w:rPr>
          <w:rFonts w:ascii="Times New Roman" w:hAnsi="Times New Roman"/>
          <w:spacing w:val="1"/>
          <w:lang w:val="da-DK" w:eastAsia="sv-SE"/>
        </w:rPr>
        <w:t>r</w:t>
      </w:r>
      <w:r w:rsidRPr="00AA499E">
        <w:rPr>
          <w:rFonts w:ascii="Times New Roman" w:hAnsi="Times New Roman"/>
          <w:lang w:val="da-DK" w:eastAsia="sv-SE"/>
        </w:rPr>
        <w:t>ans</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D</w:t>
      </w:r>
      <w:r w:rsidRPr="00AA499E">
        <w:rPr>
          <w:rFonts w:ascii="Times New Roman" w:hAnsi="Times New Roman"/>
          <w:lang w:val="da-DK" w:eastAsia="sv-SE"/>
        </w:rPr>
        <w:t>F</w:t>
      </w:r>
      <w:r w:rsidRPr="00AA499E">
        <w:rPr>
          <w:rFonts w:ascii="Times New Roman" w:hAnsi="Times New Roman"/>
          <w:spacing w:val="-1"/>
          <w:lang w:val="da-DK" w:eastAsia="sv-SE"/>
        </w:rPr>
        <w:t>S</w:t>
      </w:r>
      <w:r w:rsidRPr="00AA499E">
        <w:rPr>
          <w:rFonts w:ascii="Times New Roman" w:hAnsi="Times New Roman"/>
          <w:lang w:val="da-DK" w:eastAsia="sv-SE"/>
        </w:rPr>
        <w:t>P) og</w:t>
      </w:r>
    </w:p>
    <w:p w14:paraId="01915A6B" w14:textId="77777777" w:rsidR="00786C6F" w:rsidRPr="00AA499E" w:rsidRDefault="00786C6F" w:rsidP="00786C6F">
      <w:pPr>
        <w:autoSpaceDE w:val="0"/>
        <w:autoSpaceDN w:val="0"/>
        <w:adjustRightInd w:val="0"/>
        <w:spacing w:before="6" w:after="0" w:line="240" w:lineRule="auto"/>
        <w:ind w:left="567" w:right="-20"/>
        <w:rPr>
          <w:rFonts w:ascii="Times New Roman" w:hAnsi="Times New Roman"/>
          <w:lang w:val="da-DK" w:eastAsia="sv-SE"/>
        </w:rPr>
      </w:pPr>
      <w:r w:rsidRPr="00AA499E">
        <w:rPr>
          <w:rFonts w:ascii="Times New Roman" w:hAnsi="Times New Roman"/>
          <w:spacing w:val="-2"/>
          <w:lang w:val="da-DK" w:eastAsia="sv-SE"/>
        </w:rPr>
        <w:t>v</w:t>
      </w:r>
      <w:r w:rsidRPr="00AA499E">
        <w:rPr>
          <w:rFonts w:ascii="Times New Roman" w:hAnsi="Times New Roman"/>
          <w:lang w:val="da-DK" w:eastAsia="sv-SE"/>
        </w:rPr>
        <w:t>o</w:t>
      </w:r>
      <w:r w:rsidRPr="00AA499E">
        <w:rPr>
          <w:rFonts w:ascii="Times New Roman" w:hAnsi="Times New Roman"/>
          <w:spacing w:val="-2"/>
          <w:lang w:val="da-DK" w:eastAsia="sv-SE"/>
        </w:rPr>
        <w:t>k</w:t>
      </w:r>
      <w:r w:rsidRPr="00AA499E">
        <w:rPr>
          <w:rFonts w:ascii="Times New Roman" w:hAnsi="Times New Roman"/>
          <w:lang w:val="da-DK" w:eastAsia="sv-SE"/>
        </w:rPr>
        <w:t>sne</w:t>
      </w:r>
      <w:r w:rsidRPr="00AA499E">
        <w:rPr>
          <w:rFonts w:ascii="Times New Roman" w:hAnsi="Times New Roman"/>
          <w:spacing w:val="1"/>
          <w:lang w:val="da-DK" w:eastAsia="sv-SE"/>
        </w:rPr>
        <w:t xml:space="preserve"> </w:t>
      </w:r>
      <w:r w:rsidRPr="00AA499E">
        <w:rPr>
          <w:rFonts w:ascii="Times New Roman" w:hAnsi="Times New Roman"/>
          <w:lang w:val="da-DK" w:eastAsia="sv-SE"/>
        </w:rPr>
        <w:t>pa</w:t>
      </w:r>
      <w:r w:rsidRPr="00AA499E">
        <w:rPr>
          <w:rFonts w:ascii="Times New Roman" w:hAnsi="Times New Roman"/>
          <w:spacing w:val="1"/>
          <w:lang w:val="da-DK" w:eastAsia="sv-SE"/>
        </w:rPr>
        <w:t>ti</w:t>
      </w:r>
      <w:r w:rsidRPr="00AA499E">
        <w:rPr>
          <w:rFonts w:ascii="Times New Roman" w:hAnsi="Times New Roman"/>
          <w:lang w:val="da-DK" w:eastAsia="sv-SE"/>
        </w:rPr>
        <w:t>en</w:t>
      </w:r>
      <w:r w:rsidRPr="00AA499E">
        <w:rPr>
          <w:rFonts w:ascii="Times New Roman" w:hAnsi="Times New Roman"/>
          <w:spacing w:val="1"/>
          <w:lang w:val="da-DK" w:eastAsia="sv-SE"/>
        </w:rPr>
        <w:t>t</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 xml:space="preserve">ed </w:t>
      </w:r>
      <w:r w:rsidRPr="00AA499E">
        <w:rPr>
          <w:rFonts w:ascii="Times New Roman" w:hAnsi="Times New Roman"/>
          <w:spacing w:val="1"/>
          <w:lang w:val="da-DK" w:eastAsia="sv-SE"/>
        </w:rPr>
        <w:t>r</w:t>
      </w:r>
      <w:r w:rsidRPr="00AA499E">
        <w:rPr>
          <w:rFonts w:ascii="Times New Roman" w:hAnsi="Times New Roman"/>
          <w:lang w:val="da-DK" w:eastAsia="sv-SE"/>
        </w:rPr>
        <w:t>e</w:t>
      </w:r>
      <w:r w:rsidRPr="00AA499E">
        <w:rPr>
          <w:rFonts w:ascii="Times New Roman" w:hAnsi="Times New Roman"/>
          <w:spacing w:val="1"/>
          <w:lang w:val="da-DK" w:eastAsia="sv-SE"/>
        </w:rPr>
        <w:t>si</w:t>
      </w:r>
      <w:r w:rsidRPr="00AA499E">
        <w:rPr>
          <w:rFonts w:ascii="Times New Roman" w:hAnsi="Times New Roman"/>
          <w:lang w:val="da-DK" w:eastAsia="sv-SE"/>
        </w:rPr>
        <w:t>d</w:t>
      </w:r>
      <w:r w:rsidRPr="00AA499E">
        <w:rPr>
          <w:rFonts w:ascii="Times New Roman" w:hAnsi="Times New Roman"/>
          <w:spacing w:val="1"/>
          <w:lang w:val="da-DK" w:eastAsia="sv-SE"/>
        </w:rPr>
        <w:t>i</w:t>
      </w:r>
      <w:r w:rsidRPr="00AA499E">
        <w:rPr>
          <w:rFonts w:ascii="Times New Roman" w:hAnsi="Times New Roman"/>
          <w:spacing w:val="-2"/>
          <w:lang w:val="da-DK" w:eastAsia="sv-SE"/>
        </w:rPr>
        <w:t>v</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ende</w:t>
      </w:r>
      <w:r w:rsidRPr="00AA499E">
        <w:rPr>
          <w:rFonts w:ascii="Times New Roman" w:hAnsi="Times New Roman"/>
          <w:spacing w:val="1"/>
          <w:lang w:val="da-DK" w:eastAsia="sv-SE"/>
        </w:rPr>
        <w:t xml:space="preserve"> </w:t>
      </w:r>
      <w:r w:rsidRPr="00AA499E">
        <w:rPr>
          <w:rFonts w:ascii="Times New Roman" w:hAnsi="Times New Roman"/>
          <w:lang w:val="da-DK" w:eastAsia="sv-SE"/>
        </w:rPr>
        <w:t>o</w:t>
      </w:r>
      <w:r w:rsidRPr="00AA499E">
        <w:rPr>
          <w:rFonts w:ascii="Times New Roman" w:hAnsi="Times New Roman"/>
          <w:spacing w:val="-2"/>
          <w:lang w:val="da-DK" w:eastAsia="sv-SE"/>
        </w:rPr>
        <w:t>g</w:t>
      </w:r>
      <w:r w:rsidRPr="00AA499E">
        <w:rPr>
          <w:rFonts w:ascii="Times New Roman" w:hAnsi="Times New Roman"/>
          <w:spacing w:val="1"/>
          <w:lang w:val="da-DK" w:eastAsia="sv-SE"/>
        </w:rPr>
        <w:t>/</w:t>
      </w:r>
      <w:r w:rsidRPr="00AA499E">
        <w:rPr>
          <w:rFonts w:ascii="Times New Roman" w:hAnsi="Times New Roman"/>
          <w:lang w:val="da-DK" w:eastAsia="sv-SE"/>
        </w:rPr>
        <w:t>e</w:t>
      </w:r>
      <w:r w:rsidRPr="00AA499E">
        <w:rPr>
          <w:rFonts w:ascii="Times New Roman" w:hAnsi="Times New Roman"/>
          <w:spacing w:val="1"/>
          <w:lang w:val="da-DK" w:eastAsia="sv-SE"/>
        </w:rPr>
        <w:t>ll</w:t>
      </w:r>
      <w:r w:rsidRPr="00AA499E">
        <w:rPr>
          <w:rFonts w:ascii="Times New Roman" w:hAnsi="Times New Roman"/>
          <w:lang w:val="da-DK" w:eastAsia="sv-SE"/>
        </w:rPr>
        <w:t>er</w:t>
      </w:r>
      <w:r w:rsidRPr="00AA499E">
        <w:rPr>
          <w:rFonts w:ascii="Times New Roman" w:hAnsi="Times New Roman"/>
          <w:spacing w:val="1"/>
          <w:lang w:val="da-DK" w:eastAsia="sv-SE"/>
        </w:rPr>
        <w:t xml:space="preserve"> </w:t>
      </w:r>
      <w:r w:rsidRPr="00AA499E">
        <w:rPr>
          <w:rFonts w:ascii="Times New Roman" w:hAnsi="Times New Roman"/>
          <w:spacing w:val="-4"/>
          <w:lang w:val="da-DK" w:eastAsia="sv-SE"/>
        </w:rPr>
        <w:t>m</w:t>
      </w:r>
      <w:r w:rsidRPr="00AA499E">
        <w:rPr>
          <w:rFonts w:ascii="Times New Roman" w:hAnsi="Times New Roman"/>
          <w:lang w:val="da-DK" w:eastAsia="sv-SE"/>
        </w:rPr>
        <w:t>e</w:t>
      </w:r>
      <w:r w:rsidRPr="00AA499E">
        <w:rPr>
          <w:rFonts w:ascii="Times New Roman" w:hAnsi="Times New Roman"/>
          <w:spacing w:val="1"/>
          <w:lang w:val="da-DK" w:eastAsia="sv-SE"/>
        </w:rPr>
        <w:t>t</w:t>
      </w:r>
      <w:r w:rsidRPr="00AA499E">
        <w:rPr>
          <w:rFonts w:ascii="Times New Roman" w:hAnsi="Times New Roman"/>
          <w:lang w:val="da-DK" w:eastAsia="sv-SE"/>
        </w:rPr>
        <w:t>a</w:t>
      </w:r>
      <w:r w:rsidRPr="00AA499E">
        <w:rPr>
          <w:rFonts w:ascii="Times New Roman" w:hAnsi="Times New Roman"/>
          <w:spacing w:val="1"/>
          <w:lang w:val="da-DK" w:eastAsia="sv-SE"/>
        </w:rPr>
        <w:t>st</w:t>
      </w:r>
      <w:r w:rsidRPr="00AA499E">
        <w:rPr>
          <w:rFonts w:ascii="Times New Roman" w:hAnsi="Times New Roman"/>
          <w:lang w:val="da-DK" w:eastAsia="sv-SE"/>
        </w:rPr>
        <w:t>a</w:t>
      </w:r>
      <w:r w:rsidRPr="00AA499E">
        <w:rPr>
          <w:rFonts w:ascii="Times New Roman" w:hAnsi="Times New Roman"/>
          <w:spacing w:val="1"/>
          <w:lang w:val="da-DK" w:eastAsia="sv-SE"/>
        </w:rPr>
        <w:t>s</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ende</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D</w:t>
      </w:r>
      <w:r w:rsidRPr="00AA499E">
        <w:rPr>
          <w:rFonts w:ascii="Times New Roman" w:hAnsi="Times New Roman"/>
          <w:lang w:val="da-DK" w:eastAsia="sv-SE"/>
        </w:rPr>
        <w:t>F</w:t>
      </w:r>
      <w:r w:rsidRPr="00AA499E">
        <w:rPr>
          <w:rFonts w:ascii="Times New Roman" w:hAnsi="Times New Roman"/>
          <w:spacing w:val="-1"/>
          <w:lang w:val="da-DK" w:eastAsia="sv-SE"/>
        </w:rPr>
        <w:t>S</w:t>
      </w:r>
      <w:r w:rsidRPr="00AA499E">
        <w:rPr>
          <w:rFonts w:ascii="Times New Roman" w:hAnsi="Times New Roman"/>
          <w:lang w:val="da-DK" w:eastAsia="sv-SE"/>
        </w:rPr>
        <w:t>P som</w:t>
      </w:r>
      <w:r w:rsidRPr="00AA499E">
        <w:rPr>
          <w:rFonts w:ascii="Times New Roman" w:hAnsi="Times New Roman"/>
          <w:spacing w:val="-3"/>
          <w:lang w:val="da-DK" w:eastAsia="sv-SE"/>
        </w:rPr>
        <w:t xml:space="preserve"> </w:t>
      </w:r>
      <w:r w:rsidRPr="00AA499E">
        <w:rPr>
          <w:rFonts w:ascii="Times New Roman" w:hAnsi="Times New Roman"/>
          <w:spacing w:val="1"/>
          <w:lang w:val="da-DK" w:eastAsia="sv-SE"/>
        </w:rPr>
        <w:t>i</w:t>
      </w:r>
      <w:r w:rsidRPr="00AA499E">
        <w:rPr>
          <w:rFonts w:ascii="Times New Roman" w:hAnsi="Times New Roman"/>
          <w:spacing w:val="-2"/>
          <w:lang w:val="da-DK" w:eastAsia="sv-SE"/>
        </w:rPr>
        <w:t>kk</w:t>
      </w:r>
      <w:r w:rsidRPr="00AA499E">
        <w:rPr>
          <w:rFonts w:ascii="Times New Roman" w:hAnsi="Times New Roman"/>
          <w:lang w:val="da-DK" w:eastAsia="sv-SE"/>
        </w:rPr>
        <w:t>e er</w:t>
      </w:r>
      <w:r w:rsidRPr="00AA499E">
        <w:rPr>
          <w:rFonts w:ascii="Times New Roman" w:hAnsi="Times New Roman"/>
          <w:spacing w:val="1"/>
          <w:lang w:val="da-DK" w:eastAsia="sv-SE"/>
        </w:rPr>
        <w:t xml:space="preserve"> til</w:t>
      </w:r>
      <w:r w:rsidRPr="00AA499E">
        <w:rPr>
          <w:rFonts w:ascii="Times New Roman" w:hAnsi="Times New Roman"/>
          <w:spacing w:val="-2"/>
          <w:lang w:val="da-DK" w:eastAsia="sv-SE"/>
        </w:rPr>
        <w:t>g</w:t>
      </w:r>
      <w:r w:rsidRPr="00AA499E">
        <w:rPr>
          <w:rFonts w:ascii="Times New Roman" w:hAnsi="Times New Roman"/>
          <w:spacing w:val="-1"/>
          <w:lang w:val="da-DK" w:eastAsia="sv-SE"/>
        </w:rPr>
        <w:t>æ</w:t>
      </w:r>
      <w:r w:rsidRPr="00AA499E">
        <w:rPr>
          <w:rFonts w:ascii="Times New Roman" w:hAnsi="Times New Roman"/>
          <w:lang w:val="da-DK" w:eastAsia="sv-SE"/>
        </w:rPr>
        <w:t>n</w:t>
      </w:r>
      <w:r w:rsidRPr="00AA499E">
        <w:rPr>
          <w:rFonts w:ascii="Times New Roman" w:hAnsi="Times New Roman"/>
          <w:spacing w:val="-2"/>
          <w:lang w:val="da-DK" w:eastAsia="sv-SE"/>
        </w:rPr>
        <w:t>g</w:t>
      </w:r>
      <w:r w:rsidRPr="00AA499E">
        <w:rPr>
          <w:rFonts w:ascii="Times New Roman" w:hAnsi="Times New Roman"/>
          <w:lang w:val="da-DK" w:eastAsia="sv-SE"/>
        </w:rPr>
        <w:t>e</w:t>
      </w:r>
      <w:r w:rsidRPr="00AA499E">
        <w:rPr>
          <w:rFonts w:ascii="Times New Roman" w:hAnsi="Times New Roman"/>
          <w:spacing w:val="1"/>
          <w:lang w:val="da-DK" w:eastAsia="sv-SE"/>
        </w:rPr>
        <w:t>li</w:t>
      </w:r>
      <w:r w:rsidRPr="00AA499E">
        <w:rPr>
          <w:rFonts w:ascii="Times New Roman" w:hAnsi="Times New Roman"/>
          <w:lang w:val="da-DK" w:eastAsia="sv-SE"/>
        </w:rPr>
        <w:t>g</w:t>
      </w:r>
      <w:r w:rsidRPr="00AA499E">
        <w:rPr>
          <w:rFonts w:ascii="Times New Roman" w:hAnsi="Times New Roman"/>
          <w:spacing w:val="-2"/>
          <w:lang w:val="da-DK" w:eastAsia="sv-SE"/>
        </w:rPr>
        <w:t xml:space="preserve"> </w:t>
      </w:r>
      <w:r w:rsidRPr="00AA499E">
        <w:rPr>
          <w:rFonts w:ascii="Times New Roman" w:hAnsi="Times New Roman"/>
          <w:spacing w:val="1"/>
          <w:lang w:val="da-DK" w:eastAsia="sv-SE"/>
        </w:rPr>
        <w:t>f</w:t>
      </w:r>
      <w:r w:rsidRPr="00AA499E">
        <w:rPr>
          <w:rFonts w:ascii="Times New Roman" w:hAnsi="Times New Roman"/>
          <w:lang w:val="da-DK" w:eastAsia="sv-SE"/>
        </w:rPr>
        <w:t>or</w:t>
      </w:r>
    </w:p>
    <w:p w14:paraId="404660B6" w14:textId="77777777" w:rsidR="00786C6F" w:rsidRPr="00AA499E" w:rsidRDefault="00786C6F" w:rsidP="00786C6F">
      <w:pPr>
        <w:autoSpaceDE w:val="0"/>
        <w:autoSpaceDN w:val="0"/>
        <w:adjustRightInd w:val="0"/>
        <w:spacing w:after="0" w:line="241" w:lineRule="exact"/>
        <w:ind w:left="567" w:right="-20"/>
        <w:rPr>
          <w:rFonts w:ascii="Times New Roman" w:hAnsi="Times New Roman"/>
          <w:lang w:val="da-DK" w:eastAsia="sv-SE"/>
        </w:rPr>
      </w:pPr>
      <w:r w:rsidRPr="00AA499E">
        <w:rPr>
          <w:rFonts w:ascii="Times New Roman" w:hAnsi="Times New Roman"/>
          <w:spacing w:val="-2"/>
          <w:lang w:val="da-DK" w:eastAsia="sv-SE"/>
        </w:rPr>
        <w:t>k</w:t>
      </w:r>
      <w:r w:rsidRPr="00AA499E">
        <w:rPr>
          <w:rFonts w:ascii="Times New Roman" w:hAnsi="Times New Roman"/>
          <w:spacing w:val="1"/>
          <w:lang w:val="da-DK" w:eastAsia="sv-SE"/>
        </w:rPr>
        <w:t>ir</w:t>
      </w:r>
      <w:r w:rsidRPr="00AA499E">
        <w:rPr>
          <w:rFonts w:ascii="Times New Roman" w:hAnsi="Times New Roman"/>
          <w:lang w:val="da-DK" w:eastAsia="sv-SE"/>
        </w:rPr>
        <w:t>u</w:t>
      </w:r>
      <w:r w:rsidRPr="00AA499E">
        <w:rPr>
          <w:rFonts w:ascii="Times New Roman" w:hAnsi="Times New Roman"/>
          <w:spacing w:val="1"/>
          <w:lang w:val="da-DK" w:eastAsia="sv-SE"/>
        </w:rPr>
        <w:t>r</w:t>
      </w:r>
      <w:r w:rsidRPr="00AA499E">
        <w:rPr>
          <w:rFonts w:ascii="Times New Roman" w:hAnsi="Times New Roman"/>
          <w:spacing w:val="-2"/>
          <w:lang w:val="da-DK" w:eastAsia="sv-SE"/>
        </w:rPr>
        <w:t>g</w:t>
      </w:r>
      <w:r w:rsidRPr="00AA499E">
        <w:rPr>
          <w:rFonts w:ascii="Times New Roman" w:hAnsi="Times New Roman"/>
          <w:spacing w:val="1"/>
          <w:lang w:val="da-DK" w:eastAsia="sv-SE"/>
        </w:rPr>
        <w:t>i</w:t>
      </w:r>
      <w:r w:rsidRPr="00AA499E">
        <w:rPr>
          <w:rFonts w:ascii="Times New Roman" w:hAnsi="Times New Roman"/>
          <w:lang w:val="da-DK" w:eastAsia="sv-SE"/>
        </w:rPr>
        <w:t>.</w:t>
      </w:r>
    </w:p>
    <w:p w14:paraId="66F8F58A" w14:textId="77777777" w:rsidR="00786C6F" w:rsidRPr="00AA499E" w:rsidRDefault="00786C6F">
      <w:pPr>
        <w:autoSpaceDE w:val="0"/>
        <w:autoSpaceDN w:val="0"/>
        <w:adjustRightInd w:val="0"/>
        <w:spacing w:after="0" w:line="240" w:lineRule="auto"/>
        <w:rPr>
          <w:rFonts w:ascii="Times New Roman" w:hAnsi="Times New Roman"/>
          <w:lang w:val="da-DK"/>
        </w:rPr>
      </w:pPr>
    </w:p>
    <w:p w14:paraId="77F0A91D" w14:textId="77777777" w:rsidR="006478AD" w:rsidRPr="00AA499E" w:rsidRDefault="006478AD">
      <w:pPr>
        <w:tabs>
          <w:tab w:val="left" w:pos="0"/>
        </w:tabs>
        <w:autoSpaceDE w:val="0"/>
        <w:autoSpaceDN w:val="0"/>
        <w:adjustRightInd w:val="0"/>
        <w:spacing w:after="0" w:line="240" w:lineRule="auto"/>
        <w:ind w:left="567" w:hanging="567"/>
        <w:rPr>
          <w:rFonts w:ascii="Times New Roman" w:hAnsi="Times New Roman"/>
          <w:lang w:val="da-DK"/>
        </w:rPr>
      </w:pPr>
    </w:p>
    <w:p w14:paraId="6694B2A5" w14:textId="77777777" w:rsidR="00786C6F" w:rsidRPr="00AA499E" w:rsidRDefault="00786C6F" w:rsidP="00786C6F">
      <w:pPr>
        <w:tabs>
          <w:tab w:val="left" w:pos="0"/>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Imatinibs </w:t>
      </w:r>
      <w:r w:rsidR="00616F3C" w:rsidRPr="00AA499E">
        <w:rPr>
          <w:rFonts w:ascii="Times New Roman" w:hAnsi="Times New Roman"/>
          <w:lang w:val="da-DK"/>
        </w:rPr>
        <w:t>effekt er hos voksne og børn er baseret på generelle hæmatologiske og cytogene responsrater og progressionsfri overlevelse ved CML</w:t>
      </w:r>
      <w:r w:rsidRPr="00AA499E">
        <w:rPr>
          <w:rFonts w:ascii="Times New Roman" w:hAnsi="Times New Roman"/>
          <w:lang w:val="da-DK"/>
        </w:rPr>
        <w:t>, på hæmatologiske og cytogenetiske responsrater ved Ph+ ALL, MDS/MPD, på hæmatologiske responsrater ved HES/CEL, på objektive responsrater hos voksne med inoperabel og/eller metastaserende DFSP. Der er meget begrænset erfaring med imatinib hos patienter med MDS/MPD forbundet med PDGFR- omlejring (se pkt 5.1). Der ikke gennemført kontrollerede undersøgelser, der har vist klinisk bedring eller øget overlevelse ved disse sygdomme.</w:t>
      </w:r>
    </w:p>
    <w:p w14:paraId="7196608B" w14:textId="77777777" w:rsidR="006478AD" w:rsidRPr="00AA499E" w:rsidRDefault="006478AD">
      <w:pPr>
        <w:tabs>
          <w:tab w:val="left" w:pos="0"/>
        </w:tabs>
        <w:autoSpaceDE w:val="0"/>
        <w:autoSpaceDN w:val="0"/>
        <w:adjustRightInd w:val="0"/>
        <w:spacing w:after="0" w:line="240" w:lineRule="auto"/>
        <w:ind w:left="567" w:hanging="567"/>
        <w:rPr>
          <w:rFonts w:ascii="Times New Roman" w:hAnsi="Times New Roman"/>
          <w:lang w:val="da-DK"/>
        </w:rPr>
      </w:pPr>
    </w:p>
    <w:p w14:paraId="3102B75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4.2</w:t>
      </w:r>
      <w:r w:rsidRPr="00AA499E">
        <w:rPr>
          <w:rFonts w:ascii="Times New Roman" w:hAnsi="Times New Roman"/>
          <w:b/>
          <w:bCs/>
          <w:lang w:val="da-DK"/>
        </w:rPr>
        <w:tab/>
        <w:t>Dosering og administration</w:t>
      </w:r>
    </w:p>
    <w:p w14:paraId="503FA452" w14:textId="77777777" w:rsidR="006478AD" w:rsidRPr="00AA499E" w:rsidRDefault="006478AD">
      <w:pPr>
        <w:autoSpaceDE w:val="0"/>
        <w:autoSpaceDN w:val="0"/>
        <w:adjustRightInd w:val="0"/>
        <w:spacing w:after="0" w:line="240" w:lineRule="auto"/>
        <w:rPr>
          <w:rFonts w:ascii="Times New Roman" w:hAnsi="Times New Roman"/>
          <w:lang w:val="da-DK"/>
        </w:rPr>
      </w:pPr>
    </w:p>
    <w:p w14:paraId="348FCE55" w14:textId="77777777" w:rsidR="00786C6F" w:rsidRPr="00AA499E" w:rsidRDefault="00616F3C" w:rsidP="00786C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Behandlingen bør initieres af en læge med erfaring i behandling af patienter med maligne hæmatologiske lidelser</w:t>
      </w:r>
      <w:r w:rsidR="00786C6F" w:rsidRPr="00AA499E">
        <w:rPr>
          <w:rFonts w:ascii="Times New Roman" w:hAnsi="Times New Roman"/>
          <w:lang w:val="da-DK"/>
        </w:rPr>
        <w:t xml:space="preserve"> og maligne sarkomer eller som passende.</w:t>
      </w:r>
    </w:p>
    <w:p w14:paraId="0BEB65FA" w14:textId="77777777" w:rsidR="006478AD" w:rsidRPr="00AA499E" w:rsidRDefault="006478AD">
      <w:pPr>
        <w:autoSpaceDE w:val="0"/>
        <w:autoSpaceDN w:val="0"/>
        <w:adjustRightInd w:val="0"/>
        <w:spacing w:after="0" w:line="240" w:lineRule="auto"/>
        <w:rPr>
          <w:rFonts w:ascii="Times New Roman" w:hAnsi="Times New Roman"/>
          <w:lang w:val="da-DK"/>
        </w:rPr>
      </w:pPr>
    </w:p>
    <w:p w14:paraId="60B3EC27"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Dosering</w:t>
      </w:r>
    </w:p>
    <w:p w14:paraId="7177872E" w14:textId="77777777" w:rsidR="006478AD" w:rsidRPr="00AA499E" w:rsidRDefault="006478AD">
      <w:pPr>
        <w:autoSpaceDE w:val="0"/>
        <w:autoSpaceDN w:val="0"/>
        <w:adjustRightInd w:val="0"/>
        <w:spacing w:after="0" w:line="240" w:lineRule="auto"/>
        <w:rPr>
          <w:rFonts w:ascii="Times New Roman" w:hAnsi="Times New Roman"/>
          <w:u w:val="single"/>
          <w:lang w:val="da-DK"/>
        </w:rPr>
      </w:pPr>
    </w:p>
    <w:p w14:paraId="1189E8F3" w14:textId="77777777" w:rsidR="006478AD" w:rsidRPr="00AA499E" w:rsidRDefault="00616F3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Dosering ved CML hos voksne patienter</w:t>
      </w:r>
    </w:p>
    <w:p w14:paraId="72BA61D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anbefalede dosis af imatinib er 600 mg/dag til </w:t>
      </w:r>
      <w:r w:rsidR="00786C6F" w:rsidRPr="00AA499E">
        <w:rPr>
          <w:rFonts w:ascii="Times New Roman" w:hAnsi="Times New Roman"/>
          <w:lang w:val="da-DK"/>
        </w:rPr>
        <w:t xml:space="preserve">voksne </w:t>
      </w:r>
      <w:r w:rsidRPr="00AA499E">
        <w:rPr>
          <w:rFonts w:ascii="Times New Roman" w:hAnsi="Times New Roman"/>
          <w:lang w:val="da-DK"/>
        </w:rPr>
        <w:t>patienter i blasttkrise. Blastkrise defineres som ≥ 30 % blaster i blod eller knoglemarv eller ekstramedullær sygdom ud over hepatosplenomegali.</w:t>
      </w:r>
    </w:p>
    <w:p w14:paraId="7348F582" w14:textId="77777777" w:rsidR="006478AD" w:rsidRPr="00AA499E" w:rsidRDefault="006478AD">
      <w:pPr>
        <w:autoSpaceDE w:val="0"/>
        <w:autoSpaceDN w:val="0"/>
        <w:adjustRightInd w:val="0"/>
        <w:spacing w:after="0" w:line="240" w:lineRule="auto"/>
        <w:rPr>
          <w:rFonts w:ascii="Times New Roman" w:hAnsi="Times New Roman"/>
          <w:lang w:val="da-DK"/>
        </w:rPr>
      </w:pPr>
    </w:p>
    <w:p w14:paraId="50FF6C3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Behandlingsvarighed: I kliniske undersøgelser fortsattes behandling med imatinib indtil sygdomsprogression. Effekt af seponering af behandling efter opnåelse af komplet cytogenetisk respons er ikke undersøgt.</w:t>
      </w:r>
    </w:p>
    <w:p w14:paraId="71E875A4" w14:textId="77777777" w:rsidR="006478AD" w:rsidRPr="00AA499E" w:rsidRDefault="006478AD">
      <w:pPr>
        <w:autoSpaceDE w:val="0"/>
        <w:autoSpaceDN w:val="0"/>
        <w:adjustRightInd w:val="0"/>
        <w:spacing w:after="0" w:line="240" w:lineRule="auto"/>
        <w:rPr>
          <w:rFonts w:ascii="Times New Roman" w:hAnsi="Times New Roman"/>
          <w:lang w:val="da-DK"/>
        </w:rPr>
      </w:pPr>
    </w:p>
    <w:p w14:paraId="7DF5FCBA" w14:textId="77777777" w:rsidR="006478AD" w:rsidRPr="00AA499E" w:rsidRDefault="0066652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Dosisøgninger fra 600 mg til maksimalt 800 mg (som 400 mg to gange dagligt) til patienter med blastkrise</w:t>
      </w:r>
      <w:r w:rsidR="00616F3C" w:rsidRPr="00AA499E">
        <w:rPr>
          <w:rFonts w:ascii="Times New Roman" w:hAnsi="Times New Roman"/>
          <w:lang w:val="da-DK"/>
        </w:rPr>
        <w:t xml:space="preserve"> kan, hvis der ikke opstår svære bivirkninger og svær ikke-leukæmirelateret neutropeni eller trombocytopeni, overvejes i følgende tilfælde: Sygdomsprogression (til enhver tid), udeblivende tilfredsstillende hæmatologisk respons efter mindst 3 måneders behandling, udeblivende opnåelse af cytogenetisk respons efter 12 måneders behandling, samt hvis tidligere hæmatologisk og/eller cytogenetisk respons ikke genopnås. Patienterne bør, på baggrund af risikoen for øget bivirkningsincidens ved højere doser, monitoreres tæt efter dosistitrering.</w:t>
      </w:r>
    </w:p>
    <w:p w14:paraId="60ED57FD" w14:textId="77777777" w:rsidR="006478AD" w:rsidRPr="00AA499E" w:rsidRDefault="006478AD">
      <w:pPr>
        <w:autoSpaceDE w:val="0"/>
        <w:autoSpaceDN w:val="0"/>
        <w:adjustRightInd w:val="0"/>
        <w:spacing w:after="0" w:line="240" w:lineRule="auto"/>
        <w:rPr>
          <w:rFonts w:ascii="Times New Roman" w:hAnsi="Times New Roman"/>
          <w:lang w:val="da-DK"/>
        </w:rPr>
      </w:pPr>
    </w:p>
    <w:p w14:paraId="0C557ED2" w14:textId="77777777" w:rsidR="006478AD" w:rsidRPr="00AA499E" w:rsidRDefault="00616F3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Dosering ved CML hos</w:t>
      </w:r>
      <w:r w:rsidR="00666526" w:rsidRPr="00AA499E">
        <w:rPr>
          <w:rFonts w:ascii="Times New Roman" w:hAnsi="Times New Roman"/>
          <w:i/>
          <w:u w:val="single"/>
          <w:lang w:val="da-DK"/>
        </w:rPr>
        <w:t xml:space="preserve"> pæ</w:t>
      </w:r>
      <w:r w:rsidR="00C70D67" w:rsidRPr="00AA499E">
        <w:rPr>
          <w:rFonts w:ascii="Times New Roman" w:hAnsi="Times New Roman"/>
          <w:i/>
          <w:u w:val="single"/>
          <w:lang w:val="da-DK"/>
        </w:rPr>
        <w:t xml:space="preserve">diatrisk populasion </w:t>
      </w:r>
    </w:p>
    <w:p w14:paraId="46EF061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Dosering til børn</w:t>
      </w:r>
      <w:r w:rsidR="00203D86" w:rsidRPr="00AA499E">
        <w:rPr>
          <w:rFonts w:ascii="Times New Roman" w:hAnsi="Times New Roman"/>
          <w:lang w:val="da-DK"/>
        </w:rPr>
        <w:t xml:space="preserve"> </w:t>
      </w:r>
      <w:r w:rsidRPr="00AA499E">
        <w:rPr>
          <w:rFonts w:ascii="Times New Roman" w:hAnsi="Times New Roman"/>
          <w:lang w:val="da-DK"/>
        </w:rPr>
        <w:t>bør baseres på legemsoverfladeareal (mg/m</w:t>
      </w:r>
      <w:r w:rsidRPr="00AA499E">
        <w:rPr>
          <w:rFonts w:ascii="Times New Roman" w:hAnsi="Times New Roman"/>
          <w:vertAlign w:val="superscript"/>
          <w:lang w:val="da-DK"/>
        </w:rPr>
        <w:t>2</w:t>
      </w:r>
      <w:r w:rsidRPr="00AA499E">
        <w:rPr>
          <w:rFonts w:ascii="Times New Roman" w:hAnsi="Times New Roman"/>
          <w:lang w:val="da-DK"/>
        </w:rPr>
        <w:t>). Der anbefales en dosering på 340 mg/m</w:t>
      </w:r>
      <w:r w:rsidRPr="00AA499E">
        <w:rPr>
          <w:rFonts w:ascii="Times New Roman" w:hAnsi="Times New Roman"/>
          <w:vertAlign w:val="superscript"/>
          <w:lang w:val="da-DK"/>
        </w:rPr>
        <w:t>2</w:t>
      </w:r>
      <w:r w:rsidRPr="00AA499E">
        <w:rPr>
          <w:rFonts w:ascii="Times New Roman" w:hAnsi="Times New Roman"/>
          <w:lang w:val="da-DK"/>
        </w:rPr>
        <w:t xml:space="preserve"> daglig til børn</w:t>
      </w:r>
      <w:r w:rsidR="00203D86" w:rsidRPr="00AA499E">
        <w:rPr>
          <w:rFonts w:ascii="Times New Roman" w:hAnsi="Times New Roman"/>
          <w:lang w:val="da-DK"/>
        </w:rPr>
        <w:t xml:space="preserve"> </w:t>
      </w:r>
      <w:r w:rsidRPr="00AA499E">
        <w:rPr>
          <w:rFonts w:ascii="Times New Roman" w:hAnsi="Times New Roman"/>
          <w:lang w:val="da-DK"/>
        </w:rPr>
        <w:t>med CML i kronisk fase og i fremskredne faser (må ikke overskride en total dosering på 800 mg). Behandlingen kan gives én gang daglig eller alternativt deles i to - én dosis om morgenen og én om aftenen. De aktuelle dosisanbefalinger er baseret på et lille antal pædiatriske patienter (se pkt. 5.1 og 5.2). Der er ingen erfaringer med behandling af børn under 2 år.</w:t>
      </w:r>
    </w:p>
    <w:p w14:paraId="5AC8BAD4" w14:textId="77777777" w:rsidR="006478AD" w:rsidRPr="00AA499E" w:rsidRDefault="006478AD">
      <w:pPr>
        <w:autoSpaceDE w:val="0"/>
        <w:autoSpaceDN w:val="0"/>
        <w:adjustRightInd w:val="0"/>
        <w:spacing w:after="0" w:line="240" w:lineRule="auto"/>
        <w:rPr>
          <w:rFonts w:ascii="Times New Roman" w:hAnsi="Times New Roman"/>
          <w:lang w:val="da-DK"/>
        </w:rPr>
      </w:pPr>
    </w:p>
    <w:p w14:paraId="61B42C2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Dosisøgning fra 340 mg/m</w:t>
      </w:r>
      <w:r w:rsidRPr="00AA499E">
        <w:rPr>
          <w:rFonts w:ascii="Times New Roman" w:hAnsi="Times New Roman"/>
          <w:vertAlign w:val="superscript"/>
          <w:lang w:val="da-DK"/>
        </w:rPr>
        <w:t>2</w:t>
      </w:r>
      <w:r w:rsidRPr="00AA499E">
        <w:rPr>
          <w:rFonts w:ascii="Times New Roman" w:hAnsi="Times New Roman"/>
          <w:lang w:val="da-DK"/>
        </w:rPr>
        <w:t xml:space="preserve"> daglig til 570 mg/m</w:t>
      </w:r>
      <w:r w:rsidRPr="00AA499E">
        <w:rPr>
          <w:rFonts w:ascii="Times New Roman" w:hAnsi="Times New Roman"/>
          <w:vertAlign w:val="superscript"/>
          <w:lang w:val="da-DK"/>
        </w:rPr>
        <w:t>2</w:t>
      </w:r>
      <w:r w:rsidRPr="00AA499E">
        <w:rPr>
          <w:rFonts w:ascii="Times New Roman" w:hAnsi="Times New Roman"/>
          <w:lang w:val="da-DK"/>
        </w:rPr>
        <w:t xml:space="preserve"> daglig (uden at overstige total dosis på 800 mg) kan overvejes hos børn</w:t>
      </w:r>
      <w:r w:rsidR="00203D86" w:rsidRPr="00AA499E">
        <w:rPr>
          <w:rFonts w:ascii="Times New Roman" w:hAnsi="Times New Roman"/>
          <w:lang w:val="da-DK"/>
        </w:rPr>
        <w:t xml:space="preserve"> </w:t>
      </w:r>
      <w:r w:rsidRPr="00AA499E">
        <w:rPr>
          <w:rFonts w:ascii="Times New Roman" w:hAnsi="Times New Roman"/>
          <w:lang w:val="da-DK"/>
        </w:rPr>
        <w:t>ved fravær af alvorlige bivirkninger og svær ikke-leukæmirelateret neutropeni eller trombocytopeni ved følgende omstændigheder: Sygdomsprogression (til enhver tid), udeblivende tilfredsstillende hæmatologisk respons efter mindst 3 måneders behandling, udeblivende opnåelse af cytogenetisk respons efter 12 måneders behandling, samt hvis tidligere hæmatologisk og/eller cytogenetisk respons ikke genopnås. Patienterne bør, på baggrund af risikoen for øget bivirkningsincidens ved højere doser, monitoreres tæt efter dosistitrering.</w:t>
      </w:r>
    </w:p>
    <w:p w14:paraId="580DFB60" w14:textId="77777777" w:rsidR="00786C6F" w:rsidRPr="00AA499E" w:rsidRDefault="00786C6F">
      <w:pPr>
        <w:autoSpaceDE w:val="0"/>
        <w:autoSpaceDN w:val="0"/>
        <w:adjustRightInd w:val="0"/>
        <w:spacing w:after="0" w:line="240" w:lineRule="auto"/>
        <w:rPr>
          <w:rFonts w:ascii="Times New Roman" w:hAnsi="Times New Roman"/>
          <w:lang w:val="da-DK"/>
        </w:rPr>
      </w:pPr>
    </w:p>
    <w:p w14:paraId="2B7188B6" w14:textId="77777777" w:rsidR="00786C6F" w:rsidRPr="00AA499E" w:rsidRDefault="00786C6F" w:rsidP="00786C6F">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Dosering v</w:t>
      </w:r>
      <w:r w:rsidR="00923620" w:rsidRPr="00AA499E">
        <w:rPr>
          <w:rFonts w:ascii="Times New Roman" w:hAnsi="Times New Roman"/>
          <w:i/>
          <w:u w:val="single"/>
          <w:lang w:val="da-DK"/>
        </w:rPr>
        <w:t>ed Ph+ ALL</w:t>
      </w:r>
      <w:r w:rsidR="00666526" w:rsidRPr="00AA499E">
        <w:rPr>
          <w:rFonts w:ascii="Times New Roman" w:hAnsi="Times New Roman"/>
          <w:i/>
          <w:u w:val="single"/>
          <w:lang w:val="da-DK"/>
        </w:rPr>
        <w:t xml:space="preserve"> hos voksne patienter</w:t>
      </w:r>
    </w:p>
    <w:p w14:paraId="3D968B1B" w14:textId="77777777" w:rsidR="00786C6F" w:rsidRPr="00AA499E" w:rsidRDefault="00786C6F" w:rsidP="00786C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anbefalede dosis af imatinib er 600 mg/dag til voksne patienter med Ph+ ALL. Gennem alle faser af omsorgen bør behandlingen overvåges af hæmatologiske eksperter, som er ansvarlige for denne sygdom. </w:t>
      </w:r>
    </w:p>
    <w:p w14:paraId="53634E3E" w14:textId="77777777" w:rsidR="00786C6F" w:rsidRPr="00AA499E" w:rsidRDefault="00786C6F" w:rsidP="00786C6F">
      <w:pPr>
        <w:autoSpaceDE w:val="0"/>
        <w:autoSpaceDN w:val="0"/>
        <w:adjustRightInd w:val="0"/>
        <w:spacing w:after="0" w:line="240" w:lineRule="auto"/>
        <w:rPr>
          <w:rFonts w:ascii="Times New Roman" w:hAnsi="Times New Roman"/>
          <w:lang w:val="da-DK"/>
        </w:rPr>
      </w:pPr>
    </w:p>
    <w:p w14:paraId="23BD8CA6" w14:textId="77777777" w:rsidR="00786C6F" w:rsidRPr="00AA499E" w:rsidRDefault="00786C6F" w:rsidP="00786C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Behandlingsskema: Eksisterende data har vist, at imatinib er effektiv og sikker ved administration af 600 mg/dag i kombination med kemoterapi i induktionsfasen, i konsoliderings- og vedligeholdelsesfaser af kemoterapi (se pkt. 5.1) brugt i behandlingen af voksne patienter med nydiagnosticeret Ph+ALL. Varigheden af behandling med imatinib kan variere med det valgte behandlingsprogram, men generelt har længere eksponering for imatinib givet de bedste resultater.</w:t>
      </w:r>
    </w:p>
    <w:p w14:paraId="39C973E7" w14:textId="77777777" w:rsidR="00786C6F" w:rsidRPr="00AA499E" w:rsidRDefault="00786C6F" w:rsidP="00786C6F">
      <w:pPr>
        <w:autoSpaceDE w:val="0"/>
        <w:autoSpaceDN w:val="0"/>
        <w:adjustRightInd w:val="0"/>
        <w:spacing w:after="0" w:line="240" w:lineRule="auto"/>
        <w:rPr>
          <w:rFonts w:ascii="Times New Roman" w:hAnsi="Times New Roman"/>
          <w:lang w:val="da-DK"/>
        </w:rPr>
      </w:pPr>
    </w:p>
    <w:p w14:paraId="00703638" w14:textId="77777777" w:rsidR="00786C6F" w:rsidRPr="00AA499E" w:rsidRDefault="00786C6F" w:rsidP="00786C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monoterapi med 600 mg/dag er sikker og effektiv hos voksne patienter med recidiverende eller refraktiv Ph+ALL, og kan gives indtil der sker sygdomsprogression.</w:t>
      </w:r>
    </w:p>
    <w:p w14:paraId="6BDCB8E4" w14:textId="77777777" w:rsidR="00786C6F" w:rsidRPr="00AA499E" w:rsidRDefault="00786C6F" w:rsidP="00786C6F">
      <w:pPr>
        <w:autoSpaceDE w:val="0"/>
        <w:autoSpaceDN w:val="0"/>
        <w:adjustRightInd w:val="0"/>
        <w:spacing w:after="0" w:line="240" w:lineRule="auto"/>
        <w:rPr>
          <w:rFonts w:ascii="Times New Roman" w:hAnsi="Times New Roman"/>
          <w:lang w:val="da-DK"/>
        </w:rPr>
      </w:pPr>
    </w:p>
    <w:p w14:paraId="0DADE5AA" w14:textId="77777777" w:rsidR="00666526" w:rsidRPr="00AA499E" w:rsidRDefault="00666526" w:rsidP="00666526">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Dosering ved Ph+ ALL hos børn</w:t>
      </w:r>
    </w:p>
    <w:p w14:paraId="635059E3" w14:textId="77777777" w:rsidR="00666526" w:rsidRPr="00AA499E" w:rsidRDefault="00666526" w:rsidP="00666526">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Dosering hos børn bør baseres på legemsoverflade (mg/m</w:t>
      </w:r>
      <w:r w:rsidRPr="00AA499E">
        <w:rPr>
          <w:rFonts w:ascii="Times New Roman" w:hAnsi="Times New Roman"/>
          <w:vertAlign w:val="superscript"/>
          <w:lang w:val="da-DK"/>
        </w:rPr>
        <w:t>2</w:t>
      </w:r>
      <w:r w:rsidRPr="00AA499E">
        <w:rPr>
          <w:rFonts w:ascii="Times New Roman" w:hAnsi="Times New Roman"/>
          <w:lang w:val="da-DK"/>
        </w:rPr>
        <w:t>). Der anbefales en dosis på 340 mg/m</w:t>
      </w:r>
      <w:r w:rsidRPr="00AA499E">
        <w:rPr>
          <w:rFonts w:ascii="Times New Roman" w:hAnsi="Times New Roman"/>
          <w:vertAlign w:val="superscript"/>
          <w:lang w:val="da-DK"/>
        </w:rPr>
        <w:t>2</w:t>
      </w:r>
      <w:r w:rsidRPr="00AA499E">
        <w:rPr>
          <w:rFonts w:ascii="Times New Roman" w:hAnsi="Times New Roman"/>
          <w:lang w:val="da-DK"/>
        </w:rPr>
        <w:t xml:space="preserve"> daglig til børn med Ph+ ALL (totaldosis på 600 mg må ikke overskrides).</w:t>
      </w:r>
    </w:p>
    <w:p w14:paraId="1C953CF9" w14:textId="77777777" w:rsidR="00666526" w:rsidRPr="00AA499E" w:rsidRDefault="00666526" w:rsidP="00233DFC">
      <w:pPr>
        <w:autoSpaceDE w:val="0"/>
        <w:autoSpaceDN w:val="0"/>
        <w:adjustRightInd w:val="0"/>
        <w:spacing w:after="0" w:line="240" w:lineRule="auto"/>
        <w:rPr>
          <w:rFonts w:ascii="Times New Roman" w:hAnsi="Times New Roman"/>
          <w:i/>
          <w:u w:val="single"/>
          <w:lang w:val="da-DK"/>
        </w:rPr>
      </w:pPr>
    </w:p>
    <w:p w14:paraId="2450D854" w14:textId="77777777" w:rsidR="00233DFC" w:rsidRPr="00AA499E" w:rsidRDefault="00233DFC" w:rsidP="00233DF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 xml:space="preserve">Dosering ved MDS/MPD </w:t>
      </w:r>
    </w:p>
    <w:p w14:paraId="4C87C703" w14:textId="77777777" w:rsidR="00233DFC" w:rsidRPr="00AA499E" w:rsidRDefault="00233DFC" w:rsidP="00233DF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anbefalede dosis af imatinib er 400 mg/dag til voksne patienter med MDS/MPD. </w:t>
      </w:r>
    </w:p>
    <w:p w14:paraId="0FEA9649" w14:textId="77777777" w:rsidR="00233DFC" w:rsidRPr="00AA499E" w:rsidRDefault="00233DFC" w:rsidP="00233DF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Behandlingsvarighed: I det eneste kliniske studie, der er udført indtil nu, fortsattes behandlingen med imatinib indtil sygdomsprogression (se pkt. 5.1). På opgørelsestidspunktet var medianen for behandlingstiden 47 måneder (24 dage – 60 måneder).</w:t>
      </w:r>
    </w:p>
    <w:p w14:paraId="359419FB" w14:textId="77777777" w:rsidR="00233DFC" w:rsidRPr="00AA499E" w:rsidRDefault="00233DFC" w:rsidP="00233DFC">
      <w:pPr>
        <w:autoSpaceDE w:val="0"/>
        <w:autoSpaceDN w:val="0"/>
        <w:adjustRightInd w:val="0"/>
        <w:spacing w:after="0" w:line="240" w:lineRule="auto"/>
        <w:rPr>
          <w:rFonts w:ascii="Times New Roman" w:hAnsi="Times New Roman"/>
          <w:lang w:val="da-DK"/>
        </w:rPr>
      </w:pPr>
    </w:p>
    <w:p w14:paraId="0DB57326" w14:textId="77777777" w:rsidR="00233DFC" w:rsidRPr="00AA499E" w:rsidRDefault="00233DFC" w:rsidP="00233DF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 xml:space="preserve">Dosering ved HES/CEL </w:t>
      </w:r>
    </w:p>
    <w:p w14:paraId="050F3ECB" w14:textId="77777777" w:rsidR="00233DFC" w:rsidRPr="00AA499E" w:rsidRDefault="00233DFC" w:rsidP="00233DF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Den anbefalede dosis af imatinib er 100 mg/dag til voksne patienter med HES/CEL.</w:t>
      </w:r>
    </w:p>
    <w:p w14:paraId="34E897E3" w14:textId="77777777" w:rsidR="00233DFC" w:rsidRPr="00AA499E" w:rsidRDefault="00233DFC" w:rsidP="00233DF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 </w:t>
      </w:r>
    </w:p>
    <w:p w14:paraId="5A17A466" w14:textId="77777777" w:rsidR="00233DFC" w:rsidRPr="00AA499E" w:rsidRDefault="00233DFC" w:rsidP="00233DF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Dosisøgning fra 100 mg til 400 mg kan overvejes, hvis der ikke er observeret bivirkninger, og respons på behandlingen vurderes som værende utilstrækkeligt. </w:t>
      </w:r>
    </w:p>
    <w:p w14:paraId="580ABB17" w14:textId="77777777" w:rsidR="00233DFC" w:rsidRPr="00AA499E" w:rsidRDefault="00233DFC" w:rsidP="00233DFC">
      <w:pPr>
        <w:autoSpaceDE w:val="0"/>
        <w:autoSpaceDN w:val="0"/>
        <w:adjustRightInd w:val="0"/>
        <w:spacing w:after="0" w:line="240" w:lineRule="auto"/>
        <w:rPr>
          <w:rFonts w:ascii="Times New Roman" w:hAnsi="Times New Roman"/>
          <w:lang w:val="da-DK"/>
        </w:rPr>
      </w:pPr>
    </w:p>
    <w:p w14:paraId="2EB8399F" w14:textId="77777777" w:rsidR="00233DFC" w:rsidRPr="00AA499E" w:rsidRDefault="00233DFC" w:rsidP="00233DF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Behandling bør fortsættes, så længe patienten har gavn af det.</w:t>
      </w:r>
    </w:p>
    <w:p w14:paraId="6C87618D" w14:textId="77777777" w:rsidR="00233DFC" w:rsidRPr="00AA499E" w:rsidRDefault="00233DFC" w:rsidP="00233DFC">
      <w:pPr>
        <w:autoSpaceDE w:val="0"/>
        <w:autoSpaceDN w:val="0"/>
        <w:adjustRightInd w:val="0"/>
        <w:spacing w:after="0" w:line="240" w:lineRule="auto"/>
        <w:rPr>
          <w:rFonts w:ascii="Times New Roman" w:hAnsi="Times New Roman"/>
          <w:lang w:val="da-DK"/>
        </w:rPr>
      </w:pPr>
    </w:p>
    <w:p w14:paraId="20B6416E" w14:textId="77777777" w:rsidR="00233DFC" w:rsidRPr="00AA499E" w:rsidRDefault="00233DFC" w:rsidP="00233DFC">
      <w:pPr>
        <w:autoSpaceDE w:val="0"/>
        <w:autoSpaceDN w:val="0"/>
        <w:adjustRightInd w:val="0"/>
        <w:spacing w:after="0" w:line="240" w:lineRule="auto"/>
        <w:rPr>
          <w:rFonts w:ascii="Times New Roman" w:hAnsi="Times New Roman"/>
          <w:i/>
          <w:lang w:val="da-DK"/>
        </w:rPr>
      </w:pPr>
      <w:r w:rsidRPr="00AA499E">
        <w:rPr>
          <w:rFonts w:ascii="Times New Roman" w:hAnsi="Times New Roman"/>
          <w:i/>
          <w:u w:val="single"/>
          <w:lang w:val="da-DK"/>
        </w:rPr>
        <w:t>Dosering ved DFSP</w:t>
      </w:r>
    </w:p>
    <w:p w14:paraId="0AF8DF52" w14:textId="77777777" w:rsidR="00233DFC" w:rsidRPr="00AA499E" w:rsidRDefault="00233DFC" w:rsidP="00233DF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Den anbefalede dosis af imatinib er 800 mg/dag til voksne patienter med DSFP.</w:t>
      </w:r>
    </w:p>
    <w:p w14:paraId="089C15C6" w14:textId="77777777" w:rsidR="00786C6F" w:rsidRPr="00AA499E" w:rsidRDefault="00786C6F" w:rsidP="00786C6F">
      <w:pPr>
        <w:autoSpaceDE w:val="0"/>
        <w:autoSpaceDN w:val="0"/>
        <w:adjustRightInd w:val="0"/>
        <w:spacing w:after="0" w:line="240" w:lineRule="auto"/>
        <w:rPr>
          <w:rFonts w:ascii="Times New Roman" w:hAnsi="Times New Roman"/>
          <w:lang w:val="da-DK"/>
        </w:rPr>
      </w:pPr>
    </w:p>
    <w:p w14:paraId="66FBFD42" w14:textId="77777777" w:rsidR="006478AD" w:rsidRPr="00AA499E" w:rsidRDefault="00616F3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Dosisjustering i forbindelse med bivirkninger</w:t>
      </w:r>
    </w:p>
    <w:p w14:paraId="6C2FACE2"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Ikke-hæmatologiske bivirkninger</w:t>
      </w:r>
    </w:p>
    <w:p w14:paraId="7C08471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der opstår alvorlige ikke-hæmatologiske bivirkninger ved behandling med imatinib, skal behandlingen seponeres, indtil bivirkningerne er ophørt Herefter kan behandlingen genoptages alt efter den oprindelige alvorlighed af bivirkningen.</w:t>
      </w:r>
    </w:p>
    <w:p w14:paraId="649D5530" w14:textId="77777777" w:rsidR="006478AD" w:rsidRPr="00AA499E" w:rsidRDefault="006478AD">
      <w:pPr>
        <w:autoSpaceDE w:val="0"/>
        <w:autoSpaceDN w:val="0"/>
        <w:adjustRightInd w:val="0"/>
        <w:spacing w:after="0" w:line="240" w:lineRule="auto"/>
        <w:ind w:left="567" w:hanging="567"/>
        <w:rPr>
          <w:rFonts w:ascii="Times New Roman" w:hAnsi="Times New Roman"/>
          <w:lang w:val="da-DK"/>
        </w:rPr>
      </w:pPr>
    </w:p>
    <w:p w14:paraId="02DA060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Hvis der opstår stigninger i bilirubin &gt;3 x IULN (institutional upper limit of normal) eller i levertransaminaser &gt;5 x IULN, skal imatinib seponeres indtil bilirubinniveauerne er faldet til &lt;1,5 x IULN og transaminaseniveauer til &lt;2,5 x IULN. Behandling med imatinib kan da genoptages ved reduceret daglig dosis. Hos voksne bør dosis reduceres</w:t>
      </w:r>
      <w:r w:rsidR="00233DFC" w:rsidRPr="00AA499E">
        <w:rPr>
          <w:rFonts w:ascii="Times New Roman" w:hAnsi="Times New Roman"/>
          <w:lang w:val="da-DK"/>
        </w:rPr>
        <w:t xml:space="preserve"> fra 400 til 300 mg</w:t>
      </w:r>
      <w:r w:rsidR="00C52C91" w:rsidRPr="00AA499E">
        <w:rPr>
          <w:rFonts w:ascii="Times New Roman" w:hAnsi="Times New Roman"/>
          <w:lang w:val="da-DK"/>
        </w:rPr>
        <w:t>,</w:t>
      </w:r>
      <w:r w:rsidR="00233DFC" w:rsidRPr="00AA499E">
        <w:rPr>
          <w:rFonts w:ascii="Times New Roman" w:hAnsi="Times New Roman"/>
          <w:lang w:val="da-DK"/>
        </w:rPr>
        <w:t xml:space="preserve"> eller</w:t>
      </w:r>
      <w:r w:rsidRPr="00AA499E">
        <w:rPr>
          <w:rFonts w:ascii="Times New Roman" w:hAnsi="Times New Roman"/>
          <w:lang w:val="da-DK"/>
        </w:rPr>
        <w:t xml:space="preserve"> fra 600 til 400 mg, eller fra 800 mg til 600 mg, og hos børn</w:t>
      </w:r>
      <w:r w:rsidR="00203D86" w:rsidRPr="00AA499E">
        <w:rPr>
          <w:rFonts w:ascii="Times New Roman" w:hAnsi="Times New Roman"/>
          <w:lang w:val="da-DK"/>
        </w:rPr>
        <w:t xml:space="preserve"> </w:t>
      </w:r>
      <w:r w:rsidRPr="00AA499E">
        <w:rPr>
          <w:rFonts w:ascii="Times New Roman" w:hAnsi="Times New Roman"/>
          <w:lang w:val="da-DK"/>
        </w:rPr>
        <w:t>fra 340 til 260 mg/m</w:t>
      </w:r>
      <w:r w:rsidRPr="00AA499E">
        <w:rPr>
          <w:rFonts w:ascii="Times New Roman" w:hAnsi="Times New Roman"/>
          <w:vertAlign w:val="superscript"/>
          <w:lang w:val="da-DK"/>
        </w:rPr>
        <w:t>2</w:t>
      </w:r>
      <w:r w:rsidRPr="00AA499E">
        <w:rPr>
          <w:rFonts w:ascii="Times New Roman" w:hAnsi="Times New Roman"/>
          <w:lang w:val="da-DK"/>
        </w:rPr>
        <w:t>/dag.</w:t>
      </w:r>
    </w:p>
    <w:p w14:paraId="012704FB" w14:textId="77777777" w:rsidR="006478AD" w:rsidRPr="00AA499E" w:rsidRDefault="006478AD">
      <w:pPr>
        <w:autoSpaceDE w:val="0"/>
        <w:autoSpaceDN w:val="0"/>
        <w:adjustRightInd w:val="0"/>
        <w:spacing w:after="0" w:line="240" w:lineRule="auto"/>
        <w:rPr>
          <w:rFonts w:ascii="Times New Roman" w:hAnsi="Times New Roman"/>
          <w:lang w:val="da-DK"/>
        </w:rPr>
      </w:pPr>
    </w:p>
    <w:p w14:paraId="50F6C602"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Hæmatologiske bivirkninger</w:t>
      </w:r>
    </w:p>
    <w:p w14:paraId="26172DB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tilfælde af svær neutropeni og trombocytopeni anbefales dosisreduktion eller seponering af behandlingen, som angivet i nedenstående tabel:</w:t>
      </w:r>
    </w:p>
    <w:p w14:paraId="62426B6C" w14:textId="77777777" w:rsidR="006478AD" w:rsidRPr="00AA499E" w:rsidRDefault="006478AD">
      <w:pPr>
        <w:autoSpaceDE w:val="0"/>
        <w:autoSpaceDN w:val="0"/>
        <w:adjustRightInd w:val="0"/>
        <w:spacing w:after="0" w:line="240" w:lineRule="auto"/>
        <w:rPr>
          <w:rFonts w:ascii="Times New Roman" w:hAnsi="Times New Roman"/>
          <w:lang w:val="da-DK"/>
        </w:rPr>
      </w:pPr>
    </w:p>
    <w:p w14:paraId="291FFE2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Dosisjusteringer på grund af neutropeni og trombocytopeni:</w:t>
      </w:r>
    </w:p>
    <w:p w14:paraId="4B66EC6C"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9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477"/>
      </w:tblGrid>
      <w:tr w:rsidR="00140725" w:rsidRPr="00AA499E" w14:paraId="09130378" w14:textId="77777777" w:rsidTr="00063A26">
        <w:tc>
          <w:tcPr>
            <w:tcW w:w="2605" w:type="dxa"/>
          </w:tcPr>
          <w:p w14:paraId="4688D08A" w14:textId="77777777" w:rsidR="00140725" w:rsidRPr="00AA499E" w:rsidRDefault="00140725" w:rsidP="0047497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HES/CEL (start dosering 100 mg)</w:t>
            </w:r>
          </w:p>
        </w:tc>
        <w:tc>
          <w:tcPr>
            <w:tcW w:w="2606" w:type="dxa"/>
          </w:tcPr>
          <w:p w14:paraId="09B507CA" w14:textId="77777777" w:rsidR="00140725" w:rsidRPr="00AA499E" w:rsidRDefault="00140725" w:rsidP="00437B1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ANC &lt;1,0 x 10</w:t>
            </w:r>
            <w:r w:rsidRPr="00AA499E">
              <w:rPr>
                <w:rFonts w:ascii="Times New Roman" w:hAnsi="Times New Roman"/>
                <w:color w:val="000000"/>
                <w:vertAlign w:val="superscript"/>
                <w:lang w:val="da-DK" w:eastAsia="is-IS"/>
              </w:rPr>
              <w:t>9</w:t>
            </w:r>
            <w:r w:rsidRPr="00AA499E">
              <w:rPr>
                <w:rFonts w:ascii="Times New Roman" w:hAnsi="Times New Roman"/>
                <w:color w:val="000000"/>
                <w:lang w:val="da-DK" w:eastAsia="is-IS"/>
              </w:rPr>
              <w:t xml:space="preserve">/l </w:t>
            </w:r>
          </w:p>
          <w:p w14:paraId="00F89911" w14:textId="77777777" w:rsidR="00140725" w:rsidRPr="00AA499E" w:rsidRDefault="00140725" w:rsidP="00437B1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og/eller</w:t>
            </w:r>
          </w:p>
          <w:p w14:paraId="5C14DBFE" w14:textId="77777777" w:rsidR="00140725" w:rsidRPr="00AA499E" w:rsidRDefault="00140725" w:rsidP="00437B1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trombocytter &lt;50 x 10</w:t>
            </w:r>
            <w:r w:rsidRPr="00AA499E">
              <w:rPr>
                <w:rFonts w:ascii="Times New Roman" w:hAnsi="Times New Roman"/>
                <w:vertAlign w:val="superscript"/>
                <w:lang w:val="da-DK"/>
              </w:rPr>
              <w:t>9</w:t>
            </w:r>
            <w:r w:rsidRPr="00AA499E">
              <w:rPr>
                <w:rFonts w:ascii="Times New Roman" w:hAnsi="Times New Roman"/>
                <w:lang w:val="da-DK"/>
              </w:rPr>
              <w:t>/l</w:t>
            </w:r>
          </w:p>
        </w:tc>
        <w:tc>
          <w:tcPr>
            <w:tcW w:w="4477" w:type="dxa"/>
          </w:tcPr>
          <w:p w14:paraId="27488FAB" w14:textId="77777777" w:rsidR="00140725" w:rsidRPr="00AA499E" w:rsidRDefault="00140725" w:rsidP="00063A26">
            <w:pPr>
              <w:autoSpaceDE w:val="0"/>
              <w:autoSpaceDN w:val="0"/>
              <w:adjustRightInd w:val="0"/>
              <w:spacing w:after="0" w:line="261" w:lineRule="exact"/>
              <w:ind w:left="581" w:right="-20" w:hanging="567"/>
              <w:rPr>
                <w:rFonts w:ascii="Times New Roman" w:hAnsi="Times New Roman"/>
                <w:lang w:val="da-DK" w:eastAsia="sv-SE"/>
              </w:rPr>
            </w:pPr>
            <w:r w:rsidRPr="00AA499E">
              <w:rPr>
                <w:rFonts w:ascii="Times New Roman" w:hAnsi="Times New Roman"/>
                <w:lang w:val="da-DK" w:eastAsia="sv-SE"/>
              </w:rPr>
              <w:t xml:space="preserve">1.   </w:t>
            </w:r>
            <w:r w:rsidRPr="00AA499E">
              <w:rPr>
                <w:rFonts w:ascii="Times New Roman" w:hAnsi="Times New Roman"/>
                <w:spacing w:val="39"/>
                <w:lang w:val="da-DK" w:eastAsia="sv-SE"/>
              </w:rPr>
              <w:t xml:space="preserve"> </w:t>
            </w:r>
            <w:r w:rsidRPr="00AA499E">
              <w:rPr>
                <w:rFonts w:ascii="Times New Roman" w:hAnsi="Times New Roman"/>
                <w:lang w:val="da-DK" w:eastAsia="sv-SE"/>
              </w:rPr>
              <w:t>Seponer</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 xml:space="preserve">imatinib </w:t>
            </w:r>
            <w:r w:rsidRPr="00AA499E">
              <w:rPr>
                <w:rFonts w:ascii="Times New Roman" w:hAnsi="Times New Roman"/>
                <w:spacing w:val="2"/>
                <w:lang w:val="da-DK" w:eastAsia="sv-SE"/>
              </w:rPr>
              <w:t>i</w:t>
            </w:r>
            <w:r w:rsidRPr="00AA499E">
              <w:rPr>
                <w:rFonts w:ascii="Times New Roman" w:hAnsi="Times New Roman"/>
                <w:lang w:val="da-DK" w:eastAsia="sv-SE"/>
              </w:rPr>
              <w:t>nd</w:t>
            </w:r>
            <w:r w:rsidRPr="00AA499E">
              <w:rPr>
                <w:rFonts w:ascii="Times New Roman" w:hAnsi="Times New Roman"/>
                <w:spacing w:val="1"/>
                <w:lang w:val="da-DK" w:eastAsia="sv-SE"/>
              </w:rPr>
              <w:t>ti</w:t>
            </w:r>
            <w:r w:rsidRPr="00AA499E">
              <w:rPr>
                <w:rFonts w:ascii="Times New Roman" w:hAnsi="Times New Roman"/>
                <w:lang w:val="da-DK" w:eastAsia="sv-SE"/>
              </w:rPr>
              <w:t>l</w:t>
            </w:r>
            <w:r w:rsidRPr="00AA499E">
              <w:rPr>
                <w:rFonts w:ascii="Times New Roman" w:hAnsi="Times New Roman"/>
                <w:spacing w:val="1"/>
                <w:lang w:val="da-DK" w:eastAsia="sv-SE"/>
              </w:rPr>
              <w:t xml:space="preserve"> </w:t>
            </w:r>
            <w:r w:rsidRPr="00AA499E">
              <w:rPr>
                <w:rFonts w:ascii="Times New Roman" w:hAnsi="Times New Roman"/>
                <w:spacing w:val="-1"/>
                <w:lang w:val="da-DK" w:eastAsia="sv-SE"/>
              </w:rPr>
              <w:t>AN</w:t>
            </w:r>
            <w:r w:rsidRPr="00AA499E">
              <w:rPr>
                <w:rFonts w:ascii="Times New Roman" w:hAnsi="Times New Roman"/>
                <w:lang w:val="da-DK" w:eastAsia="sv-SE"/>
              </w:rPr>
              <w:t xml:space="preserve">C </w:t>
            </w:r>
            <w:r w:rsidRPr="00AA499E">
              <w:rPr>
                <w:rFonts w:ascii="Times New Roman" w:hAnsi="Times New Roman"/>
                <w:spacing w:val="1"/>
                <w:lang w:val="da-DK" w:eastAsia="sv-SE"/>
              </w:rPr>
              <w:t></w:t>
            </w:r>
            <w:r w:rsidRPr="00AA499E">
              <w:rPr>
                <w:rFonts w:ascii="Times New Roman" w:hAnsi="Times New Roman"/>
                <w:lang w:val="da-DK" w:eastAsia="sv-SE"/>
              </w:rPr>
              <w:t>1,5 x 10</w:t>
            </w:r>
            <w:r w:rsidRPr="00AA499E">
              <w:rPr>
                <w:rFonts w:ascii="Times New Roman" w:hAnsi="Times New Roman"/>
                <w:position w:val="10"/>
                <w:sz w:val="14"/>
                <w:szCs w:val="14"/>
                <w:lang w:val="da-DK" w:eastAsia="sv-SE"/>
              </w:rPr>
              <w:t>9</w:t>
            </w:r>
            <w:r w:rsidRPr="00AA499E">
              <w:rPr>
                <w:rFonts w:ascii="Times New Roman" w:hAnsi="Times New Roman"/>
                <w:spacing w:val="1"/>
                <w:lang w:val="da-DK" w:eastAsia="sv-SE"/>
              </w:rPr>
              <w:t>/l</w:t>
            </w:r>
          </w:p>
          <w:p w14:paraId="25BC63BF" w14:textId="77777777" w:rsidR="00140725" w:rsidRPr="00AA499E" w:rsidRDefault="00140725" w:rsidP="00063A26">
            <w:pPr>
              <w:autoSpaceDE w:val="0"/>
              <w:autoSpaceDN w:val="0"/>
              <w:adjustRightInd w:val="0"/>
              <w:spacing w:after="0" w:line="274" w:lineRule="exact"/>
              <w:ind w:left="440" w:right="-20" w:firstLine="141"/>
              <w:rPr>
                <w:rFonts w:ascii="Times New Roman" w:hAnsi="Times New Roman"/>
                <w:lang w:val="da-DK" w:eastAsia="sv-SE"/>
              </w:rPr>
            </w:pPr>
            <w:r w:rsidRPr="00AA499E">
              <w:rPr>
                <w:rFonts w:ascii="Times New Roman" w:hAnsi="Times New Roman"/>
                <w:position w:val="-1"/>
                <w:lang w:val="da-DK" w:eastAsia="sv-SE"/>
              </w:rPr>
              <w:t>og</w:t>
            </w:r>
            <w:r w:rsidRPr="00AA499E">
              <w:rPr>
                <w:rFonts w:ascii="Times New Roman" w:hAnsi="Times New Roman"/>
                <w:spacing w:val="-2"/>
                <w:position w:val="-1"/>
                <w:lang w:val="da-DK" w:eastAsia="sv-SE"/>
              </w:rPr>
              <w:t xml:space="preserve"> </w:t>
            </w:r>
            <w:r w:rsidRPr="00AA499E">
              <w:rPr>
                <w:rFonts w:ascii="Times New Roman" w:hAnsi="Times New Roman"/>
                <w:spacing w:val="1"/>
                <w:position w:val="-1"/>
                <w:lang w:val="da-DK" w:eastAsia="sv-SE"/>
              </w:rPr>
              <w:t>tr</w:t>
            </w:r>
            <w:r w:rsidRPr="00AA499E">
              <w:rPr>
                <w:rFonts w:ascii="Times New Roman" w:hAnsi="Times New Roman"/>
                <w:position w:val="-1"/>
                <w:lang w:val="da-DK" w:eastAsia="sv-SE"/>
              </w:rPr>
              <w:t>o</w:t>
            </w:r>
            <w:r w:rsidRPr="00AA499E">
              <w:rPr>
                <w:rFonts w:ascii="Times New Roman" w:hAnsi="Times New Roman"/>
                <w:spacing w:val="-4"/>
                <w:position w:val="-1"/>
                <w:lang w:val="da-DK" w:eastAsia="sv-SE"/>
              </w:rPr>
              <w:t>m</w:t>
            </w:r>
            <w:r w:rsidRPr="00AA499E">
              <w:rPr>
                <w:rFonts w:ascii="Times New Roman" w:hAnsi="Times New Roman"/>
                <w:position w:val="-1"/>
                <w:lang w:val="da-DK" w:eastAsia="sv-SE"/>
              </w:rPr>
              <w:t>boc</w:t>
            </w:r>
            <w:r w:rsidRPr="00AA499E">
              <w:rPr>
                <w:rFonts w:ascii="Times New Roman" w:hAnsi="Times New Roman"/>
                <w:spacing w:val="-2"/>
                <w:position w:val="-1"/>
                <w:lang w:val="da-DK" w:eastAsia="sv-SE"/>
              </w:rPr>
              <w:t>y</w:t>
            </w:r>
            <w:r w:rsidRPr="00AA499E">
              <w:rPr>
                <w:rFonts w:ascii="Times New Roman" w:hAnsi="Times New Roman"/>
                <w:spacing w:val="1"/>
                <w:position w:val="-1"/>
                <w:lang w:val="da-DK" w:eastAsia="sv-SE"/>
              </w:rPr>
              <w:t>tt</w:t>
            </w:r>
            <w:r w:rsidRPr="00AA499E">
              <w:rPr>
                <w:rFonts w:ascii="Times New Roman" w:hAnsi="Times New Roman"/>
                <w:position w:val="-1"/>
                <w:lang w:val="da-DK" w:eastAsia="sv-SE"/>
              </w:rPr>
              <w:t>er</w:t>
            </w:r>
            <w:r w:rsidRPr="00AA499E">
              <w:rPr>
                <w:rFonts w:ascii="Times New Roman" w:hAnsi="Times New Roman"/>
                <w:spacing w:val="3"/>
                <w:position w:val="-1"/>
                <w:lang w:val="da-DK" w:eastAsia="sv-SE"/>
              </w:rPr>
              <w:t xml:space="preserve"> </w:t>
            </w:r>
            <w:r w:rsidRPr="00AA499E">
              <w:rPr>
                <w:rFonts w:ascii="Times New Roman" w:hAnsi="Times New Roman"/>
                <w:spacing w:val="1"/>
                <w:position w:val="-1"/>
                <w:lang w:val="da-DK" w:eastAsia="sv-SE"/>
              </w:rPr>
              <w:t></w:t>
            </w:r>
            <w:r w:rsidRPr="00AA499E">
              <w:rPr>
                <w:rFonts w:ascii="Times New Roman" w:hAnsi="Times New Roman"/>
                <w:position w:val="-1"/>
                <w:lang w:val="da-DK" w:eastAsia="sv-SE"/>
              </w:rPr>
              <w:t>75 x 10</w:t>
            </w:r>
            <w:r w:rsidRPr="00AA499E">
              <w:rPr>
                <w:rFonts w:ascii="Times New Roman" w:hAnsi="Times New Roman"/>
                <w:position w:val="9"/>
                <w:sz w:val="14"/>
                <w:szCs w:val="14"/>
                <w:lang w:val="da-DK" w:eastAsia="sv-SE"/>
              </w:rPr>
              <w:t>9</w:t>
            </w:r>
            <w:r w:rsidRPr="00AA499E">
              <w:rPr>
                <w:rFonts w:ascii="Times New Roman" w:hAnsi="Times New Roman"/>
                <w:spacing w:val="1"/>
                <w:position w:val="-1"/>
                <w:lang w:val="da-DK" w:eastAsia="sv-SE"/>
              </w:rPr>
              <w:t>/l.</w:t>
            </w:r>
          </w:p>
          <w:p w14:paraId="474B5AF2" w14:textId="77777777" w:rsidR="00140725" w:rsidRPr="00AA499E" w:rsidRDefault="00140725" w:rsidP="00437B1F">
            <w:pPr>
              <w:autoSpaceDE w:val="0"/>
              <w:autoSpaceDN w:val="0"/>
              <w:adjustRightInd w:val="0"/>
              <w:spacing w:before="5" w:after="0" w:line="245" w:lineRule="auto"/>
              <w:ind w:left="459" w:right="54" w:hanging="425"/>
              <w:rPr>
                <w:rFonts w:ascii="Times New Roman" w:hAnsi="Times New Roman"/>
                <w:lang w:val="da-DK" w:eastAsia="sv-SE"/>
              </w:rPr>
            </w:pPr>
            <w:r w:rsidRPr="00AA499E">
              <w:rPr>
                <w:rFonts w:ascii="Times New Roman" w:hAnsi="Times New Roman"/>
                <w:lang w:val="da-DK" w:eastAsia="sv-SE"/>
              </w:rPr>
              <w:t xml:space="preserve">2.   </w:t>
            </w:r>
            <w:r w:rsidRPr="00AA499E">
              <w:rPr>
                <w:rFonts w:ascii="Times New Roman" w:hAnsi="Times New Roman"/>
                <w:spacing w:val="39"/>
                <w:lang w:val="da-DK" w:eastAsia="sv-SE"/>
              </w:rPr>
              <w:t xml:space="preserve"> </w:t>
            </w:r>
            <w:r w:rsidRPr="00AA499E">
              <w:rPr>
                <w:rFonts w:ascii="Times New Roman" w:hAnsi="Times New Roman"/>
                <w:spacing w:val="-1"/>
                <w:lang w:val="da-DK" w:eastAsia="sv-SE"/>
              </w:rPr>
              <w:t>G</w:t>
            </w:r>
            <w:r w:rsidRPr="00AA499E">
              <w:rPr>
                <w:rFonts w:ascii="Times New Roman" w:hAnsi="Times New Roman"/>
                <w:lang w:val="da-DK" w:eastAsia="sv-SE"/>
              </w:rPr>
              <w:t>enop</w:t>
            </w:r>
            <w:r w:rsidRPr="00AA499E">
              <w:rPr>
                <w:rFonts w:ascii="Times New Roman" w:hAnsi="Times New Roman"/>
                <w:spacing w:val="1"/>
                <w:lang w:val="da-DK" w:eastAsia="sv-SE"/>
              </w:rPr>
              <w:t>t</w:t>
            </w:r>
            <w:r w:rsidRPr="00AA499E">
              <w:rPr>
                <w:rFonts w:ascii="Times New Roman" w:hAnsi="Times New Roman"/>
                <w:lang w:val="da-DK" w:eastAsia="sv-SE"/>
              </w:rPr>
              <w:t>ag</w:t>
            </w:r>
            <w:r w:rsidRPr="00AA499E">
              <w:rPr>
                <w:rFonts w:ascii="Times New Roman" w:hAnsi="Times New Roman"/>
                <w:spacing w:val="-2"/>
                <w:lang w:val="da-DK" w:eastAsia="sv-SE"/>
              </w:rPr>
              <w:t xml:space="preserve"> </w:t>
            </w:r>
            <w:r w:rsidRPr="00AA499E">
              <w:rPr>
                <w:rFonts w:ascii="Times New Roman" w:hAnsi="Times New Roman"/>
                <w:spacing w:val="-1"/>
                <w:lang w:val="da-DK" w:eastAsia="sv-SE"/>
              </w:rPr>
              <w:t xml:space="preserve">imatinib </w:t>
            </w:r>
            <w:r w:rsidRPr="00AA499E">
              <w:rPr>
                <w:rFonts w:ascii="Times New Roman" w:hAnsi="Times New Roman"/>
                <w:spacing w:val="-4"/>
                <w:lang w:val="da-DK" w:eastAsia="sv-SE"/>
              </w:rPr>
              <w:t>-</w:t>
            </w:r>
            <w:r w:rsidRPr="00AA499E">
              <w:rPr>
                <w:rFonts w:ascii="Times New Roman" w:hAnsi="Times New Roman"/>
                <w:lang w:val="da-DK" w:eastAsia="sv-SE"/>
              </w:rPr>
              <w:t>beh</w:t>
            </w:r>
            <w:r w:rsidRPr="00AA499E">
              <w:rPr>
                <w:rFonts w:ascii="Times New Roman" w:hAnsi="Times New Roman"/>
                <w:spacing w:val="1"/>
                <w:lang w:val="da-DK" w:eastAsia="sv-SE"/>
              </w:rPr>
              <w:t>a</w:t>
            </w:r>
            <w:r w:rsidRPr="00AA499E">
              <w:rPr>
                <w:rFonts w:ascii="Times New Roman" w:hAnsi="Times New Roman"/>
                <w:lang w:val="da-DK" w:eastAsia="sv-SE"/>
              </w:rPr>
              <w:t>nd</w:t>
            </w:r>
            <w:r w:rsidRPr="00AA499E">
              <w:rPr>
                <w:rFonts w:ascii="Times New Roman" w:hAnsi="Times New Roman"/>
                <w:spacing w:val="1"/>
                <w:lang w:val="da-DK" w:eastAsia="sv-SE"/>
              </w:rPr>
              <w:t>li</w:t>
            </w:r>
            <w:r w:rsidRPr="00AA499E">
              <w:rPr>
                <w:rFonts w:ascii="Times New Roman" w:hAnsi="Times New Roman"/>
                <w:lang w:val="da-DK" w:eastAsia="sv-SE"/>
              </w:rPr>
              <w:t>n</w:t>
            </w:r>
            <w:r w:rsidRPr="00AA499E">
              <w:rPr>
                <w:rFonts w:ascii="Times New Roman" w:hAnsi="Times New Roman"/>
                <w:spacing w:val="-2"/>
                <w:lang w:val="da-DK" w:eastAsia="sv-SE"/>
              </w:rPr>
              <w:t>g</w:t>
            </w:r>
            <w:r w:rsidRPr="00AA499E">
              <w:rPr>
                <w:rFonts w:ascii="Times New Roman" w:hAnsi="Times New Roman"/>
                <w:lang w:val="da-DK" w:eastAsia="sv-SE"/>
              </w:rPr>
              <w:t xml:space="preserve">en </w:t>
            </w:r>
            <w:r w:rsidRPr="00AA499E">
              <w:rPr>
                <w:rFonts w:ascii="Times New Roman" w:hAnsi="Times New Roman"/>
                <w:spacing w:val="-2"/>
                <w:lang w:val="da-DK" w:eastAsia="sv-SE"/>
              </w:rPr>
              <w:t>v</w:t>
            </w:r>
            <w:r w:rsidRPr="00AA499E">
              <w:rPr>
                <w:rFonts w:ascii="Times New Roman" w:hAnsi="Times New Roman"/>
                <w:lang w:val="da-DK" w:eastAsia="sv-SE"/>
              </w:rPr>
              <w:t xml:space="preserve">ed den </w:t>
            </w:r>
            <w:r w:rsidRPr="00AA499E">
              <w:rPr>
                <w:rFonts w:ascii="Times New Roman" w:hAnsi="Times New Roman"/>
                <w:spacing w:val="1"/>
                <w:lang w:val="da-DK" w:eastAsia="sv-SE"/>
              </w:rPr>
              <w:t>ti</w:t>
            </w:r>
            <w:r w:rsidRPr="00AA499E">
              <w:rPr>
                <w:rFonts w:ascii="Times New Roman" w:hAnsi="Times New Roman"/>
                <w:lang w:val="da-DK" w:eastAsia="sv-SE"/>
              </w:rPr>
              <w:t>d</w:t>
            </w:r>
            <w:r w:rsidRPr="00AA499E">
              <w:rPr>
                <w:rFonts w:ascii="Times New Roman" w:hAnsi="Times New Roman"/>
                <w:spacing w:val="1"/>
                <w:lang w:val="da-DK" w:eastAsia="sv-SE"/>
              </w:rPr>
              <w:t>li</w:t>
            </w:r>
            <w:r w:rsidRPr="00AA499E">
              <w:rPr>
                <w:rFonts w:ascii="Times New Roman" w:hAnsi="Times New Roman"/>
                <w:spacing w:val="-2"/>
                <w:lang w:val="da-DK" w:eastAsia="sv-SE"/>
              </w:rPr>
              <w:t>g</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e do</w:t>
            </w:r>
            <w:r w:rsidRPr="00AA499E">
              <w:rPr>
                <w:rFonts w:ascii="Times New Roman" w:hAnsi="Times New Roman"/>
                <w:spacing w:val="1"/>
                <w:lang w:val="da-DK" w:eastAsia="sv-SE"/>
              </w:rPr>
              <w:t>si</w:t>
            </w:r>
            <w:r w:rsidRPr="00AA499E">
              <w:rPr>
                <w:rFonts w:ascii="Times New Roman" w:hAnsi="Times New Roman"/>
                <w:lang w:val="da-DK" w:eastAsia="sv-SE"/>
              </w:rPr>
              <w:t xml:space="preserve">s </w:t>
            </w:r>
            <w:r w:rsidRPr="00AA499E">
              <w:rPr>
                <w:rFonts w:ascii="Times New Roman" w:hAnsi="Times New Roman"/>
                <w:spacing w:val="1"/>
                <w:lang w:val="da-DK" w:eastAsia="sv-SE"/>
              </w:rPr>
              <w:t>(</w:t>
            </w:r>
            <w:r w:rsidRPr="00AA499E">
              <w:rPr>
                <w:rFonts w:ascii="Times New Roman" w:hAnsi="Times New Roman"/>
                <w:lang w:val="da-DK" w:eastAsia="sv-SE"/>
              </w:rPr>
              <w:t>d</w:t>
            </w:r>
            <w:r w:rsidRPr="00AA499E">
              <w:rPr>
                <w:rFonts w:ascii="Times New Roman" w:hAnsi="Times New Roman"/>
                <w:spacing w:val="-2"/>
                <w:lang w:val="da-DK" w:eastAsia="sv-SE"/>
              </w:rPr>
              <w:t>v</w:t>
            </w:r>
            <w:r w:rsidRPr="00AA499E">
              <w:rPr>
                <w:rFonts w:ascii="Times New Roman" w:hAnsi="Times New Roman"/>
                <w:lang w:val="da-DK" w:eastAsia="sv-SE"/>
              </w:rPr>
              <w:t xml:space="preserve">s. </w:t>
            </w:r>
            <w:r w:rsidRPr="00AA499E">
              <w:rPr>
                <w:rFonts w:ascii="Times New Roman" w:hAnsi="Times New Roman"/>
                <w:spacing w:val="1"/>
                <w:lang w:val="da-DK" w:eastAsia="sv-SE"/>
              </w:rPr>
              <w:t>f</w:t>
            </w:r>
            <w:r w:rsidRPr="00AA499E">
              <w:rPr>
                <w:rFonts w:ascii="Times New Roman" w:hAnsi="Times New Roman"/>
                <w:lang w:val="da-DK" w:eastAsia="sv-SE"/>
              </w:rPr>
              <w:t>ør</w:t>
            </w:r>
            <w:r w:rsidRPr="00AA499E">
              <w:rPr>
                <w:rFonts w:ascii="Times New Roman" w:hAnsi="Times New Roman"/>
                <w:spacing w:val="1"/>
                <w:lang w:val="da-DK" w:eastAsia="sv-SE"/>
              </w:rPr>
              <w:t xml:space="preserve"> </w:t>
            </w:r>
            <w:r w:rsidRPr="00AA499E">
              <w:rPr>
                <w:rFonts w:ascii="Times New Roman" w:hAnsi="Times New Roman"/>
                <w:lang w:val="da-DK" w:eastAsia="sv-SE"/>
              </w:rPr>
              <w:t>s</w:t>
            </w:r>
            <w:r w:rsidRPr="00AA499E">
              <w:rPr>
                <w:rFonts w:ascii="Times New Roman" w:hAnsi="Times New Roman"/>
                <w:spacing w:val="-2"/>
                <w:lang w:val="da-DK" w:eastAsia="sv-SE"/>
              </w:rPr>
              <w:t>v</w:t>
            </w:r>
            <w:r w:rsidRPr="00AA499E">
              <w:rPr>
                <w:rFonts w:ascii="Times New Roman" w:hAnsi="Times New Roman"/>
                <w:spacing w:val="-1"/>
                <w:lang w:val="da-DK" w:eastAsia="sv-SE"/>
              </w:rPr>
              <w:t>æ</w:t>
            </w:r>
            <w:r w:rsidRPr="00AA499E">
              <w:rPr>
                <w:rFonts w:ascii="Times New Roman" w:hAnsi="Times New Roman"/>
                <w:spacing w:val="1"/>
                <w:lang w:val="da-DK" w:eastAsia="sv-SE"/>
              </w:rPr>
              <w:t>r</w:t>
            </w:r>
            <w:r w:rsidRPr="00AA499E">
              <w:rPr>
                <w:rFonts w:ascii="Times New Roman" w:hAnsi="Times New Roman"/>
                <w:lang w:val="da-DK" w:eastAsia="sv-SE"/>
              </w:rPr>
              <w:t>e b</w:t>
            </w:r>
            <w:r w:rsidRPr="00AA499E">
              <w:rPr>
                <w:rFonts w:ascii="Times New Roman" w:hAnsi="Times New Roman"/>
                <w:spacing w:val="1"/>
                <w:lang w:val="da-DK" w:eastAsia="sv-SE"/>
              </w:rPr>
              <w:t>i</w:t>
            </w:r>
            <w:r w:rsidRPr="00AA499E">
              <w:rPr>
                <w:rFonts w:ascii="Times New Roman" w:hAnsi="Times New Roman"/>
                <w:spacing w:val="-2"/>
                <w:lang w:val="da-DK" w:eastAsia="sv-SE"/>
              </w:rPr>
              <w:t>v</w:t>
            </w:r>
            <w:r w:rsidRPr="00AA499E">
              <w:rPr>
                <w:rFonts w:ascii="Times New Roman" w:hAnsi="Times New Roman"/>
                <w:spacing w:val="1"/>
                <w:lang w:val="da-DK" w:eastAsia="sv-SE"/>
              </w:rPr>
              <w:t>ir</w:t>
            </w:r>
            <w:r w:rsidRPr="00AA499E">
              <w:rPr>
                <w:rFonts w:ascii="Times New Roman" w:hAnsi="Times New Roman"/>
                <w:spacing w:val="-2"/>
                <w:lang w:val="da-DK" w:eastAsia="sv-SE"/>
              </w:rPr>
              <w:t>k</w:t>
            </w:r>
            <w:r w:rsidRPr="00AA499E">
              <w:rPr>
                <w:rFonts w:ascii="Times New Roman" w:hAnsi="Times New Roman"/>
                <w:lang w:val="da-DK" w:eastAsia="sv-SE"/>
              </w:rPr>
              <w:t>n</w:t>
            </w:r>
            <w:r w:rsidRPr="00AA499E">
              <w:rPr>
                <w:rFonts w:ascii="Times New Roman" w:hAnsi="Times New Roman"/>
                <w:spacing w:val="1"/>
                <w:lang w:val="da-DK" w:eastAsia="sv-SE"/>
              </w:rPr>
              <w:t>i</w:t>
            </w:r>
            <w:r w:rsidRPr="00AA499E">
              <w:rPr>
                <w:rFonts w:ascii="Times New Roman" w:hAnsi="Times New Roman"/>
                <w:lang w:val="da-DK" w:eastAsia="sv-SE"/>
              </w:rPr>
              <w:t>n</w:t>
            </w:r>
            <w:r w:rsidRPr="00AA499E">
              <w:rPr>
                <w:rFonts w:ascii="Times New Roman" w:hAnsi="Times New Roman"/>
                <w:spacing w:val="-2"/>
                <w:lang w:val="da-DK" w:eastAsia="sv-SE"/>
              </w:rPr>
              <w:t>g</w:t>
            </w:r>
            <w:r w:rsidRPr="00AA499E">
              <w:rPr>
                <w:rFonts w:ascii="Times New Roman" w:hAnsi="Times New Roman"/>
                <w:lang w:val="da-DK" w:eastAsia="sv-SE"/>
              </w:rPr>
              <w:t>e</w:t>
            </w:r>
            <w:r w:rsidRPr="00AA499E">
              <w:rPr>
                <w:rFonts w:ascii="Times New Roman" w:hAnsi="Times New Roman"/>
                <w:spacing w:val="1"/>
                <w:lang w:val="da-DK" w:eastAsia="sv-SE"/>
              </w:rPr>
              <w:t>r)</w:t>
            </w:r>
            <w:r w:rsidRPr="00AA499E">
              <w:rPr>
                <w:rFonts w:ascii="Times New Roman" w:hAnsi="Times New Roman"/>
                <w:lang w:val="da-DK" w:eastAsia="sv-SE"/>
              </w:rPr>
              <w:t>.</w:t>
            </w:r>
          </w:p>
          <w:p w14:paraId="30ECD779" w14:textId="77777777" w:rsidR="00140725" w:rsidRPr="00AA499E" w:rsidRDefault="00140725" w:rsidP="00437B1F">
            <w:pPr>
              <w:autoSpaceDE w:val="0"/>
              <w:autoSpaceDN w:val="0"/>
              <w:adjustRightInd w:val="0"/>
              <w:spacing w:after="0" w:line="240" w:lineRule="auto"/>
              <w:ind w:left="567" w:hanging="567"/>
              <w:rPr>
                <w:rFonts w:ascii="Times New Roman" w:hAnsi="Times New Roman"/>
                <w:lang w:val="da-DK"/>
              </w:rPr>
            </w:pPr>
          </w:p>
        </w:tc>
      </w:tr>
      <w:tr w:rsidR="00140725" w:rsidRPr="00AA499E" w14:paraId="462841B9" w14:textId="77777777" w:rsidTr="00063A26">
        <w:tc>
          <w:tcPr>
            <w:tcW w:w="2605" w:type="dxa"/>
          </w:tcPr>
          <w:p w14:paraId="3978C326" w14:textId="77777777" w:rsidR="00140725" w:rsidRPr="00AA499E" w:rsidRDefault="00140725" w:rsidP="00437B1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MDS/MPD (startdosis</w:t>
            </w:r>
          </w:p>
          <w:p w14:paraId="68E35741" w14:textId="77777777" w:rsidR="00140725" w:rsidRPr="00AA499E" w:rsidRDefault="00140725" w:rsidP="00437B1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400 mg) </w:t>
            </w:r>
          </w:p>
          <w:p w14:paraId="74973945" w14:textId="77777777" w:rsidR="00140725" w:rsidRPr="00AA499E" w:rsidRDefault="00140725" w:rsidP="0047497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HES/CEL (ved 400 mg dosis)</w:t>
            </w:r>
          </w:p>
        </w:tc>
        <w:tc>
          <w:tcPr>
            <w:tcW w:w="2606" w:type="dxa"/>
          </w:tcPr>
          <w:p w14:paraId="687CF20B" w14:textId="77777777" w:rsidR="00140725" w:rsidRPr="00AA499E" w:rsidRDefault="00140725" w:rsidP="00437B1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ANC &lt;1,0 x 10</w:t>
            </w:r>
            <w:r w:rsidRPr="00AA499E">
              <w:rPr>
                <w:rFonts w:ascii="Times New Roman" w:hAnsi="Times New Roman"/>
                <w:vertAlign w:val="superscript"/>
                <w:lang w:val="da-DK"/>
              </w:rPr>
              <w:t>9</w:t>
            </w:r>
            <w:r w:rsidRPr="00AA499E">
              <w:rPr>
                <w:rFonts w:ascii="Times New Roman" w:hAnsi="Times New Roman"/>
                <w:lang w:val="da-DK"/>
              </w:rPr>
              <w:t xml:space="preserve">/l </w:t>
            </w:r>
          </w:p>
          <w:p w14:paraId="1C5E7214" w14:textId="77777777" w:rsidR="00140725" w:rsidRPr="00AA499E" w:rsidRDefault="00140725" w:rsidP="00437B1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og/eller</w:t>
            </w:r>
          </w:p>
          <w:p w14:paraId="6E4B3A30" w14:textId="77777777" w:rsidR="00140725" w:rsidRPr="00AA499E" w:rsidRDefault="00140725" w:rsidP="00437B1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trombocytter &lt;50 x 10</w:t>
            </w:r>
            <w:r w:rsidRPr="00AA499E">
              <w:rPr>
                <w:rFonts w:ascii="Times New Roman" w:hAnsi="Times New Roman"/>
                <w:vertAlign w:val="superscript"/>
                <w:lang w:val="da-DK"/>
              </w:rPr>
              <w:t>9</w:t>
            </w:r>
            <w:r w:rsidRPr="00AA499E">
              <w:rPr>
                <w:rFonts w:ascii="Times New Roman" w:hAnsi="Times New Roman"/>
                <w:lang w:val="da-DK"/>
              </w:rPr>
              <w:t>/l</w:t>
            </w:r>
          </w:p>
        </w:tc>
        <w:tc>
          <w:tcPr>
            <w:tcW w:w="4477" w:type="dxa"/>
          </w:tcPr>
          <w:p w14:paraId="570423DE" w14:textId="77777777" w:rsidR="00140725" w:rsidRPr="00AA499E" w:rsidRDefault="00140725" w:rsidP="00437B1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Seponer imatinib indtil ANC ≥ 1.5 x 10</w:t>
            </w:r>
            <w:r w:rsidRPr="00AA499E">
              <w:rPr>
                <w:rFonts w:ascii="Times New Roman" w:hAnsi="Times New Roman"/>
                <w:vertAlign w:val="superscript"/>
                <w:lang w:val="da-DK"/>
              </w:rPr>
              <w:t>9</w:t>
            </w:r>
            <w:r w:rsidRPr="00AA499E">
              <w:rPr>
                <w:rFonts w:ascii="Times New Roman" w:hAnsi="Times New Roman"/>
                <w:lang w:val="da-DK"/>
              </w:rPr>
              <w:t>/l og trombocytter ≥ 75 x 10</w:t>
            </w:r>
            <w:r w:rsidRPr="00AA499E">
              <w:rPr>
                <w:rFonts w:ascii="Times New Roman" w:hAnsi="Times New Roman"/>
                <w:vertAlign w:val="superscript"/>
                <w:lang w:val="da-DK"/>
              </w:rPr>
              <w:t>9</w:t>
            </w:r>
            <w:r w:rsidRPr="00AA499E">
              <w:rPr>
                <w:rFonts w:ascii="Times New Roman" w:hAnsi="Times New Roman"/>
                <w:lang w:val="da-DK"/>
              </w:rPr>
              <w:t>/l.</w:t>
            </w:r>
          </w:p>
          <w:p w14:paraId="54E0F328" w14:textId="77777777" w:rsidR="00140725" w:rsidRPr="00AA499E" w:rsidRDefault="00140725" w:rsidP="00437B1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Genoptag imatinib-behandlingen ved den tidligere dosis (dvs. før svære bivirkninger).</w:t>
            </w:r>
          </w:p>
          <w:p w14:paraId="54DD3ADE" w14:textId="77777777" w:rsidR="00140725" w:rsidRPr="00AA499E" w:rsidRDefault="00140725" w:rsidP="00437B1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I tilfælde af recidiverende ANC &lt; 1.0 x 10</w:t>
            </w:r>
            <w:r w:rsidRPr="00AA499E">
              <w:rPr>
                <w:rFonts w:ascii="Times New Roman" w:hAnsi="Times New Roman"/>
                <w:vertAlign w:val="superscript"/>
                <w:lang w:val="da-DK"/>
              </w:rPr>
              <w:t>9</w:t>
            </w:r>
            <w:r w:rsidRPr="00AA499E">
              <w:rPr>
                <w:rFonts w:ascii="Times New Roman" w:hAnsi="Times New Roman"/>
                <w:lang w:val="da-DK"/>
              </w:rPr>
              <w:t>/l  og/eller trombocytter &lt; 50 x 10</w:t>
            </w:r>
            <w:r w:rsidRPr="00AA499E">
              <w:rPr>
                <w:rFonts w:ascii="Times New Roman" w:hAnsi="Times New Roman"/>
                <w:vertAlign w:val="superscript"/>
                <w:lang w:val="da-DK"/>
              </w:rPr>
              <w:t>9</w:t>
            </w:r>
            <w:r w:rsidRPr="00AA499E">
              <w:rPr>
                <w:rFonts w:ascii="Times New Roman" w:hAnsi="Times New Roman"/>
                <w:lang w:val="da-DK"/>
              </w:rPr>
              <w:t>/l, gentag trin 1, og genoptag behandling med imatinib i en reduceret dosis på 300 mg.</w:t>
            </w:r>
          </w:p>
        </w:tc>
      </w:tr>
      <w:tr w:rsidR="006478AD" w:rsidRPr="00AA499E" w14:paraId="0EBAF7FB" w14:textId="77777777" w:rsidTr="00063A26">
        <w:tc>
          <w:tcPr>
            <w:tcW w:w="2605" w:type="dxa"/>
          </w:tcPr>
          <w:p w14:paraId="116E1F5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Børn med CML i kronisk fase (ved dosis 340 mg/m</w:t>
            </w:r>
            <w:r w:rsidRPr="00AA499E">
              <w:rPr>
                <w:rFonts w:ascii="Times New Roman" w:hAnsi="Times New Roman"/>
                <w:vertAlign w:val="superscript"/>
                <w:lang w:val="da-DK"/>
              </w:rPr>
              <w:t>2</w:t>
            </w:r>
            <w:r w:rsidRPr="00AA499E">
              <w:rPr>
                <w:rFonts w:ascii="Times New Roman" w:hAnsi="Times New Roman"/>
                <w:lang w:val="da-DK"/>
              </w:rPr>
              <w:t>)</w:t>
            </w:r>
          </w:p>
        </w:tc>
        <w:tc>
          <w:tcPr>
            <w:tcW w:w="2606" w:type="dxa"/>
          </w:tcPr>
          <w:p w14:paraId="48B50AD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ANC &lt; 1,0 x 10</w:t>
            </w:r>
            <w:r w:rsidRPr="00AA499E">
              <w:rPr>
                <w:rFonts w:ascii="Times New Roman" w:hAnsi="Times New Roman"/>
                <w:vertAlign w:val="superscript"/>
                <w:lang w:val="da-DK"/>
              </w:rPr>
              <w:t>9</w:t>
            </w:r>
            <w:r w:rsidRPr="00AA499E">
              <w:rPr>
                <w:rFonts w:ascii="Times New Roman" w:hAnsi="Times New Roman"/>
                <w:lang w:val="da-DK"/>
              </w:rPr>
              <w:t>/l og/eller trombocytter &lt; 50 x 10</w:t>
            </w:r>
            <w:r w:rsidRPr="00AA499E">
              <w:rPr>
                <w:rFonts w:ascii="Times New Roman" w:hAnsi="Times New Roman"/>
                <w:vertAlign w:val="superscript"/>
                <w:lang w:val="da-DK"/>
              </w:rPr>
              <w:t>9</w:t>
            </w:r>
            <w:r w:rsidRPr="00AA499E">
              <w:rPr>
                <w:rFonts w:ascii="Times New Roman" w:hAnsi="Times New Roman"/>
                <w:lang w:val="da-DK"/>
              </w:rPr>
              <w:t>/l</w:t>
            </w:r>
          </w:p>
        </w:tc>
        <w:tc>
          <w:tcPr>
            <w:tcW w:w="4477" w:type="dxa"/>
          </w:tcPr>
          <w:p w14:paraId="646EE4A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Seponer imatinib indtil ANC ≥ 1.5 x 10</w:t>
            </w:r>
            <w:r w:rsidRPr="00AA499E">
              <w:rPr>
                <w:rFonts w:ascii="Times New Roman" w:hAnsi="Times New Roman"/>
                <w:vertAlign w:val="superscript"/>
                <w:lang w:val="da-DK"/>
              </w:rPr>
              <w:t>9</w:t>
            </w:r>
            <w:r w:rsidRPr="00AA499E">
              <w:rPr>
                <w:rFonts w:ascii="Times New Roman" w:hAnsi="Times New Roman"/>
                <w:lang w:val="da-DK"/>
              </w:rPr>
              <w:t>/l og trombocytter ≥ 75 x 10</w:t>
            </w:r>
            <w:r w:rsidRPr="00AA499E">
              <w:rPr>
                <w:rFonts w:ascii="Times New Roman" w:hAnsi="Times New Roman"/>
                <w:vertAlign w:val="superscript"/>
                <w:lang w:val="da-DK"/>
              </w:rPr>
              <w:t>9</w:t>
            </w:r>
            <w:r w:rsidRPr="00AA499E">
              <w:rPr>
                <w:rFonts w:ascii="Times New Roman" w:hAnsi="Times New Roman"/>
                <w:lang w:val="da-DK"/>
              </w:rPr>
              <w:t>/l.</w:t>
            </w:r>
          </w:p>
          <w:p w14:paraId="0D47AE9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Genoptag imatinib-behandlingen ved den tidligere dosis (dvs. før svære bivirkninger).</w:t>
            </w:r>
          </w:p>
          <w:p w14:paraId="1202C13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I tilfælde af recidiverende ANC &lt; 1.0 x 10</w:t>
            </w:r>
            <w:r w:rsidRPr="00AA499E">
              <w:rPr>
                <w:rFonts w:ascii="Times New Roman" w:hAnsi="Times New Roman"/>
                <w:vertAlign w:val="superscript"/>
                <w:lang w:val="da-DK"/>
              </w:rPr>
              <w:t>9</w:t>
            </w:r>
            <w:r w:rsidRPr="00AA499E">
              <w:rPr>
                <w:rFonts w:ascii="Times New Roman" w:hAnsi="Times New Roman"/>
                <w:lang w:val="da-DK"/>
              </w:rPr>
              <w:t>/l  og/eller trombocytter &lt; 50 x 10</w:t>
            </w:r>
            <w:r w:rsidRPr="00AA499E">
              <w:rPr>
                <w:rFonts w:ascii="Times New Roman" w:hAnsi="Times New Roman"/>
                <w:vertAlign w:val="superscript"/>
                <w:lang w:val="da-DK"/>
              </w:rPr>
              <w:t>9</w:t>
            </w:r>
            <w:r w:rsidRPr="00AA499E">
              <w:rPr>
                <w:rFonts w:ascii="Times New Roman" w:hAnsi="Times New Roman"/>
                <w:lang w:val="da-DK"/>
              </w:rPr>
              <w:t>/l, gentag trin 1, og genoptag behandling med imatinib i en reduceret dosis på 260 mg/m</w:t>
            </w:r>
            <w:r w:rsidRPr="00AA499E">
              <w:rPr>
                <w:rFonts w:ascii="Times New Roman" w:hAnsi="Times New Roman"/>
                <w:vertAlign w:val="superscript"/>
                <w:lang w:val="da-DK"/>
              </w:rPr>
              <w:t>2</w:t>
            </w:r>
            <w:r w:rsidRPr="00AA499E">
              <w:rPr>
                <w:rFonts w:ascii="Times New Roman" w:hAnsi="Times New Roman"/>
                <w:lang w:val="da-DK"/>
              </w:rPr>
              <w:t>.</w:t>
            </w:r>
          </w:p>
        </w:tc>
      </w:tr>
      <w:tr w:rsidR="006478AD" w:rsidRPr="00AA499E" w14:paraId="2AB148A9" w14:textId="77777777" w:rsidTr="00063A26">
        <w:tc>
          <w:tcPr>
            <w:tcW w:w="2605" w:type="dxa"/>
          </w:tcPr>
          <w:p w14:paraId="35C816F9" w14:textId="77777777" w:rsidR="00C52C91" w:rsidRPr="00AA499E" w:rsidRDefault="00616F3C" w:rsidP="00C52C91">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CML i blastkrise </w:t>
            </w:r>
            <w:r w:rsidR="00C52C91" w:rsidRPr="00AA499E">
              <w:rPr>
                <w:rFonts w:ascii="Times New Roman" w:hAnsi="Times New Roman"/>
                <w:lang w:val="da-DK"/>
              </w:rPr>
              <w:t xml:space="preserve">og </w:t>
            </w:r>
          </w:p>
          <w:p w14:paraId="58263089" w14:textId="77777777" w:rsidR="006478AD" w:rsidRPr="00AA499E" w:rsidRDefault="00C52C91" w:rsidP="00C52C91">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Ph+ ALL </w:t>
            </w:r>
            <w:r w:rsidR="00616F3C" w:rsidRPr="00AA499E">
              <w:rPr>
                <w:rFonts w:ascii="Times New Roman" w:hAnsi="Times New Roman"/>
                <w:lang w:val="da-DK"/>
              </w:rPr>
              <w:t>(startdosis 600 mg)</w:t>
            </w:r>
          </w:p>
        </w:tc>
        <w:tc>
          <w:tcPr>
            <w:tcW w:w="2606" w:type="dxa"/>
          </w:tcPr>
          <w:p w14:paraId="4C20EF0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vertAlign w:val="superscript"/>
                <w:lang w:val="da-DK"/>
              </w:rPr>
              <w:t>a</w:t>
            </w:r>
            <w:r w:rsidRPr="00AA499E">
              <w:rPr>
                <w:rFonts w:ascii="Times New Roman" w:hAnsi="Times New Roman"/>
                <w:lang w:val="da-DK"/>
              </w:rPr>
              <w:t>ANC &lt; 0,5 x 10</w:t>
            </w:r>
            <w:r w:rsidRPr="00AA499E">
              <w:rPr>
                <w:rFonts w:ascii="Times New Roman" w:hAnsi="Times New Roman"/>
                <w:vertAlign w:val="superscript"/>
                <w:lang w:val="da-DK"/>
              </w:rPr>
              <w:t>9</w:t>
            </w:r>
            <w:r w:rsidRPr="00AA499E">
              <w:rPr>
                <w:rFonts w:ascii="Times New Roman" w:hAnsi="Times New Roman"/>
                <w:lang w:val="da-DK"/>
              </w:rPr>
              <w:t>/l og/eller trombocytter &lt; 10 x 10</w:t>
            </w:r>
            <w:r w:rsidRPr="00AA499E">
              <w:rPr>
                <w:rFonts w:ascii="Times New Roman" w:hAnsi="Times New Roman"/>
                <w:vertAlign w:val="superscript"/>
                <w:lang w:val="da-DK"/>
              </w:rPr>
              <w:t>9</w:t>
            </w:r>
            <w:r w:rsidRPr="00AA499E">
              <w:rPr>
                <w:rFonts w:ascii="Times New Roman" w:hAnsi="Times New Roman"/>
                <w:lang w:val="da-DK"/>
              </w:rPr>
              <w:t>/l</w:t>
            </w:r>
          </w:p>
        </w:tc>
        <w:tc>
          <w:tcPr>
            <w:tcW w:w="4477" w:type="dxa"/>
          </w:tcPr>
          <w:p w14:paraId="267FCC8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Undersøg om cytopeni er relateret til leukæmi (marv-aspirat eller biopsi).</w:t>
            </w:r>
          </w:p>
          <w:p w14:paraId="0FD5DB64"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Hvis cytopeni ikke er leukæmirelateret, reducér imatinib-dosis til 400 mg.</w:t>
            </w:r>
          </w:p>
          <w:p w14:paraId="1A4E535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Hvis cytopeni vedvarer i 2 uger, reducér dosis yderligere til 300 mg.</w:t>
            </w:r>
          </w:p>
          <w:p w14:paraId="49DFD312"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Hvis cytopeni vedvarer i 4 uger og stadig ikke er leukæmirelateret, seponér imatinib-behandling indtil ANC ≥ 1 x 10</w:t>
            </w:r>
            <w:r w:rsidRPr="00AA499E">
              <w:rPr>
                <w:rFonts w:ascii="Times New Roman" w:hAnsi="Times New Roman"/>
                <w:vertAlign w:val="superscript"/>
                <w:lang w:val="da-DK"/>
              </w:rPr>
              <w:t>9</w:t>
            </w:r>
            <w:r w:rsidRPr="00AA499E">
              <w:rPr>
                <w:rFonts w:ascii="Times New Roman" w:hAnsi="Times New Roman"/>
                <w:lang w:val="da-DK"/>
              </w:rPr>
              <w:t>/l og trombocytter ≥ 20 x 10</w:t>
            </w:r>
            <w:r w:rsidRPr="00AA499E">
              <w:rPr>
                <w:rFonts w:ascii="Times New Roman" w:hAnsi="Times New Roman"/>
                <w:vertAlign w:val="superscript"/>
                <w:lang w:val="da-DK"/>
              </w:rPr>
              <w:t>9</w:t>
            </w:r>
            <w:r w:rsidRPr="00AA499E">
              <w:rPr>
                <w:rFonts w:ascii="Times New Roman" w:hAnsi="Times New Roman"/>
                <w:lang w:val="da-DK"/>
              </w:rPr>
              <w:t>/l, og genoptag herefter behandlingen med 300 mg.</w:t>
            </w:r>
          </w:p>
        </w:tc>
      </w:tr>
      <w:tr w:rsidR="006478AD" w:rsidRPr="00AA499E" w14:paraId="0ED900E6" w14:textId="77777777" w:rsidTr="00063A26">
        <w:tc>
          <w:tcPr>
            <w:tcW w:w="2605" w:type="dxa"/>
          </w:tcPr>
          <w:p w14:paraId="6E3D3D2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Børn med CML i accelereret fase og blastkrise (startdosis 340 mg/m</w:t>
            </w:r>
            <w:r w:rsidRPr="00AA499E">
              <w:rPr>
                <w:rFonts w:ascii="Times New Roman" w:hAnsi="Times New Roman"/>
                <w:vertAlign w:val="superscript"/>
                <w:lang w:val="da-DK"/>
              </w:rPr>
              <w:t>2</w:t>
            </w:r>
            <w:r w:rsidRPr="00AA499E">
              <w:rPr>
                <w:rFonts w:ascii="Times New Roman" w:hAnsi="Times New Roman"/>
                <w:lang w:val="da-DK"/>
              </w:rPr>
              <w:t>)</w:t>
            </w:r>
          </w:p>
        </w:tc>
        <w:tc>
          <w:tcPr>
            <w:tcW w:w="2606" w:type="dxa"/>
          </w:tcPr>
          <w:p w14:paraId="3E60F9F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vertAlign w:val="superscript"/>
                <w:lang w:val="da-DK"/>
              </w:rPr>
              <w:t>a</w:t>
            </w:r>
            <w:r w:rsidRPr="00AA499E">
              <w:rPr>
                <w:rFonts w:ascii="Times New Roman" w:hAnsi="Times New Roman"/>
                <w:lang w:val="da-DK"/>
              </w:rPr>
              <w:t>ANC &lt; 0,5 x 10</w:t>
            </w:r>
            <w:r w:rsidRPr="00AA499E">
              <w:rPr>
                <w:rFonts w:ascii="Times New Roman" w:hAnsi="Times New Roman"/>
                <w:vertAlign w:val="superscript"/>
                <w:lang w:val="da-DK"/>
              </w:rPr>
              <w:t>9</w:t>
            </w:r>
            <w:r w:rsidRPr="00AA499E">
              <w:rPr>
                <w:rFonts w:ascii="Times New Roman" w:hAnsi="Times New Roman"/>
                <w:lang w:val="da-DK"/>
              </w:rPr>
              <w:t>/l og/eller trombocytter &lt; 10 x 10</w:t>
            </w:r>
            <w:r w:rsidRPr="00AA499E">
              <w:rPr>
                <w:rFonts w:ascii="Times New Roman" w:hAnsi="Times New Roman"/>
                <w:vertAlign w:val="superscript"/>
                <w:lang w:val="da-DK"/>
              </w:rPr>
              <w:t>9</w:t>
            </w:r>
            <w:r w:rsidRPr="00AA499E">
              <w:rPr>
                <w:rFonts w:ascii="Times New Roman" w:hAnsi="Times New Roman"/>
                <w:lang w:val="da-DK"/>
              </w:rPr>
              <w:t>/l</w:t>
            </w:r>
          </w:p>
        </w:tc>
        <w:tc>
          <w:tcPr>
            <w:tcW w:w="4477" w:type="dxa"/>
          </w:tcPr>
          <w:p w14:paraId="2962FE2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Undersøg om cytopeni er relateret til leukæmi (marv-aspirat eller biopsi).</w:t>
            </w:r>
          </w:p>
          <w:p w14:paraId="55BD148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Hvis cytopeni ikke er leukæmirelateret, reducér imatinib-dosis til 260 mg/m</w:t>
            </w:r>
            <w:r w:rsidRPr="00AA499E">
              <w:rPr>
                <w:rFonts w:ascii="Times New Roman" w:hAnsi="Times New Roman"/>
                <w:vertAlign w:val="superscript"/>
                <w:lang w:val="da-DK"/>
              </w:rPr>
              <w:t>2</w:t>
            </w:r>
            <w:r w:rsidRPr="00AA499E">
              <w:rPr>
                <w:rFonts w:ascii="Times New Roman" w:hAnsi="Times New Roman"/>
                <w:lang w:val="da-DK"/>
              </w:rPr>
              <w:t>.</w:t>
            </w:r>
          </w:p>
          <w:p w14:paraId="51CA652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Hvis cytopeni vedvarer i 2 uger, reducér dosis yderligere til 200 mg/m</w:t>
            </w:r>
            <w:r w:rsidRPr="00AA499E">
              <w:rPr>
                <w:rFonts w:ascii="Times New Roman" w:hAnsi="Times New Roman"/>
                <w:vertAlign w:val="superscript"/>
                <w:lang w:val="da-DK"/>
              </w:rPr>
              <w:t>2</w:t>
            </w:r>
            <w:r w:rsidRPr="00AA499E">
              <w:rPr>
                <w:rFonts w:ascii="Times New Roman" w:hAnsi="Times New Roman"/>
                <w:lang w:val="da-DK"/>
              </w:rPr>
              <w:t>.</w:t>
            </w:r>
          </w:p>
          <w:p w14:paraId="5C9658C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Hvis cytopeni vedvarer i 4 uger og stadig ikke er leukæmirelateret, seponér imatinib-behandlingen indtil ANC ≥ 1 x 10</w:t>
            </w:r>
            <w:r w:rsidRPr="00AA499E">
              <w:rPr>
                <w:rFonts w:ascii="Times New Roman" w:hAnsi="Times New Roman"/>
                <w:vertAlign w:val="superscript"/>
                <w:lang w:val="da-DK"/>
              </w:rPr>
              <w:t>9</w:t>
            </w:r>
            <w:r w:rsidRPr="00AA499E">
              <w:rPr>
                <w:rFonts w:ascii="Times New Roman" w:hAnsi="Times New Roman"/>
                <w:lang w:val="da-DK"/>
              </w:rPr>
              <w:t>/l og trombocytter 10</w:t>
            </w:r>
            <w:r w:rsidRPr="00AA499E">
              <w:rPr>
                <w:rFonts w:ascii="Times New Roman" w:hAnsi="Times New Roman"/>
                <w:vertAlign w:val="superscript"/>
                <w:lang w:val="da-DK"/>
              </w:rPr>
              <w:t>9</w:t>
            </w:r>
            <w:r w:rsidRPr="00AA499E">
              <w:rPr>
                <w:rFonts w:ascii="Times New Roman" w:hAnsi="Times New Roman"/>
                <w:lang w:val="da-DK"/>
              </w:rPr>
              <w:t>/l, og genoptag behandling med 200 mg/m</w:t>
            </w:r>
            <w:r w:rsidRPr="00AA499E">
              <w:rPr>
                <w:rFonts w:ascii="Times New Roman" w:hAnsi="Times New Roman"/>
                <w:vertAlign w:val="superscript"/>
                <w:lang w:val="da-DK"/>
              </w:rPr>
              <w:t>2</w:t>
            </w:r>
            <w:r w:rsidRPr="00AA499E">
              <w:rPr>
                <w:rFonts w:ascii="Times New Roman" w:hAnsi="Times New Roman"/>
                <w:lang w:val="da-DK"/>
              </w:rPr>
              <w:t>.</w:t>
            </w:r>
          </w:p>
        </w:tc>
      </w:tr>
      <w:tr w:rsidR="001D1E8D" w:rsidRPr="00AA499E" w14:paraId="601E1AEF" w14:textId="77777777" w:rsidTr="00063A26">
        <w:tc>
          <w:tcPr>
            <w:tcW w:w="2605" w:type="dxa"/>
            <w:tcBorders>
              <w:top w:val="single" w:sz="4" w:space="0" w:color="auto"/>
              <w:left w:val="single" w:sz="4" w:space="0" w:color="auto"/>
              <w:bottom w:val="single" w:sz="4" w:space="0" w:color="auto"/>
              <w:right w:val="single" w:sz="4" w:space="0" w:color="auto"/>
            </w:tcBorders>
            <w:hideMark/>
          </w:tcPr>
          <w:p w14:paraId="36041DEB" w14:textId="77777777" w:rsidR="001D1E8D" w:rsidRPr="00AA499E" w:rsidRDefault="001D1E8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DFSP (ved 800 mg dosis)</w:t>
            </w:r>
          </w:p>
        </w:tc>
        <w:tc>
          <w:tcPr>
            <w:tcW w:w="2606" w:type="dxa"/>
            <w:tcBorders>
              <w:top w:val="single" w:sz="4" w:space="0" w:color="auto"/>
              <w:left w:val="single" w:sz="4" w:space="0" w:color="auto"/>
              <w:bottom w:val="single" w:sz="4" w:space="0" w:color="auto"/>
              <w:right w:val="single" w:sz="4" w:space="0" w:color="auto"/>
            </w:tcBorders>
            <w:hideMark/>
          </w:tcPr>
          <w:p w14:paraId="56FC9A36" w14:textId="77777777" w:rsidR="001D1E8D" w:rsidRPr="00AA499E" w:rsidRDefault="001D1E8D">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ANC &lt;1,0 x 10</w:t>
            </w:r>
            <w:r w:rsidRPr="00AA499E">
              <w:rPr>
                <w:rFonts w:ascii="Times New Roman" w:hAnsi="Times New Roman"/>
                <w:color w:val="000000"/>
                <w:vertAlign w:val="superscript"/>
                <w:lang w:val="da-DK" w:eastAsia="is-IS"/>
              </w:rPr>
              <w:t>9</w:t>
            </w:r>
            <w:r w:rsidRPr="00AA499E">
              <w:rPr>
                <w:rFonts w:ascii="Times New Roman" w:hAnsi="Times New Roman"/>
                <w:color w:val="000000"/>
                <w:lang w:val="da-DK" w:eastAsia="is-IS"/>
              </w:rPr>
              <w:t xml:space="preserve">/l </w:t>
            </w:r>
          </w:p>
          <w:p w14:paraId="33B4DB4A" w14:textId="77777777" w:rsidR="001D1E8D" w:rsidRPr="00AA499E" w:rsidRDefault="001D1E8D">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og/eller</w:t>
            </w:r>
          </w:p>
          <w:p w14:paraId="3C4D7F46" w14:textId="77777777" w:rsidR="001D1E8D" w:rsidRPr="00AA499E" w:rsidRDefault="001D1E8D">
            <w:pPr>
              <w:autoSpaceDE w:val="0"/>
              <w:autoSpaceDN w:val="0"/>
              <w:adjustRightInd w:val="0"/>
              <w:spacing w:after="0" w:line="240" w:lineRule="auto"/>
              <w:rPr>
                <w:rFonts w:ascii="Times New Roman" w:hAnsi="Times New Roman"/>
                <w:vertAlign w:val="superscript"/>
                <w:lang w:val="da-DK"/>
              </w:rPr>
            </w:pPr>
            <w:r w:rsidRPr="00AA499E">
              <w:rPr>
                <w:rFonts w:ascii="Times New Roman" w:hAnsi="Times New Roman"/>
                <w:lang w:val="da-DK"/>
              </w:rPr>
              <w:t>trombocytter &lt;50 x 10</w:t>
            </w:r>
            <w:r w:rsidRPr="00AA499E">
              <w:rPr>
                <w:rFonts w:ascii="Times New Roman" w:hAnsi="Times New Roman"/>
                <w:vertAlign w:val="superscript"/>
                <w:lang w:val="da-DK"/>
              </w:rPr>
              <w:t>9</w:t>
            </w:r>
            <w:r w:rsidRPr="00AA499E">
              <w:rPr>
                <w:rFonts w:ascii="Times New Roman" w:hAnsi="Times New Roman"/>
                <w:lang w:val="da-DK"/>
              </w:rPr>
              <w:t>/l</w:t>
            </w:r>
          </w:p>
        </w:tc>
        <w:tc>
          <w:tcPr>
            <w:tcW w:w="4477" w:type="dxa"/>
            <w:tcBorders>
              <w:top w:val="single" w:sz="4" w:space="0" w:color="auto"/>
              <w:left w:val="single" w:sz="4" w:space="0" w:color="auto"/>
              <w:bottom w:val="single" w:sz="4" w:space="0" w:color="auto"/>
              <w:right w:val="single" w:sz="4" w:space="0" w:color="auto"/>
            </w:tcBorders>
            <w:hideMark/>
          </w:tcPr>
          <w:p w14:paraId="04186EA9" w14:textId="77777777" w:rsidR="001D1E8D" w:rsidRPr="00AA499E" w:rsidRDefault="001D1E8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Seponer imatinib indtil ANC ≥ 1.5 x 10</w:t>
            </w:r>
            <w:r w:rsidRPr="00AA499E">
              <w:rPr>
                <w:rFonts w:ascii="Times New Roman" w:hAnsi="Times New Roman"/>
                <w:vertAlign w:val="superscript"/>
                <w:lang w:val="da-DK"/>
              </w:rPr>
              <w:t>9</w:t>
            </w:r>
            <w:r w:rsidRPr="00AA499E">
              <w:rPr>
                <w:rFonts w:ascii="Times New Roman" w:hAnsi="Times New Roman"/>
                <w:lang w:val="da-DK"/>
              </w:rPr>
              <w:t>/l og trombocytter ≥ 75 x 10</w:t>
            </w:r>
            <w:r w:rsidRPr="00AA499E">
              <w:rPr>
                <w:rFonts w:ascii="Times New Roman" w:hAnsi="Times New Roman"/>
                <w:vertAlign w:val="superscript"/>
                <w:lang w:val="da-DK"/>
              </w:rPr>
              <w:t>9</w:t>
            </w:r>
            <w:r w:rsidRPr="00AA499E">
              <w:rPr>
                <w:rFonts w:ascii="Times New Roman" w:hAnsi="Times New Roman"/>
                <w:lang w:val="da-DK"/>
              </w:rPr>
              <w:t>/l.</w:t>
            </w:r>
          </w:p>
          <w:p w14:paraId="3859EEC9" w14:textId="77777777" w:rsidR="001D1E8D" w:rsidRPr="00AA499E" w:rsidRDefault="001D1E8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Genoptag behandlingen med imatinib 600 mg.</w:t>
            </w:r>
          </w:p>
          <w:p w14:paraId="6D2A60FF" w14:textId="77777777" w:rsidR="001D1E8D" w:rsidRPr="00AA499E" w:rsidRDefault="001D1E8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I tilfælde af tilbagevenden af ANC</w:t>
            </w:r>
          </w:p>
          <w:p w14:paraId="0DD7F786" w14:textId="77777777" w:rsidR="001D1E8D" w:rsidRPr="00AA499E" w:rsidRDefault="001D1E8D">
            <w:pPr>
              <w:autoSpaceDE w:val="0"/>
              <w:autoSpaceDN w:val="0"/>
              <w:adjustRightInd w:val="0"/>
              <w:spacing w:after="0" w:line="240" w:lineRule="auto"/>
              <w:ind w:left="567" w:firstLine="34"/>
              <w:rPr>
                <w:rFonts w:ascii="Times New Roman" w:hAnsi="Times New Roman"/>
                <w:lang w:val="da-DK"/>
              </w:rPr>
            </w:pPr>
            <w:r w:rsidRPr="00AA499E">
              <w:rPr>
                <w:rFonts w:ascii="Times New Roman" w:hAnsi="Times New Roman"/>
                <w:lang w:val="da-DK"/>
              </w:rPr>
              <w:t>&lt;1,0 x 10</w:t>
            </w:r>
            <w:r w:rsidRPr="00AA499E">
              <w:rPr>
                <w:rFonts w:ascii="Times New Roman" w:hAnsi="Times New Roman"/>
                <w:vertAlign w:val="superscript"/>
                <w:lang w:val="da-DK"/>
              </w:rPr>
              <w:t>9</w:t>
            </w:r>
            <w:r w:rsidRPr="00AA499E">
              <w:rPr>
                <w:rFonts w:ascii="Times New Roman" w:hAnsi="Times New Roman"/>
                <w:lang w:val="da-DK"/>
              </w:rPr>
              <w:t>/l og/eller trombocytter</w:t>
            </w:r>
          </w:p>
          <w:p w14:paraId="313F7DE9" w14:textId="77777777" w:rsidR="001D1E8D" w:rsidRPr="00AA499E" w:rsidRDefault="001D1E8D">
            <w:pPr>
              <w:autoSpaceDE w:val="0"/>
              <w:autoSpaceDN w:val="0"/>
              <w:adjustRightInd w:val="0"/>
              <w:spacing w:after="0" w:line="240" w:lineRule="auto"/>
              <w:ind w:left="567" w:firstLine="34"/>
              <w:rPr>
                <w:rFonts w:ascii="Times New Roman" w:hAnsi="Times New Roman"/>
                <w:lang w:val="da-DK"/>
              </w:rPr>
            </w:pPr>
            <w:r w:rsidRPr="00AA499E">
              <w:rPr>
                <w:rFonts w:ascii="Times New Roman" w:hAnsi="Times New Roman"/>
                <w:lang w:val="da-DK"/>
              </w:rPr>
              <w:t>&lt;50 x 10</w:t>
            </w:r>
            <w:r w:rsidRPr="00AA499E">
              <w:rPr>
                <w:rFonts w:ascii="Times New Roman" w:hAnsi="Times New Roman"/>
                <w:vertAlign w:val="superscript"/>
                <w:lang w:val="da-DK"/>
              </w:rPr>
              <w:t>9</w:t>
            </w:r>
            <w:r w:rsidRPr="00AA499E">
              <w:rPr>
                <w:rFonts w:ascii="Times New Roman" w:hAnsi="Times New Roman"/>
                <w:lang w:val="da-DK"/>
              </w:rPr>
              <w:t>/l, gentages trin 1 og imatinib reintroduceres med nedsat dosering på</w:t>
            </w:r>
          </w:p>
          <w:p w14:paraId="6BCE3041" w14:textId="77777777" w:rsidR="001D1E8D" w:rsidRPr="00AA499E" w:rsidRDefault="001D1E8D">
            <w:pPr>
              <w:autoSpaceDE w:val="0"/>
              <w:autoSpaceDN w:val="0"/>
              <w:adjustRightInd w:val="0"/>
              <w:spacing w:after="0" w:line="240" w:lineRule="auto"/>
              <w:ind w:left="567" w:firstLine="34"/>
              <w:rPr>
                <w:rFonts w:ascii="Times New Roman" w:hAnsi="Times New Roman"/>
                <w:lang w:val="da-DK"/>
              </w:rPr>
            </w:pPr>
            <w:r w:rsidRPr="00AA499E">
              <w:rPr>
                <w:rFonts w:ascii="Times New Roman" w:hAnsi="Times New Roman"/>
                <w:lang w:val="da-DK"/>
              </w:rPr>
              <w:t>400 mg.</w:t>
            </w:r>
          </w:p>
        </w:tc>
      </w:tr>
      <w:tr w:rsidR="006478AD" w:rsidRPr="00AA499E" w14:paraId="08F9DFA1" w14:textId="77777777" w:rsidTr="00063A26">
        <w:tc>
          <w:tcPr>
            <w:tcW w:w="9688" w:type="dxa"/>
            <w:gridSpan w:val="3"/>
          </w:tcPr>
          <w:p w14:paraId="7DFC1D42" w14:textId="77777777" w:rsidR="006478AD" w:rsidRPr="00AA499E" w:rsidRDefault="00616F3C">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ANC = fuldstændigt antal neutrofilocytter</w:t>
            </w:r>
          </w:p>
          <w:p w14:paraId="4BFB7665" w14:textId="77777777" w:rsidR="006478AD" w:rsidRPr="00AA499E" w:rsidRDefault="00616F3C">
            <w:pPr>
              <w:keepNext/>
              <w:autoSpaceDE w:val="0"/>
              <w:autoSpaceDN w:val="0"/>
              <w:adjustRightInd w:val="0"/>
              <w:spacing w:after="0" w:line="240" w:lineRule="auto"/>
              <w:rPr>
                <w:rFonts w:ascii="Times New Roman" w:hAnsi="Times New Roman"/>
                <w:lang w:val="da-DK"/>
              </w:rPr>
            </w:pPr>
            <w:r w:rsidRPr="00AA499E">
              <w:rPr>
                <w:rFonts w:ascii="Times New Roman" w:hAnsi="Times New Roman"/>
                <w:vertAlign w:val="superscript"/>
                <w:lang w:val="da-DK"/>
              </w:rPr>
              <w:t>a</w:t>
            </w:r>
            <w:r w:rsidRPr="00AA499E">
              <w:rPr>
                <w:rFonts w:ascii="Times New Roman" w:hAnsi="Times New Roman"/>
                <w:lang w:val="da-DK"/>
              </w:rPr>
              <w:t xml:space="preserve"> opstået efter mindst 1 måneds behandling</w:t>
            </w:r>
          </w:p>
        </w:tc>
      </w:tr>
    </w:tbl>
    <w:p w14:paraId="7504DC48" w14:textId="77777777" w:rsidR="006478AD" w:rsidRPr="00AA499E" w:rsidRDefault="006478AD">
      <w:pPr>
        <w:autoSpaceDE w:val="0"/>
        <w:autoSpaceDN w:val="0"/>
        <w:adjustRightInd w:val="0"/>
        <w:spacing w:after="0" w:line="240" w:lineRule="auto"/>
        <w:rPr>
          <w:rFonts w:ascii="Times New Roman" w:hAnsi="Times New Roman"/>
          <w:lang w:val="da-DK"/>
        </w:rPr>
      </w:pPr>
    </w:p>
    <w:p w14:paraId="5683AA38" w14:textId="77777777" w:rsidR="006478AD" w:rsidRPr="00AA499E" w:rsidRDefault="00616F3C">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Specielle populationer</w:t>
      </w:r>
    </w:p>
    <w:p w14:paraId="14260E1F" w14:textId="77777777" w:rsidR="00E46171" w:rsidRPr="00AA499E" w:rsidRDefault="00E46171">
      <w:pPr>
        <w:autoSpaceDE w:val="0"/>
        <w:autoSpaceDN w:val="0"/>
        <w:adjustRightInd w:val="0"/>
        <w:spacing w:after="0" w:line="240" w:lineRule="auto"/>
        <w:rPr>
          <w:rFonts w:ascii="Times New Roman" w:hAnsi="Times New Roman"/>
          <w:i/>
          <w:iCs/>
          <w:u w:val="single"/>
          <w:lang w:val="da-DK"/>
        </w:rPr>
      </w:pPr>
    </w:p>
    <w:p w14:paraId="12F884B2" w14:textId="77777777" w:rsidR="00D8731B" w:rsidRPr="00AA499E" w:rsidRDefault="00D8731B" w:rsidP="00D8731B">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Anvendelse til børn:</w:t>
      </w:r>
      <w:r w:rsidRPr="00AA499E">
        <w:rPr>
          <w:rFonts w:ascii="Times New Roman" w:hAnsi="Times New Roman"/>
          <w:lang w:val="da-DK"/>
        </w:rPr>
        <w:t xml:space="preserve"> Der er ingen erfaring med behandling af børn under 2 år med CML og børn under 1 år med Ph+ ALL (se pkt. 5.1).</w:t>
      </w:r>
      <w:r w:rsidRPr="00AA499E">
        <w:rPr>
          <w:rFonts w:ascii="Times New Roman" w:hAnsi="Times New Roman"/>
          <w:spacing w:val="-1"/>
          <w:lang w:val="da-DK" w:eastAsia="sv-SE"/>
        </w:rPr>
        <w:t xml:space="preserve"> </w:t>
      </w:r>
      <w:r w:rsidRPr="00AA499E">
        <w:rPr>
          <w:rFonts w:ascii="Times New Roman" w:hAnsi="Times New Roman"/>
          <w:lang w:val="da-DK"/>
        </w:rPr>
        <w:t>Der er meget begrænset erfaring hos børn med MDS/MPD,</w:t>
      </w:r>
      <w:r w:rsidRPr="00AA499E">
        <w:rPr>
          <w:rFonts w:ascii="Times New Roman" w:hAnsi="Times New Roman"/>
          <w:color w:val="000000"/>
          <w:lang w:val="da-DK" w:eastAsia="sv-SE"/>
        </w:rPr>
        <w:t xml:space="preserve"> </w:t>
      </w:r>
      <w:r w:rsidRPr="00AA499E">
        <w:rPr>
          <w:rFonts w:ascii="Times New Roman" w:hAnsi="Times New Roman"/>
          <w:lang w:val="da-DK"/>
        </w:rPr>
        <w:t>DFSP, og HES/CEL.</w:t>
      </w:r>
    </w:p>
    <w:p w14:paraId="63075470" w14:textId="77777777" w:rsidR="00D8731B" w:rsidRPr="00AA499E" w:rsidRDefault="00D8731B" w:rsidP="00D8731B">
      <w:pPr>
        <w:autoSpaceDE w:val="0"/>
        <w:autoSpaceDN w:val="0"/>
        <w:adjustRightInd w:val="0"/>
        <w:spacing w:after="0" w:line="240" w:lineRule="auto"/>
        <w:rPr>
          <w:rFonts w:ascii="Times New Roman" w:hAnsi="Times New Roman"/>
          <w:lang w:val="da-DK"/>
        </w:rPr>
      </w:pPr>
    </w:p>
    <w:p w14:paraId="2B3F3A3C" w14:textId="77777777" w:rsidR="00D8731B" w:rsidRPr="00AA499E" w:rsidRDefault="00D8731B" w:rsidP="00D8731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Imatinibs sikkerhed og virkning hos børn under 18 år med MDS/MPD, DFSP og HES/CEL er ikke klarlagt i kliniske studier. De foreliggende publicerede data er opsummeret i pkt. 5.1, men der kan ikke gives nogen anbefalinger vedrørende dosering.</w:t>
      </w:r>
    </w:p>
    <w:p w14:paraId="33A9D8B4" w14:textId="77777777" w:rsidR="001D1E8D" w:rsidRPr="00AA499E" w:rsidRDefault="001D1E8D">
      <w:pPr>
        <w:autoSpaceDE w:val="0"/>
        <w:autoSpaceDN w:val="0"/>
        <w:adjustRightInd w:val="0"/>
        <w:spacing w:after="0" w:line="240" w:lineRule="auto"/>
        <w:rPr>
          <w:rFonts w:ascii="Times New Roman" w:hAnsi="Times New Roman"/>
          <w:lang w:val="da-DK"/>
        </w:rPr>
      </w:pPr>
    </w:p>
    <w:p w14:paraId="15EB411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Leverinsufficiens:</w:t>
      </w:r>
      <w:r w:rsidRPr="00AA499E">
        <w:rPr>
          <w:rFonts w:ascii="Times New Roman" w:hAnsi="Times New Roman"/>
          <w:lang w:val="da-DK"/>
        </w:rPr>
        <w:t xml:space="preserve"> Imatinib metaboliseres primært i leveren. Patienter med mild, moderat eller svær nedsat leverfunktion bør gives den mindste anbefalede dosis på 400 mg daglig. Dosis kan reduceres ved intolerance (se pkt. 4.4, 4.8 og 5.2).</w:t>
      </w:r>
    </w:p>
    <w:p w14:paraId="7D2DD990" w14:textId="77777777" w:rsidR="006478AD" w:rsidRPr="00AA499E" w:rsidRDefault="006478AD">
      <w:pPr>
        <w:autoSpaceDE w:val="0"/>
        <w:autoSpaceDN w:val="0"/>
        <w:adjustRightInd w:val="0"/>
        <w:spacing w:after="0" w:line="240" w:lineRule="auto"/>
        <w:rPr>
          <w:rFonts w:ascii="Times New Roman" w:hAnsi="Times New Roman"/>
          <w:lang w:val="da-DK"/>
        </w:rPr>
      </w:pPr>
    </w:p>
    <w:p w14:paraId="630055F5" w14:textId="77777777" w:rsidR="006478AD" w:rsidRPr="00AA499E" w:rsidRDefault="00616F3C" w:rsidP="008370B1">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Klassificering af nedsat leverfunktion:</w:t>
      </w:r>
    </w:p>
    <w:p w14:paraId="1EEE8088" w14:textId="77777777" w:rsidR="006478AD" w:rsidRPr="00AA499E" w:rsidRDefault="006478AD" w:rsidP="008370B1">
      <w:pPr>
        <w:keepNext/>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2"/>
        <w:gridCol w:w="5244"/>
      </w:tblGrid>
      <w:tr w:rsidR="006478AD" w:rsidRPr="00AA499E" w14:paraId="353B9C90" w14:textId="77777777">
        <w:tc>
          <w:tcPr>
            <w:tcW w:w="4219" w:type="dxa"/>
          </w:tcPr>
          <w:p w14:paraId="3EC5A3CB" w14:textId="77777777" w:rsidR="006478AD" w:rsidRPr="00AA499E" w:rsidRDefault="00616F3C" w:rsidP="008370B1">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Nedsat leverfunktion</w:t>
            </w:r>
          </w:p>
        </w:tc>
        <w:tc>
          <w:tcPr>
            <w:tcW w:w="5327" w:type="dxa"/>
          </w:tcPr>
          <w:p w14:paraId="3F297A0A" w14:textId="77777777" w:rsidR="006478AD" w:rsidRPr="00AA499E" w:rsidRDefault="00616F3C" w:rsidP="008370B1">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Leverfunktionstest</w:t>
            </w:r>
          </w:p>
        </w:tc>
      </w:tr>
      <w:tr w:rsidR="006478AD" w:rsidRPr="00AA499E" w14:paraId="74A1910D" w14:textId="77777777">
        <w:tc>
          <w:tcPr>
            <w:tcW w:w="4219" w:type="dxa"/>
          </w:tcPr>
          <w:p w14:paraId="4AF20C5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Mild</w:t>
            </w:r>
          </w:p>
        </w:tc>
        <w:tc>
          <w:tcPr>
            <w:tcW w:w="5327" w:type="dxa"/>
          </w:tcPr>
          <w:p w14:paraId="42D133A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Total bilirubin: = 1,5 ULN</w:t>
            </w:r>
          </w:p>
          <w:p w14:paraId="6EB6C49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ASAT: &gt;ULN (kan være normal eller &lt;ULN hvis total bilirubin er &gt;ULN)</w:t>
            </w:r>
          </w:p>
        </w:tc>
      </w:tr>
      <w:tr w:rsidR="006478AD" w:rsidRPr="00AA499E" w14:paraId="03635B85" w14:textId="77777777">
        <w:tc>
          <w:tcPr>
            <w:tcW w:w="4219" w:type="dxa"/>
          </w:tcPr>
          <w:p w14:paraId="75468DA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Moderat</w:t>
            </w:r>
          </w:p>
        </w:tc>
        <w:tc>
          <w:tcPr>
            <w:tcW w:w="5327" w:type="dxa"/>
          </w:tcPr>
          <w:p w14:paraId="2EB4B86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Total bilirubin: &gt;1,5-3,0 ULN</w:t>
            </w:r>
            <w:r w:rsidRPr="00AA499E">
              <w:rPr>
                <w:rFonts w:ascii="Times New Roman" w:hAnsi="Times New Roman"/>
                <w:lang w:val="da-DK"/>
              </w:rPr>
              <w:noBreakHyphen/>
            </w:r>
          </w:p>
          <w:p w14:paraId="6613099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ASAT: alt</w:t>
            </w:r>
          </w:p>
        </w:tc>
      </w:tr>
      <w:tr w:rsidR="006478AD" w:rsidRPr="00AA499E" w14:paraId="681FA0AB" w14:textId="77777777">
        <w:tc>
          <w:tcPr>
            <w:tcW w:w="4219" w:type="dxa"/>
          </w:tcPr>
          <w:p w14:paraId="15BAAE3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Svær</w:t>
            </w:r>
          </w:p>
        </w:tc>
        <w:tc>
          <w:tcPr>
            <w:tcW w:w="5327" w:type="dxa"/>
          </w:tcPr>
          <w:p w14:paraId="35BB71D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Total bilirubin: &gt;310 ULN</w:t>
            </w:r>
            <w:r w:rsidRPr="00AA499E">
              <w:rPr>
                <w:rFonts w:ascii="Times New Roman" w:hAnsi="Times New Roman"/>
                <w:lang w:val="da-DK"/>
              </w:rPr>
              <w:noBreakHyphen/>
            </w:r>
          </w:p>
          <w:p w14:paraId="730A2AF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ASAT: alt</w:t>
            </w:r>
          </w:p>
        </w:tc>
      </w:tr>
    </w:tbl>
    <w:p w14:paraId="2063B709" w14:textId="77777777" w:rsidR="006478AD" w:rsidRPr="00AA499E" w:rsidRDefault="006478AD">
      <w:pPr>
        <w:autoSpaceDE w:val="0"/>
        <w:autoSpaceDN w:val="0"/>
        <w:adjustRightInd w:val="0"/>
        <w:spacing w:after="0" w:line="240" w:lineRule="auto"/>
        <w:rPr>
          <w:rFonts w:ascii="Times New Roman" w:hAnsi="Times New Roman"/>
          <w:lang w:val="da-DK"/>
        </w:rPr>
      </w:pPr>
    </w:p>
    <w:p w14:paraId="2C7191D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ULN = laboratoriets øvre normalgrænse</w:t>
      </w:r>
    </w:p>
    <w:p w14:paraId="1BF58A9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ASAT = aspartataminotransferase</w:t>
      </w:r>
    </w:p>
    <w:p w14:paraId="35D2FC14" w14:textId="77777777" w:rsidR="006478AD" w:rsidRPr="00AA499E" w:rsidRDefault="006478AD">
      <w:pPr>
        <w:autoSpaceDE w:val="0"/>
        <w:autoSpaceDN w:val="0"/>
        <w:adjustRightInd w:val="0"/>
        <w:spacing w:after="0" w:line="240" w:lineRule="auto"/>
        <w:rPr>
          <w:rFonts w:ascii="Times New Roman" w:hAnsi="Times New Roman"/>
          <w:lang w:val="da-DK"/>
        </w:rPr>
      </w:pPr>
    </w:p>
    <w:p w14:paraId="7A1D65B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lang w:val="da-DK"/>
        </w:rPr>
        <w:t>Renal insufficiency:</w:t>
      </w:r>
      <w:r w:rsidRPr="00AA499E">
        <w:rPr>
          <w:rFonts w:ascii="Times New Roman" w:hAnsi="Times New Roman"/>
          <w:lang w:val="da-DK"/>
        </w:rPr>
        <w:t xml:space="preserve"> Patienter med nedsat nyrefunktion </w:t>
      </w:r>
      <w:r w:rsidR="00C70D67" w:rsidRPr="00AA499E">
        <w:rPr>
          <w:rFonts w:ascii="Times New Roman" w:hAnsi="Times New Roman"/>
          <w:color w:val="000000"/>
          <w:lang w:val="da-DK"/>
        </w:rPr>
        <w:t xml:space="preserve">eller i dialyse </w:t>
      </w:r>
      <w:r w:rsidRPr="00AA499E">
        <w:rPr>
          <w:rFonts w:ascii="Times New Roman" w:hAnsi="Times New Roman"/>
          <w:lang w:val="da-DK"/>
        </w:rPr>
        <w:t xml:space="preserve">bør gives den mindste anbefalede dosis </w:t>
      </w:r>
      <w:r w:rsidR="00C70D67" w:rsidRPr="00AA499E">
        <w:rPr>
          <w:rFonts w:ascii="Times New Roman" w:hAnsi="Times New Roman"/>
          <w:lang w:val="da-DK"/>
        </w:rPr>
        <w:t xml:space="preserve">av 400 mg dagligt </w:t>
      </w:r>
      <w:r w:rsidRPr="00AA499E">
        <w:rPr>
          <w:rFonts w:ascii="Times New Roman" w:hAnsi="Times New Roman"/>
          <w:lang w:val="da-DK"/>
        </w:rPr>
        <w:t>som startdosis. Selv om der kun findes meget lidt information, kan patienter med svær nyreinsufficiens (kreatin-clearance = &lt; 20 ml/min) eller i dialyse også starte med samme dosis. Forsigtighed anbefales dog hos disse patienter. Dosis kan reduceres, hvis den ikke tolereres. Hvis dosis tolereres, kan den øges ved manglede effekt (se pkt. 4.4 og 5.2).</w:t>
      </w:r>
    </w:p>
    <w:p w14:paraId="54D38D72" w14:textId="77777777" w:rsidR="006478AD" w:rsidRPr="00AA499E" w:rsidRDefault="006478AD">
      <w:pPr>
        <w:autoSpaceDE w:val="0"/>
        <w:autoSpaceDN w:val="0"/>
        <w:adjustRightInd w:val="0"/>
        <w:spacing w:after="0" w:line="240" w:lineRule="auto"/>
        <w:rPr>
          <w:rFonts w:ascii="Times New Roman" w:hAnsi="Times New Roman"/>
          <w:lang w:val="da-DK"/>
        </w:rPr>
      </w:pPr>
    </w:p>
    <w:p w14:paraId="52E62D5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lang w:val="da-DK"/>
        </w:rPr>
        <w:t xml:space="preserve">Ældre </w:t>
      </w:r>
      <w:r w:rsidR="00203D86" w:rsidRPr="00AA499E">
        <w:rPr>
          <w:rFonts w:ascii="Times New Roman" w:hAnsi="Times New Roman"/>
          <w:i/>
          <w:lang w:val="da-DK"/>
        </w:rPr>
        <w:t>patienter</w:t>
      </w:r>
      <w:r w:rsidRPr="00AA499E">
        <w:rPr>
          <w:rFonts w:ascii="Times New Roman" w:hAnsi="Times New Roman"/>
          <w:lang w:val="da-DK"/>
        </w:rPr>
        <w:t>: Imatinibs farmakokinetik er ikke specifikt undersøgt hos ældre. Der er ikke set signifikante aldersrelaterede farmakokinetiske forskelle hos voksne patienter i kliniske afprøvninger, hvor mere end 20% patienter af de inkluderede patienter var over 65 år. Specifik dosisjustering er ikke nødvendig til ældre patienter.</w:t>
      </w:r>
    </w:p>
    <w:p w14:paraId="63668E7D" w14:textId="77777777" w:rsidR="006478AD" w:rsidRPr="00AA499E" w:rsidRDefault="006478AD">
      <w:pPr>
        <w:autoSpaceDE w:val="0"/>
        <w:autoSpaceDN w:val="0"/>
        <w:adjustRightInd w:val="0"/>
        <w:spacing w:after="0" w:line="240" w:lineRule="auto"/>
        <w:rPr>
          <w:rFonts w:ascii="Times New Roman" w:hAnsi="Times New Roman"/>
          <w:lang w:val="da-DK"/>
        </w:rPr>
      </w:pPr>
    </w:p>
    <w:p w14:paraId="70754579"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Administration</w:t>
      </w:r>
    </w:p>
    <w:p w14:paraId="5DF71AA8" w14:textId="77777777" w:rsidR="00FE4D1D" w:rsidRPr="00AA499E" w:rsidRDefault="00FE4D1D">
      <w:pPr>
        <w:autoSpaceDE w:val="0"/>
        <w:autoSpaceDN w:val="0"/>
        <w:adjustRightInd w:val="0"/>
        <w:spacing w:after="0" w:line="240" w:lineRule="auto"/>
        <w:rPr>
          <w:rFonts w:ascii="Times New Roman" w:hAnsi="Times New Roman"/>
          <w:lang w:val="da-DK"/>
        </w:rPr>
      </w:pPr>
    </w:p>
    <w:p w14:paraId="6BC687D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Til doser på 400 mg og derover (se anbefalede doser </w:t>
      </w:r>
      <w:r w:rsidR="004E1568" w:rsidRPr="00AA499E">
        <w:rPr>
          <w:rFonts w:ascii="Times New Roman" w:hAnsi="Times New Roman"/>
          <w:lang w:val="da-DK"/>
        </w:rPr>
        <w:t>ovenfor</w:t>
      </w:r>
      <w:r w:rsidRPr="00AA499E">
        <w:rPr>
          <w:rFonts w:ascii="Times New Roman" w:hAnsi="Times New Roman"/>
          <w:lang w:val="da-DK"/>
        </w:rPr>
        <w:t>) er en 400 mg tablet (ikke delelig) tilgængelig.</w:t>
      </w:r>
    </w:p>
    <w:p w14:paraId="3A56BAD2" w14:textId="77777777" w:rsidR="00347142" w:rsidRPr="00AA499E" w:rsidRDefault="0034714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Ved andre doser end 400 mg og 800 mg (se anbefalede doser nedenfor) er en 100 mg tablet med delekærv tilgængelig.</w:t>
      </w:r>
    </w:p>
    <w:p w14:paraId="2C49D13F" w14:textId="77777777" w:rsidR="00FE4D1D" w:rsidRPr="00AA499E" w:rsidRDefault="00FE4D1D">
      <w:pPr>
        <w:autoSpaceDE w:val="0"/>
        <w:autoSpaceDN w:val="0"/>
        <w:adjustRightInd w:val="0"/>
        <w:spacing w:after="0" w:line="240" w:lineRule="auto"/>
        <w:rPr>
          <w:rFonts w:ascii="Times New Roman" w:hAnsi="Times New Roman"/>
          <w:lang w:val="da-DK"/>
        </w:rPr>
      </w:pPr>
    </w:p>
    <w:p w14:paraId="26ED384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ordinerede dosis bør administreres oralt sammen med et måltid og et stort glas vand for at minimere risikoen for gastrointestinale irritationer. Doser på 400 mg og 600 mg bør administreres 1 gang daglig, mens daglige doser på 800 mg bør administreres som 400 mg 2 gange daglig, én dosis om morgnen og én dosis om aftenen. </w:t>
      </w:r>
    </w:p>
    <w:p w14:paraId="7593CB55" w14:textId="77777777" w:rsidR="006478AD" w:rsidRPr="00AA499E" w:rsidRDefault="006478AD">
      <w:pPr>
        <w:autoSpaceDE w:val="0"/>
        <w:autoSpaceDN w:val="0"/>
        <w:adjustRightInd w:val="0"/>
        <w:spacing w:after="0" w:line="240" w:lineRule="auto"/>
        <w:rPr>
          <w:rFonts w:ascii="Times New Roman" w:hAnsi="Times New Roman"/>
          <w:highlight w:val="lightGray"/>
          <w:lang w:val="da-DK"/>
        </w:rPr>
      </w:pPr>
    </w:p>
    <w:p w14:paraId="41EC852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Patienter, der ikke er i stand til at synke de filmovertrukne tabletter, kan dispergere tabletterne i et glas almindeligt vand eller æblejuice. Det nødvendige antal tabletter skal placeres i en drik af passende volumen (ca. 50 ml til en 100 mg tablet og 200 ml til en 400 mg tablet) og omrøres med en ske. Suspensionen skal administreres straks efter fuldstændig opløsning af tabletten/tabletterne.</w:t>
      </w:r>
    </w:p>
    <w:p w14:paraId="29BCD3A7" w14:textId="77777777" w:rsidR="006478AD" w:rsidRPr="00AA499E" w:rsidRDefault="006478AD">
      <w:pPr>
        <w:autoSpaceDE w:val="0"/>
        <w:autoSpaceDN w:val="0"/>
        <w:adjustRightInd w:val="0"/>
        <w:spacing w:after="0" w:line="240" w:lineRule="auto"/>
        <w:rPr>
          <w:rFonts w:ascii="Times New Roman" w:hAnsi="Times New Roman"/>
          <w:lang w:val="da-DK"/>
        </w:rPr>
      </w:pPr>
    </w:p>
    <w:p w14:paraId="4C10872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4.3</w:t>
      </w:r>
      <w:r w:rsidRPr="00AA499E">
        <w:rPr>
          <w:rFonts w:ascii="Times New Roman" w:hAnsi="Times New Roman"/>
          <w:b/>
          <w:bCs/>
          <w:lang w:val="da-DK"/>
        </w:rPr>
        <w:tab/>
        <w:t>Kontraindikationer</w:t>
      </w:r>
    </w:p>
    <w:p w14:paraId="311CF88C" w14:textId="77777777" w:rsidR="006478AD" w:rsidRPr="00AA499E" w:rsidRDefault="006478AD">
      <w:pPr>
        <w:autoSpaceDE w:val="0"/>
        <w:autoSpaceDN w:val="0"/>
        <w:adjustRightInd w:val="0"/>
        <w:spacing w:after="0" w:line="240" w:lineRule="auto"/>
        <w:rPr>
          <w:rFonts w:ascii="Times New Roman" w:hAnsi="Times New Roman"/>
          <w:lang w:val="da-DK"/>
        </w:rPr>
      </w:pPr>
    </w:p>
    <w:p w14:paraId="3F77DA7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Overfølsomhed over for det aktive stof eller over for et eller flere af hjælpestofferne anført i pkt. 6.1.</w:t>
      </w:r>
    </w:p>
    <w:p w14:paraId="7405E01F" w14:textId="77777777" w:rsidR="006478AD" w:rsidRPr="00AA499E" w:rsidRDefault="006478AD">
      <w:pPr>
        <w:autoSpaceDE w:val="0"/>
        <w:autoSpaceDN w:val="0"/>
        <w:adjustRightInd w:val="0"/>
        <w:spacing w:after="0" w:line="240" w:lineRule="auto"/>
        <w:rPr>
          <w:rFonts w:ascii="Times New Roman" w:hAnsi="Times New Roman"/>
          <w:lang w:val="da-DK"/>
        </w:rPr>
      </w:pPr>
    </w:p>
    <w:p w14:paraId="207408F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Overfølsomhed over for soya eller jordnødder.</w:t>
      </w:r>
    </w:p>
    <w:p w14:paraId="1E8991FA" w14:textId="77777777" w:rsidR="006478AD" w:rsidRPr="00AA499E" w:rsidRDefault="006478AD">
      <w:pPr>
        <w:autoSpaceDE w:val="0"/>
        <w:autoSpaceDN w:val="0"/>
        <w:adjustRightInd w:val="0"/>
        <w:spacing w:after="0" w:line="240" w:lineRule="auto"/>
        <w:rPr>
          <w:rFonts w:ascii="Times New Roman" w:hAnsi="Times New Roman"/>
          <w:lang w:val="da-DK"/>
        </w:rPr>
      </w:pPr>
    </w:p>
    <w:p w14:paraId="1EB1E2EA"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4.4</w:t>
      </w:r>
      <w:r w:rsidRPr="00AA499E">
        <w:rPr>
          <w:rFonts w:ascii="Times New Roman" w:hAnsi="Times New Roman"/>
          <w:b/>
          <w:bCs/>
          <w:lang w:val="da-DK"/>
        </w:rPr>
        <w:tab/>
        <w:t>Særlige advarsler og forsigtighedsregler vedrørende brugen</w:t>
      </w:r>
    </w:p>
    <w:p w14:paraId="295ADC3D" w14:textId="77777777" w:rsidR="006478AD" w:rsidRPr="00AA499E" w:rsidRDefault="006478AD" w:rsidP="008370B1">
      <w:pPr>
        <w:keepNext/>
        <w:autoSpaceDE w:val="0"/>
        <w:autoSpaceDN w:val="0"/>
        <w:adjustRightInd w:val="0"/>
        <w:spacing w:after="0" w:line="240" w:lineRule="auto"/>
        <w:rPr>
          <w:rFonts w:ascii="Times New Roman" w:hAnsi="Times New Roman"/>
          <w:lang w:val="da-DK"/>
        </w:rPr>
      </w:pPr>
    </w:p>
    <w:p w14:paraId="59AE98D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Når imatinib administreres sammen med andre lægemidler, er der risiko for lægemiddelinteraktioner. Der bør udvises forsigtighed, når imatinib tages sammen med </w:t>
      </w:r>
      <w:r w:rsidR="00C70D67" w:rsidRPr="00AA499E">
        <w:rPr>
          <w:rFonts w:ascii="Times New Roman" w:hAnsi="Times New Roman"/>
          <w:lang w:val="da-DK"/>
        </w:rPr>
        <w:t>proteas</w:t>
      </w:r>
      <w:r w:rsidRPr="00AA499E">
        <w:rPr>
          <w:rFonts w:ascii="Times New Roman" w:hAnsi="Times New Roman"/>
          <w:lang w:val="da-DK"/>
        </w:rPr>
        <w:t xml:space="preserve">inhibitorer, </w:t>
      </w:r>
      <w:r w:rsidR="00C70D67" w:rsidRPr="00AA499E">
        <w:rPr>
          <w:rFonts w:ascii="Times New Roman" w:hAnsi="Times New Roman"/>
          <w:color w:val="000000"/>
          <w:lang w:val="da-DK"/>
        </w:rPr>
        <w:t>azol-antimykotika, bestemte makrolider (se pkt.</w:t>
      </w:r>
      <w:r w:rsidR="00474977" w:rsidRPr="00AA499E">
        <w:rPr>
          <w:rFonts w:ascii="Times New Roman" w:hAnsi="Times New Roman"/>
          <w:color w:val="000000"/>
          <w:lang w:val="da-DK"/>
        </w:rPr>
        <w:t> </w:t>
      </w:r>
      <w:r w:rsidR="00C70D67" w:rsidRPr="00AA499E">
        <w:rPr>
          <w:rFonts w:ascii="Times New Roman" w:hAnsi="Times New Roman"/>
          <w:color w:val="000000"/>
          <w:lang w:val="da-DK"/>
        </w:rPr>
        <w:t xml:space="preserve">4.5), </w:t>
      </w:r>
      <w:r w:rsidRPr="00AA499E">
        <w:rPr>
          <w:rFonts w:ascii="Times New Roman" w:hAnsi="Times New Roman"/>
          <w:lang w:val="da-DK"/>
        </w:rPr>
        <w:t>CYP3A4 substrater med et snævert terapeutisk vindue (f.eks. ciclosporin, pimozid</w:t>
      </w:r>
      <w:r w:rsidR="00487812" w:rsidRPr="00AA499E">
        <w:rPr>
          <w:rFonts w:ascii="Times New Roman" w:hAnsi="Times New Roman"/>
          <w:lang w:val="da-DK"/>
        </w:rPr>
        <w:t xml:space="preserve">, </w:t>
      </w:r>
      <w:r w:rsidR="00487812" w:rsidRPr="00AA499E">
        <w:rPr>
          <w:rFonts w:ascii="Times New Roman" w:hAnsi="Times New Roman"/>
          <w:color w:val="000000"/>
          <w:lang w:val="da-DK"/>
        </w:rPr>
        <w:t xml:space="preserve">tacrolimus, sirolimus, ergotamin, diergotamin, fentanyl, alfentanil, terfenadin, bortezomib, docetaxel, quinidin) </w:t>
      </w:r>
      <w:r w:rsidRPr="00AA499E">
        <w:rPr>
          <w:rFonts w:ascii="Times New Roman" w:hAnsi="Times New Roman"/>
          <w:lang w:val="da-DK"/>
        </w:rPr>
        <w:t>eller warfarin og andre coumarin-derivater (se pkt. 4.5).</w:t>
      </w:r>
    </w:p>
    <w:p w14:paraId="1A2B26B0" w14:textId="77777777" w:rsidR="006478AD" w:rsidRPr="00AA499E" w:rsidRDefault="006478AD">
      <w:pPr>
        <w:autoSpaceDE w:val="0"/>
        <w:autoSpaceDN w:val="0"/>
        <w:adjustRightInd w:val="0"/>
        <w:spacing w:after="0" w:line="240" w:lineRule="auto"/>
        <w:rPr>
          <w:rFonts w:ascii="Times New Roman" w:hAnsi="Times New Roman"/>
          <w:lang w:val="da-DK"/>
        </w:rPr>
      </w:pPr>
    </w:p>
    <w:p w14:paraId="0477DD9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Samtidig anvendelse af imatinib og lægemidler, der inducerer CYP3A4 (f.eks. dexamethason, phenytoin, carbamazepin, rifampicin, phenobarbital eller </w:t>
      </w:r>
      <w:r w:rsidRPr="00AA499E">
        <w:rPr>
          <w:rFonts w:ascii="Times New Roman" w:hAnsi="Times New Roman"/>
          <w:i/>
          <w:iCs/>
          <w:lang w:val="da-DK"/>
        </w:rPr>
        <w:t>Hypericum perforatum</w:t>
      </w:r>
      <w:r w:rsidRPr="00AA499E">
        <w:rPr>
          <w:rFonts w:ascii="Times New Roman" w:hAnsi="Times New Roman"/>
          <w:lang w:val="da-DK"/>
        </w:rPr>
        <w:t>, også kendt som prikbladet perikum) kan signifikant reducere følsomheden over for imatinib, og dermed potentielt øge risikoen for terapeutisk svigt. Samtidig anvendelse af stærke CYP3A4 induktorer og imatinib bør derfor undgås (se pkt. 4.5).</w:t>
      </w:r>
    </w:p>
    <w:p w14:paraId="057CD7C7" w14:textId="77777777" w:rsidR="006478AD" w:rsidRPr="00AA499E" w:rsidRDefault="006478AD">
      <w:pPr>
        <w:autoSpaceDE w:val="0"/>
        <w:autoSpaceDN w:val="0"/>
        <w:adjustRightInd w:val="0"/>
        <w:spacing w:after="0" w:line="240" w:lineRule="auto"/>
        <w:rPr>
          <w:rFonts w:ascii="Times New Roman" w:hAnsi="Times New Roman"/>
          <w:lang w:val="da-DK"/>
        </w:rPr>
      </w:pPr>
    </w:p>
    <w:p w14:paraId="216EB2AE"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Hypotyroidisme</w:t>
      </w:r>
    </w:p>
    <w:p w14:paraId="2EC9785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Kliniske tilfælde af hypotyroidisme er rapporteret hos patienter, der har fået foretaget tyroidektomi, og som er i levothyroxin-erstatningsterapi samtidig med imatinib-behandling (se pkt. 4.5). Thyroid-stimulerende hormon (TSH)-niveauer bør følges nøje hos sådanne patienter.</w:t>
      </w:r>
    </w:p>
    <w:p w14:paraId="021A146C" w14:textId="77777777" w:rsidR="006478AD" w:rsidRPr="00AA499E" w:rsidRDefault="006478AD">
      <w:pPr>
        <w:autoSpaceDE w:val="0"/>
        <w:autoSpaceDN w:val="0"/>
        <w:adjustRightInd w:val="0"/>
        <w:spacing w:after="0" w:line="240" w:lineRule="auto"/>
        <w:rPr>
          <w:rFonts w:ascii="Times New Roman" w:hAnsi="Times New Roman"/>
          <w:lang w:val="da-DK"/>
        </w:rPr>
      </w:pPr>
    </w:p>
    <w:p w14:paraId="3D8E27E9"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Hepatotoksicitet</w:t>
      </w:r>
    </w:p>
    <w:p w14:paraId="119DE3B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metaboliseres primært i leveren, og kun 13 % udskilles via nyrerne. Hos patienter med nedsat leverfunktion (let, moderat eller svær) bør perifere blodtal og leverenzymer monitoreres omhyggeligt (se pkt. 4.2, 4.8 og 5.2).</w:t>
      </w:r>
      <w:r w:rsidR="00D8731B" w:rsidRPr="00AA499E">
        <w:rPr>
          <w:rFonts w:ascii="Times New Roman" w:eastAsia="Times New Roman" w:hAnsi="Times New Roman"/>
          <w:color w:val="000000"/>
          <w:lang w:val="da-DK"/>
        </w:rPr>
        <w:t xml:space="preserve"> </w:t>
      </w:r>
      <w:r w:rsidR="00D8731B" w:rsidRPr="00AA499E">
        <w:rPr>
          <w:rFonts w:ascii="Times New Roman" w:hAnsi="Times New Roman"/>
          <w:lang w:val="da-DK"/>
        </w:rPr>
        <w:t>Det bør bemærkes, at GIST-patienter kan have levermetastaser, hvilket kan medføre leverinsufficiens.</w:t>
      </w:r>
    </w:p>
    <w:p w14:paraId="71360506" w14:textId="77777777" w:rsidR="006478AD" w:rsidRPr="00AA499E" w:rsidRDefault="006478AD">
      <w:pPr>
        <w:autoSpaceDE w:val="0"/>
        <w:autoSpaceDN w:val="0"/>
        <w:adjustRightInd w:val="0"/>
        <w:spacing w:after="0" w:line="240" w:lineRule="auto"/>
        <w:rPr>
          <w:rFonts w:ascii="Times New Roman" w:hAnsi="Times New Roman"/>
          <w:lang w:val="da-DK"/>
        </w:rPr>
      </w:pPr>
    </w:p>
    <w:p w14:paraId="406BA8B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Tilfælde af leverskade, inklusive leversvigt og levernekrose er blevet observeret med imatinib. Når imatinib kombineres med højdosis kemoterapi, ses en øget forekomst af alvorlige leverreaktioner. Nøje monitoring af leverfunktionen skal udføres i tilfælde, hvor imatinib kombineres med kemoterapiregimer, som også vides at være forbundet med leverdysfunktion (se pkt. 4.5 og 4.8).</w:t>
      </w:r>
    </w:p>
    <w:p w14:paraId="7D3395B1" w14:textId="77777777" w:rsidR="006478AD" w:rsidRPr="00AA499E" w:rsidRDefault="006478AD">
      <w:pPr>
        <w:autoSpaceDE w:val="0"/>
        <w:autoSpaceDN w:val="0"/>
        <w:adjustRightInd w:val="0"/>
        <w:spacing w:after="0" w:line="240" w:lineRule="auto"/>
        <w:rPr>
          <w:rFonts w:ascii="Times New Roman" w:hAnsi="Times New Roman"/>
          <w:lang w:val="da-DK"/>
        </w:rPr>
      </w:pPr>
    </w:p>
    <w:p w14:paraId="3F02B01F"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Væskeretention</w:t>
      </w:r>
    </w:p>
    <w:p w14:paraId="652B62D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ca. 2,5 % af nyligt diagnosticerede CML-patienter i behandling med imatinib er der rapporteret tilfælde af svær væskeretention (pleuraeksudat, ødem, pulmonalt ødem,ascites, perifert ødem). Det anbefales derfor stærkt, at patienterne vejes jævnligt. Uventede, hurtige vægtstigninger bør undersøges nøje, og om nødvendigt bør understøttende terapi indledes, og relevante indgreb foretages. Der er i kliniske undersøgelser set øget incidens af disse hændelser hos ældre patienter og hos patienter med hjertesygdom i anamnesen. Der bør derfor udvises forsigtighed hos patienter med kardiel dysfunktion.</w:t>
      </w:r>
    </w:p>
    <w:p w14:paraId="4C7A9F53" w14:textId="77777777" w:rsidR="006478AD" w:rsidRPr="00AA499E" w:rsidRDefault="006478AD">
      <w:pPr>
        <w:autoSpaceDE w:val="0"/>
        <w:autoSpaceDN w:val="0"/>
        <w:adjustRightInd w:val="0"/>
        <w:spacing w:after="0" w:line="240" w:lineRule="auto"/>
        <w:rPr>
          <w:rFonts w:ascii="Times New Roman" w:hAnsi="Times New Roman"/>
          <w:lang w:val="da-DK"/>
        </w:rPr>
      </w:pPr>
    </w:p>
    <w:p w14:paraId="173F2439"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Patienter med hjertesygdom</w:t>
      </w:r>
    </w:p>
    <w:p w14:paraId="6C5D55D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Patienter med hjertesygdom, risikofaktorer for hjerteinsufficiens eller nyreinsufficiens i anamnesen skal monitoreres omhyggeligt, og alle patienter, som har symptomer forenelige med hjerte- eller nyreinsufficiens, bør undersøges og behandles.</w:t>
      </w:r>
    </w:p>
    <w:p w14:paraId="53B38069" w14:textId="77777777" w:rsidR="006478AD" w:rsidRPr="00AA499E" w:rsidRDefault="006478AD">
      <w:pPr>
        <w:autoSpaceDE w:val="0"/>
        <w:autoSpaceDN w:val="0"/>
        <w:adjustRightInd w:val="0"/>
        <w:spacing w:after="0" w:line="240" w:lineRule="auto"/>
        <w:rPr>
          <w:rFonts w:ascii="Times New Roman" w:hAnsi="Times New Roman"/>
          <w:lang w:val="da-DK"/>
        </w:rPr>
      </w:pPr>
    </w:p>
    <w:p w14:paraId="28520B7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patienter med hypereosinofilt syndrom (HES) med skjult infiltration af HES celler i myokardiet, har der været isolerede tilfælde af carcinogent chok/dysfunktion af venstre ventrikel forbundet med HES celledegranulering ved initiering af imatinibterapi. Tilstanden blev rapporteret som værende reversibel ved indgift af systemiske steroider, understøttelse af kredsløbet og midlertidigt stop af imatinib. Da der er rapporteret tilfælde af hjertebivirkninger med imatinib, bør der foretages en nøje benefit/risk-vurdering hos HES/CEL-populationen før påbegyndelse af behandling.</w:t>
      </w:r>
    </w:p>
    <w:p w14:paraId="6E8FC852" w14:textId="77777777" w:rsidR="006478AD" w:rsidRPr="00AA499E" w:rsidRDefault="006478AD">
      <w:pPr>
        <w:autoSpaceDE w:val="0"/>
        <w:autoSpaceDN w:val="0"/>
        <w:adjustRightInd w:val="0"/>
        <w:spacing w:after="0" w:line="240" w:lineRule="auto"/>
        <w:rPr>
          <w:rFonts w:ascii="Times New Roman" w:hAnsi="Times New Roman"/>
          <w:lang w:val="da-DK"/>
        </w:rPr>
      </w:pPr>
    </w:p>
    <w:p w14:paraId="1D04F30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Myelodysplastiske/myeloproliferative sygdomme med PDGFR-omlejring kan være forbundet med høje eosinofiltal. Undersøgelse hos en kardiolog, optagelse af ekkokardiogram og bestemmelse af serumtroponin bør derfor overvejes hos patienter med MDS/MPD, som har høje eosinofiltal, før der gives imatinib. Hvis en af disse undersøgelser viser abnormalitet, bør det overvejes at kombinere imatinib med profylaktisk brug af systemisk steroid (1-2 mg/kg) i en til to uger ved behandlingsstart.</w:t>
      </w:r>
      <w:r w:rsidRPr="00AA499E">
        <w:rPr>
          <w:rFonts w:ascii="Times New Roman" w:hAnsi="Times New Roman"/>
          <w:lang w:val="da-DK"/>
        </w:rPr>
        <w:noBreakHyphen/>
      </w:r>
      <w:r w:rsidRPr="00AA499E">
        <w:rPr>
          <w:rFonts w:ascii="Times New Roman" w:hAnsi="Times New Roman"/>
          <w:lang w:val="da-DK"/>
        </w:rPr>
        <w:noBreakHyphen/>
      </w:r>
    </w:p>
    <w:p w14:paraId="61ECAD35" w14:textId="77777777" w:rsidR="006478AD" w:rsidRPr="00AA499E" w:rsidRDefault="006478AD">
      <w:pPr>
        <w:autoSpaceDE w:val="0"/>
        <w:autoSpaceDN w:val="0"/>
        <w:adjustRightInd w:val="0"/>
        <w:spacing w:after="0" w:line="240" w:lineRule="auto"/>
        <w:rPr>
          <w:rFonts w:ascii="Times New Roman" w:hAnsi="Times New Roman"/>
          <w:lang w:val="da-DK"/>
        </w:rPr>
      </w:pPr>
    </w:p>
    <w:p w14:paraId="4FBDBDA5"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Gastrointestinal blødning</w:t>
      </w:r>
    </w:p>
    <w:p w14:paraId="3D21324A" w14:textId="77777777" w:rsidR="00D8731B" w:rsidRPr="00AA499E" w:rsidRDefault="00D8731B" w:rsidP="00D8731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undersøgelsen med patienter med inoperabel og/eller metastaserende GIST rapporteredes både gastrointestinale og intra-tumorale blødninger (se pkt. 4.8). Der er, baseret på tilgængelige data, ikke identificeret disponerende faktorer (for eksempel tumorstørrelse, tumorplacering, koagulationsforstyrrelser), der kan placere GIST-patienter i en højere risikogruppe for nogen af blødningstyperne. Da øget vaskularisering og blødningstendens er en del af det kliniske billede ved GIST, bør der hos alle patienter anvendes standardtiltag og -procedurer for monitorering og behandling af blødning.</w:t>
      </w:r>
    </w:p>
    <w:p w14:paraId="3D93286F" w14:textId="77777777" w:rsidR="00EA2B7C" w:rsidRPr="00AA499E" w:rsidRDefault="00D8731B" w:rsidP="00D8731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Derudover er der e</w:t>
      </w:r>
      <w:r w:rsidR="00EA2B7C" w:rsidRPr="00AA499E">
        <w:rPr>
          <w:rFonts w:ascii="Times New Roman" w:hAnsi="Times New Roman"/>
          <w:lang w:val="da-DK"/>
        </w:rPr>
        <w:t xml:space="preserve">fter markedsføring rapporteret </w:t>
      </w:r>
      <w:r w:rsidR="00EA2B7C" w:rsidRPr="00AA499E">
        <w:rPr>
          <w:rFonts w:ascii="Times New Roman" w:hAnsi="Times New Roman"/>
          <w:i/>
          <w:lang w:val="da-DK"/>
        </w:rPr>
        <w:t>gastric antral vascular ecstasia</w:t>
      </w:r>
      <w:r w:rsidR="00EA2B7C" w:rsidRPr="00AA499E">
        <w:rPr>
          <w:rFonts w:ascii="Times New Roman" w:hAnsi="Times New Roman"/>
          <w:lang w:val="da-DK"/>
        </w:rPr>
        <w:t xml:space="preserve"> (GAVE), en sjælden form for gastrointestinal blødning, hos patienter med CML, ALL og andre sygdomme (se pkt. 4.8). Om nødvendigt kan det overvejes at ophøre med imatinib-behandling.</w:t>
      </w:r>
    </w:p>
    <w:p w14:paraId="51830536" w14:textId="77777777" w:rsidR="00EA2B7C" w:rsidRPr="00AA499E" w:rsidRDefault="00EA2B7C">
      <w:pPr>
        <w:autoSpaceDE w:val="0"/>
        <w:autoSpaceDN w:val="0"/>
        <w:adjustRightInd w:val="0"/>
        <w:spacing w:after="0" w:line="240" w:lineRule="auto"/>
        <w:rPr>
          <w:rFonts w:ascii="Times New Roman" w:hAnsi="Times New Roman"/>
          <w:lang w:val="da-DK"/>
        </w:rPr>
      </w:pPr>
    </w:p>
    <w:p w14:paraId="2A6BCF1F"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Tumorlysesyndrom</w:t>
      </w:r>
    </w:p>
    <w:p w14:paraId="04F59E5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På grund af den mulige forekomst af tumorlysesyndrom (TLS) anbefales korrektion af klinisk signifikant dehydrering og behandling af forhøjede urinsyreniveauer før påbegyndelse af behandling med imatinib (se pkt. 4.8).</w:t>
      </w:r>
    </w:p>
    <w:p w14:paraId="5DC78342" w14:textId="77777777" w:rsidR="00017EA4" w:rsidRPr="00AA499E" w:rsidRDefault="00017EA4" w:rsidP="00017EA4">
      <w:pPr>
        <w:autoSpaceDE w:val="0"/>
        <w:autoSpaceDN w:val="0"/>
        <w:adjustRightInd w:val="0"/>
        <w:spacing w:after="0" w:line="240" w:lineRule="auto"/>
        <w:rPr>
          <w:rFonts w:ascii="Times New Roman" w:hAnsi="Times New Roman"/>
          <w:lang w:val="da-DK"/>
        </w:rPr>
      </w:pPr>
    </w:p>
    <w:p w14:paraId="4A036227" w14:textId="77777777" w:rsidR="00017EA4" w:rsidRPr="00AA499E" w:rsidRDefault="00017EA4" w:rsidP="00017EA4">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Reaktivering af hepatitis B</w:t>
      </w:r>
    </w:p>
    <w:p w14:paraId="7ED95093" w14:textId="77777777" w:rsidR="00017EA4" w:rsidRPr="00AA499E" w:rsidRDefault="00017EA4" w:rsidP="00017EA4">
      <w:pPr>
        <w:autoSpaceDE w:val="0"/>
        <w:autoSpaceDN w:val="0"/>
        <w:adjustRightInd w:val="0"/>
        <w:spacing w:after="0" w:line="240" w:lineRule="auto"/>
        <w:rPr>
          <w:rFonts w:ascii="Times New Roman" w:hAnsi="Times New Roman"/>
          <w:lang w:val="da-DK"/>
        </w:rPr>
      </w:pPr>
    </w:p>
    <w:p w14:paraId="71F51282" w14:textId="77777777" w:rsidR="00017EA4" w:rsidRPr="00AA499E" w:rsidRDefault="00017EA4" w:rsidP="00017EA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Reaktivering af hepatitis B er forekommet hos kroniske bærere af hepatitis B-virus (HBV), efter at patienten har fået en BCR-ABL-tyrosinkinasehæmmer. I nogle tilfælde har dette medført akut leversvigt eller fulminant hepatitis, førende til levertransplantation eller død.</w:t>
      </w:r>
    </w:p>
    <w:p w14:paraId="61D3EFD9" w14:textId="77777777" w:rsidR="00017EA4" w:rsidRPr="00AA499E" w:rsidRDefault="00017EA4" w:rsidP="00017EA4">
      <w:pPr>
        <w:autoSpaceDE w:val="0"/>
        <w:autoSpaceDN w:val="0"/>
        <w:adjustRightInd w:val="0"/>
        <w:spacing w:after="0" w:line="240" w:lineRule="auto"/>
        <w:rPr>
          <w:rFonts w:ascii="Times New Roman" w:hAnsi="Times New Roman"/>
          <w:lang w:val="da-DK"/>
        </w:rPr>
      </w:pPr>
    </w:p>
    <w:p w14:paraId="1AA543F5" w14:textId="77777777" w:rsidR="00017EA4" w:rsidRPr="00AA499E" w:rsidRDefault="00017EA4" w:rsidP="00017EA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Patienten bør testes for HBV-infektion før initiering af behandling med (</w:t>
      </w:r>
      <w:r w:rsidR="002A7A45" w:rsidRPr="00AA499E">
        <w:rPr>
          <w:rFonts w:ascii="Times New Roman" w:hAnsi="Times New Roman"/>
          <w:lang w:val="da-DK"/>
        </w:rPr>
        <w:t>Imatinib Actavis</w:t>
      </w:r>
      <w:r w:rsidRPr="00AA499E">
        <w:rPr>
          <w:rFonts w:ascii="Times New Roman" w:hAnsi="Times New Roman"/>
          <w:lang w:val="da-DK"/>
        </w:rPr>
        <w:t>). En specialist i leversygdomme og i behandling af hepatitis B skal konsulteres, før behandling initieres hos patienter med positiv hepatitis B-serologi (herunder patienter med aktiv sygdom), og hvis patienten testes HBV-positiv under behandlingen. Bærere af HBV, hvor behandling med (</w:t>
      </w:r>
      <w:r w:rsidR="002A7A45" w:rsidRPr="00AA499E">
        <w:rPr>
          <w:rFonts w:ascii="Times New Roman" w:hAnsi="Times New Roman"/>
          <w:lang w:val="da-DK"/>
        </w:rPr>
        <w:t>Imatinib Actavis</w:t>
      </w:r>
      <w:r w:rsidRPr="00AA499E">
        <w:rPr>
          <w:rFonts w:ascii="Times New Roman" w:hAnsi="Times New Roman"/>
          <w:lang w:val="da-DK"/>
        </w:rPr>
        <w:t>) er nødvendig, skal overvåges tæt for tegn og symptomer på aktiv HBV-infektion i hele behandlingsperioden og i flere måneder efter behandlingsophør (se pkt. 4.8).</w:t>
      </w:r>
    </w:p>
    <w:p w14:paraId="512CC59A" w14:textId="77777777" w:rsidR="00D8731B" w:rsidRPr="00AA499E" w:rsidRDefault="00D8731B" w:rsidP="00D8731B">
      <w:pPr>
        <w:autoSpaceDE w:val="0"/>
        <w:autoSpaceDN w:val="0"/>
        <w:adjustRightInd w:val="0"/>
        <w:spacing w:after="0" w:line="240" w:lineRule="auto"/>
        <w:rPr>
          <w:rFonts w:ascii="Times New Roman" w:hAnsi="Times New Roman"/>
          <w:u w:val="single"/>
          <w:lang w:val="da-DK"/>
        </w:rPr>
      </w:pPr>
    </w:p>
    <w:p w14:paraId="3DA5763E" w14:textId="77777777" w:rsidR="00D8731B" w:rsidRPr="00AA499E" w:rsidRDefault="00D8731B" w:rsidP="00D8731B">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Fototoksicitet</w:t>
      </w:r>
    </w:p>
    <w:p w14:paraId="0FB60570" w14:textId="77777777" w:rsidR="00D8731B" w:rsidRPr="00AA499E" w:rsidRDefault="00D8731B" w:rsidP="00D8731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Eksponering for direkte sollys bør undgås eller minimeres på grund af risikoen for fototoksicitet, der er forbundet med behandling med imatinib. Patienter bør instrueres i at tage forholdsregler såsom at bære beskyttende tøj eller bruge solcreme med en høj solbeskyttelsesfaktor (SPF).</w:t>
      </w:r>
    </w:p>
    <w:p w14:paraId="54FB5627" w14:textId="77777777" w:rsidR="0017077B" w:rsidRPr="00AA499E" w:rsidRDefault="0017077B" w:rsidP="0017077B">
      <w:pPr>
        <w:autoSpaceDE w:val="0"/>
        <w:autoSpaceDN w:val="0"/>
        <w:adjustRightInd w:val="0"/>
        <w:spacing w:after="0" w:line="240" w:lineRule="auto"/>
        <w:rPr>
          <w:rFonts w:ascii="Times New Roman" w:hAnsi="Times New Roman"/>
          <w:lang w:val="da-DK"/>
        </w:rPr>
      </w:pPr>
    </w:p>
    <w:p w14:paraId="49250669" w14:textId="77777777" w:rsidR="0017077B" w:rsidRPr="00AA499E" w:rsidRDefault="0017077B" w:rsidP="0017077B">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Trombotisk mikroangiopati</w:t>
      </w:r>
    </w:p>
    <w:p w14:paraId="2C73C7BB" w14:textId="77777777" w:rsidR="0017077B" w:rsidRPr="00AA499E" w:rsidRDefault="0017077B" w:rsidP="0017077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BCR-ABL-tyrosinkinasehæmmere (TKI’er) er blevet associeret med trombotisk mikroangiopati (TMA), herunder enkeltstående rapporter for Imatinib Actavis (se pkt. 4.8). Hvis laboratorie- eller kliniske fund associeret med TMA forekommer hos en patient, som er i behandling med Imatinib Actavis, skal behandlingen seponeres og der skal foretages en grundig undersøgelse for TMA, inklusiv ADAMTS13-aktivitet og anti-ADAMTS13-antistofbestemmelse. Hvis niveauet af ADAMTS13-antistoffer er forøget samtidig med lav ADAMTS13-aktivitet, må behandlingen med Imatinib Actavis ikke genoptages.</w:t>
      </w:r>
    </w:p>
    <w:p w14:paraId="70C225C0" w14:textId="77777777" w:rsidR="006478AD" w:rsidRPr="00AA499E" w:rsidRDefault="006478AD">
      <w:pPr>
        <w:autoSpaceDE w:val="0"/>
        <w:autoSpaceDN w:val="0"/>
        <w:adjustRightInd w:val="0"/>
        <w:spacing w:after="0" w:line="240" w:lineRule="auto"/>
        <w:rPr>
          <w:rFonts w:ascii="Times New Roman" w:hAnsi="Times New Roman"/>
          <w:lang w:val="da-DK"/>
        </w:rPr>
      </w:pPr>
    </w:p>
    <w:p w14:paraId="632F2844"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Laboratorieundersøgelser</w:t>
      </w:r>
    </w:p>
    <w:p w14:paraId="232899B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Fuldstændige blodtællinger skal foretages jævnligt under behandling med imatinib. Behandling af CML-patienter med imatinib har været associeret med neutropeni eller trombocytopeni. Disse cytopenier opstår imidlertid sandsynligvis relateret til det sygdomsstadie, der behandles, og er hyppigere hos patienter med CML i accelereret fase eller blastkrise end hos patienter med CML i kronisk fase. Behandling med imatinib kan seponeres eller dosis kan reduceres, som anbefalet i pkt. 4.2.</w:t>
      </w:r>
    </w:p>
    <w:p w14:paraId="679EA3C0" w14:textId="77777777" w:rsidR="006478AD" w:rsidRPr="00AA499E" w:rsidRDefault="006478AD">
      <w:pPr>
        <w:autoSpaceDE w:val="0"/>
        <w:autoSpaceDN w:val="0"/>
        <w:adjustRightInd w:val="0"/>
        <w:spacing w:after="0" w:line="240" w:lineRule="auto"/>
        <w:rPr>
          <w:rFonts w:ascii="Times New Roman" w:hAnsi="Times New Roman"/>
          <w:lang w:val="da-DK"/>
        </w:rPr>
      </w:pPr>
    </w:p>
    <w:p w14:paraId="4BFCF08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Leverfunktionen (transaminaser, bilirubin og alkalisk fosfatase) bør monitoreres jævnligt hos patienter i imatinib-behandling.</w:t>
      </w:r>
    </w:p>
    <w:p w14:paraId="41A3C3C8" w14:textId="77777777" w:rsidR="006478AD" w:rsidRPr="00AA499E" w:rsidRDefault="006478AD">
      <w:pPr>
        <w:autoSpaceDE w:val="0"/>
        <w:autoSpaceDN w:val="0"/>
        <w:adjustRightInd w:val="0"/>
        <w:spacing w:after="0" w:line="240" w:lineRule="auto"/>
        <w:rPr>
          <w:rFonts w:ascii="Times New Roman" w:hAnsi="Times New Roman"/>
          <w:lang w:val="da-DK"/>
        </w:rPr>
      </w:pPr>
    </w:p>
    <w:p w14:paraId="429AA29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Plasmaeksponeringen synes at være højere hos patienter med nedsat nyrefunktion end hos patienter med normal nyrefunktion, formentlig på grund af forhøjede plasmaniveauer af alpha-acid glucoprotein (AGP), et imatinib-bindende protein, hos disse patienter. Der bør anvendes mindste startdosis til patienter med nedsat nyrefunktion. Der bør udvises forsigtighed ved behandling af patienter med svært nedsat nyrefunktion. Startdoseringen af imatinib kan reduceres, hvis den ikke tolereres (se pkt. 4.2 og 5.2).</w:t>
      </w:r>
    </w:p>
    <w:p w14:paraId="415CCAB5" w14:textId="77777777" w:rsidR="006478AD" w:rsidRPr="00AA499E" w:rsidRDefault="006478AD">
      <w:pPr>
        <w:autoSpaceDE w:val="0"/>
        <w:autoSpaceDN w:val="0"/>
        <w:adjustRightInd w:val="0"/>
        <w:spacing w:after="0" w:line="240" w:lineRule="auto"/>
        <w:rPr>
          <w:rFonts w:ascii="Times New Roman" w:hAnsi="Times New Roman"/>
          <w:lang w:val="da-DK"/>
        </w:rPr>
      </w:pPr>
    </w:p>
    <w:p w14:paraId="1FD956A6" w14:textId="77777777" w:rsidR="00EA2B7C" w:rsidRPr="00AA499E" w:rsidRDefault="00EA2B7C" w:rsidP="00EA2B7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Langtidsbehandling med imatinib kan være forbundet med en klinisk signifikant nedsættelse af nyrefunktionen. Nyrefunktionen bør derfor vurderes før behandlingsstart med imatinib og monitoreres omhyggeligt under behandlingen med særligt fokus på patienter, der har risikofaktorer for nedsat nyrefunktion. Hvis nedsat nyrefunktion observeres, skal passende håndtering og behandling i overensstemmelse med standard behandlingsguidelines iværksættes.</w:t>
      </w:r>
    </w:p>
    <w:p w14:paraId="6FDDF06C" w14:textId="77777777" w:rsidR="004D4F8D" w:rsidRPr="00AA499E" w:rsidRDefault="004D4F8D">
      <w:pPr>
        <w:autoSpaceDE w:val="0"/>
        <w:autoSpaceDN w:val="0"/>
        <w:adjustRightInd w:val="0"/>
        <w:spacing w:after="0" w:line="240" w:lineRule="auto"/>
        <w:rPr>
          <w:rFonts w:ascii="Times New Roman" w:hAnsi="Times New Roman"/>
          <w:lang w:val="da-DK"/>
        </w:rPr>
      </w:pPr>
    </w:p>
    <w:p w14:paraId="305D626F" w14:textId="77777777" w:rsidR="006478AD" w:rsidRPr="00AA499E" w:rsidRDefault="00616F3C">
      <w:pPr>
        <w:widowControl w:val="0"/>
        <w:autoSpaceDE w:val="0"/>
        <w:autoSpaceDN w:val="0"/>
        <w:adjustRightInd w:val="0"/>
        <w:spacing w:after="0" w:line="240" w:lineRule="auto"/>
        <w:ind w:right="-20"/>
        <w:rPr>
          <w:rFonts w:ascii="Times New Roman" w:hAnsi="Times New Roman"/>
          <w:lang w:val="da-DK"/>
        </w:rPr>
      </w:pPr>
      <w:r w:rsidRPr="00AA499E">
        <w:rPr>
          <w:rFonts w:ascii="Times New Roman" w:hAnsi="Times New Roman"/>
          <w:u w:val="single"/>
          <w:lang w:val="da-DK"/>
        </w:rPr>
        <w:t>Pædiatrisk population</w:t>
      </w:r>
    </w:p>
    <w:p w14:paraId="0996184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Der har været case-rapporter med væksthæmning hos børn og præ-teenagere, der fik imatinib. </w:t>
      </w:r>
      <w:r w:rsidR="007376D1" w:rsidRPr="00AA499E">
        <w:rPr>
          <w:rFonts w:ascii="Times New Roman" w:hAnsi="Times New Roman"/>
          <w:color w:val="000000"/>
          <w:lang w:val="da-DK"/>
        </w:rPr>
        <w:t>I et observationsstudie i den pædiatriske population med CML blev der rapporteret et statistisk signifikant fald (men med usikker klinisk relevans) i resultaterne for standardafvigelse af medianhøjde efter 12 og 24 måneders behandling i to små undergrupper, uanset pubertetsstatus og køn. Hos børn, der er i behandling med imatinib, anbefales tæt monitorering af væksten (se pkt. 4.8).</w:t>
      </w:r>
    </w:p>
    <w:p w14:paraId="5E2D974F" w14:textId="77777777" w:rsidR="006478AD" w:rsidRPr="00AA499E" w:rsidRDefault="006478AD">
      <w:pPr>
        <w:autoSpaceDE w:val="0"/>
        <w:autoSpaceDN w:val="0"/>
        <w:adjustRightInd w:val="0"/>
        <w:spacing w:after="0" w:line="240" w:lineRule="auto"/>
        <w:rPr>
          <w:rFonts w:ascii="Times New Roman" w:hAnsi="Times New Roman"/>
          <w:u w:val="single"/>
          <w:lang w:val="da-DK"/>
        </w:rPr>
      </w:pPr>
    </w:p>
    <w:p w14:paraId="16128ACB" w14:textId="77777777" w:rsidR="00487812" w:rsidRPr="00AA499E" w:rsidRDefault="0048781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Hjelpestoffer</w:t>
      </w:r>
    </w:p>
    <w:p w14:paraId="60634019" w14:textId="77777777" w:rsidR="00EC450E" w:rsidRPr="00AA499E" w:rsidRDefault="00EC450E">
      <w:pPr>
        <w:autoSpaceDE w:val="0"/>
        <w:autoSpaceDN w:val="0"/>
        <w:adjustRightInd w:val="0"/>
        <w:spacing w:after="0" w:line="240" w:lineRule="auto"/>
        <w:rPr>
          <w:rFonts w:ascii="Times New Roman" w:hAnsi="Times New Roman"/>
          <w:lang w:val="da-DK"/>
        </w:rPr>
      </w:pPr>
    </w:p>
    <w:p w14:paraId="5A9EDB51" w14:textId="77777777" w:rsidR="00EC450E" w:rsidRPr="00AA499E" w:rsidRDefault="00EC450E">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Lecithin (soya)</w:t>
      </w:r>
    </w:p>
    <w:p w14:paraId="1B50A345"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lang w:val="da-DK"/>
        </w:rPr>
        <w:t>Dette lægemiddel indeholder lecithin</w:t>
      </w:r>
      <w:r w:rsidR="00487812" w:rsidRPr="00AA499E">
        <w:rPr>
          <w:rFonts w:ascii="Times New Roman" w:hAnsi="Times New Roman"/>
          <w:lang w:val="da-DK"/>
        </w:rPr>
        <w:t xml:space="preserve"> (soya)</w:t>
      </w:r>
      <w:r w:rsidRPr="00AA499E">
        <w:rPr>
          <w:rFonts w:ascii="Times New Roman" w:hAnsi="Times New Roman"/>
          <w:lang w:val="da-DK"/>
        </w:rPr>
        <w:t>. Patienter, der er allergiske over for jordnødder eller soya, må ikke tage dette lægemiddel.</w:t>
      </w:r>
    </w:p>
    <w:p w14:paraId="7F9456AB" w14:textId="77777777" w:rsidR="00EC450E" w:rsidRPr="00AA499E" w:rsidRDefault="00EC450E" w:rsidP="00EC450E">
      <w:pPr>
        <w:autoSpaceDE w:val="0"/>
        <w:autoSpaceDN w:val="0"/>
        <w:adjustRightInd w:val="0"/>
        <w:spacing w:after="0" w:line="240" w:lineRule="auto"/>
        <w:rPr>
          <w:rFonts w:ascii="Times New Roman" w:hAnsi="Times New Roman"/>
          <w:i/>
          <w:lang w:val="da-DK"/>
        </w:rPr>
      </w:pPr>
    </w:p>
    <w:p w14:paraId="78CDDEB2" w14:textId="77777777" w:rsidR="00EC450E" w:rsidRPr="00AA499E" w:rsidRDefault="00EC450E" w:rsidP="00EC450E">
      <w:pPr>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Natrium</w:t>
      </w:r>
    </w:p>
    <w:p w14:paraId="0CE5472E" w14:textId="77777777" w:rsidR="00EC450E" w:rsidRPr="00AA499E" w:rsidRDefault="00EC450E" w:rsidP="00EC450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Dette lægemiddel indeholder mindre end 1 mmol (23 mg) natrium pr. filmovertrukket tab</w:t>
      </w:r>
      <w:r w:rsidR="004B4557" w:rsidRPr="00AA499E">
        <w:rPr>
          <w:rFonts w:ascii="Times New Roman" w:hAnsi="Times New Roman"/>
          <w:lang w:val="da-DK"/>
        </w:rPr>
        <w:t>le</w:t>
      </w:r>
      <w:r w:rsidRPr="00AA499E">
        <w:rPr>
          <w:rFonts w:ascii="Times New Roman" w:hAnsi="Times New Roman"/>
          <w:lang w:val="da-DK"/>
        </w:rPr>
        <w:t>t, dvs. det er i det væsentlige natrium-frit.</w:t>
      </w:r>
    </w:p>
    <w:p w14:paraId="52E87492" w14:textId="77777777" w:rsidR="006478AD" w:rsidRPr="00AA499E" w:rsidRDefault="006478AD">
      <w:pPr>
        <w:autoSpaceDE w:val="0"/>
        <w:autoSpaceDN w:val="0"/>
        <w:adjustRightInd w:val="0"/>
        <w:spacing w:after="0" w:line="240" w:lineRule="auto"/>
        <w:rPr>
          <w:rFonts w:ascii="Times New Roman" w:hAnsi="Times New Roman"/>
          <w:lang w:val="da-DK"/>
        </w:rPr>
      </w:pPr>
    </w:p>
    <w:p w14:paraId="3ACCDC1B"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4.5</w:t>
      </w:r>
      <w:r w:rsidRPr="00AA499E">
        <w:rPr>
          <w:rFonts w:ascii="Times New Roman" w:hAnsi="Times New Roman"/>
          <w:b/>
          <w:bCs/>
          <w:lang w:val="da-DK"/>
        </w:rPr>
        <w:tab/>
        <w:t>Interaktion med andre lægemidler og andre former for interaktion</w:t>
      </w:r>
    </w:p>
    <w:p w14:paraId="6024D432" w14:textId="77777777" w:rsidR="006478AD" w:rsidRPr="00AA499E" w:rsidRDefault="006478AD">
      <w:pPr>
        <w:autoSpaceDE w:val="0"/>
        <w:autoSpaceDN w:val="0"/>
        <w:adjustRightInd w:val="0"/>
        <w:spacing w:after="0" w:line="240" w:lineRule="auto"/>
        <w:rPr>
          <w:rFonts w:ascii="Times New Roman" w:hAnsi="Times New Roman"/>
          <w:lang w:val="da-DK"/>
        </w:rPr>
      </w:pPr>
    </w:p>
    <w:p w14:paraId="7FED5A93"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Aktive stoffer der kan </w:t>
      </w:r>
      <w:r w:rsidRPr="00AA499E">
        <w:rPr>
          <w:rFonts w:ascii="Times New Roman" w:hAnsi="Times New Roman"/>
          <w:b/>
          <w:bCs/>
          <w:u w:val="single"/>
          <w:lang w:val="da-DK"/>
        </w:rPr>
        <w:t xml:space="preserve">øge </w:t>
      </w:r>
      <w:r w:rsidRPr="00AA499E">
        <w:rPr>
          <w:rFonts w:ascii="Times New Roman" w:hAnsi="Times New Roman"/>
          <w:u w:val="single"/>
          <w:lang w:val="da-DK"/>
        </w:rPr>
        <w:t>plasmakoncentrationen af imatinib:</w:t>
      </w:r>
    </w:p>
    <w:p w14:paraId="4FB8C67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Stoffer der hæmmer cytochrom P450 isoenzym CYP3A4-aktivitet (f.eks.</w:t>
      </w:r>
      <w:r w:rsidR="00487812" w:rsidRPr="00AA499E">
        <w:rPr>
          <w:rFonts w:ascii="Times New Roman" w:hAnsi="Times New Roman"/>
          <w:color w:val="000000"/>
          <w:lang w:val="da-DK"/>
        </w:rPr>
        <w:t xml:space="preserve"> proteasehæmmere som f.eks. indinavir, lopinavir/ritonavir, ritonavir, saquinavir, teleprevir, nelfinavir, boceprevir; azol-antimykotika inklusiv</w:t>
      </w:r>
      <w:r w:rsidRPr="00AA499E">
        <w:rPr>
          <w:rFonts w:ascii="Times New Roman" w:hAnsi="Times New Roman"/>
          <w:lang w:val="da-DK"/>
        </w:rPr>
        <w:t xml:space="preserve"> ketoconazol, itraconazol,</w:t>
      </w:r>
      <w:r w:rsidR="00487812" w:rsidRPr="00AA499E">
        <w:rPr>
          <w:rFonts w:ascii="Times New Roman" w:hAnsi="Times New Roman"/>
          <w:lang w:val="da-DK"/>
        </w:rPr>
        <w:t xml:space="preserve"> </w:t>
      </w:r>
      <w:r w:rsidR="00487812" w:rsidRPr="00AA499E">
        <w:rPr>
          <w:rFonts w:ascii="Times New Roman" w:hAnsi="Times New Roman"/>
          <w:color w:val="000000"/>
          <w:lang w:val="da-DK"/>
        </w:rPr>
        <w:t xml:space="preserve">posaconazol, voriconazol; bestemte makrolider som f.eks. </w:t>
      </w:r>
      <w:r w:rsidRPr="00AA499E">
        <w:rPr>
          <w:rFonts w:ascii="Times New Roman" w:hAnsi="Times New Roman"/>
          <w:lang w:val="da-DK"/>
        </w:rPr>
        <w:t>erythromycin, clarithromycin</w:t>
      </w:r>
      <w:r w:rsidR="00487812" w:rsidRPr="00AA499E">
        <w:rPr>
          <w:rFonts w:ascii="Times New Roman" w:hAnsi="Times New Roman"/>
          <w:lang w:val="da-DK"/>
        </w:rPr>
        <w:t xml:space="preserve"> </w:t>
      </w:r>
      <w:r w:rsidR="00487812" w:rsidRPr="00AA499E">
        <w:rPr>
          <w:rFonts w:ascii="Times New Roman" w:hAnsi="Times New Roman"/>
          <w:color w:val="000000"/>
          <w:lang w:val="da-DK"/>
        </w:rPr>
        <w:t>og telithromycin</w:t>
      </w:r>
      <w:r w:rsidRPr="00AA499E">
        <w:rPr>
          <w:rFonts w:ascii="Times New Roman" w:hAnsi="Times New Roman"/>
          <w:lang w:val="da-DK"/>
        </w:rPr>
        <w:t>) kan nedsætte metabolismen og øge koncentrationen af imatinib. Der sås signifikant øgning i følsomhed for imatinib (gennemsnitlig C</w:t>
      </w:r>
      <w:r w:rsidRPr="00AA499E">
        <w:rPr>
          <w:rFonts w:ascii="Times New Roman" w:hAnsi="Times New Roman"/>
          <w:vertAlign w:val="subscript"/>
          <w:lang w:val="da-DK"/>
        </w:rPr>
        <w:t>max</w:t>
      </w:r>
      <w:r w:rsidRPr="00AA499E">
        <w:rPr>
          <w:rFonts w:ascii="Times New Roman" w:hAnsi="Times New Roman"/>
          <w:lang w:val="da-DK"/>
        </w:rPr>
        <w:t xml:space="preserve"> og AUC for imatinib steg med henholdsvis 26 % og 40 %) hos raske frivillige ved samtidig administration af enkeltdosis ketoconazol (en CYP3A4-hæmmer). Forsigtighed bør udvises, når imatinib administreres sammen med hæmmere af CYP3A4-familien.</w:t>
      </w:r>
    </w:p>
    <w:p w14:paraId="7EA3AACF" w14:textId="77777777" w:rsidR="006478AD" w:rsidRPr="00AA499E" w:rsidRDefault="006478AD">
      <w:pPr>
        <w:autoSpaceDE w:val="0"/>
        <w:autoSpaceDN w:val="0"/>
        <w:adjustRightInd w:val="0"/>
        <w:spacing w:after="0" w:line="240" w:lineRule="auto"/>
        <w:rPr>
          <w:rFonts w:ascii="Times New Roman" w:hAnsi="Times New Roman"/>
          <w:lang w:val="da-DK"/>
        </w:rPr>
      </w:pPr>
    </w:p>
    <w:p w14:paraId="67DCBBA3"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Aktive stoffer der kan </w:t>
      </w:r>
      <w:r w:rsidRPr="00AA499E">
        <w:rPr>
          <w:rFonts w:ascii="Times New Roman" w:hAnsi="Times New Roman"/>
          <w:b/>
          <w:bCs/>
          <w:u w:val="single"/>
          <w:lang w:val="da-DK"/>
        </w:rPr>
        <w:t xml:space="preserve">reducere </w:t>
      </w:r>
      <w:r w:rsidRPr="00AA499E">
        <w:rPr>
          <w:rFonts w:ascii="Times New Roman" w:hAnsi="Times New Roman"/>
          <w:u w:val="single"/>
          <w:lang w:val="da-DK"/>
        </w:rPr>
        <w:t>plasmakoncentrationen af imatinib:</w:t>
      </w:r>
    </w:p>
    <w:p w14:paraId="1A17408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Stoffer, der inducerer CYP3A4-aktivitet (f.eks. dexamethason, phenytoin, carbamazepin, rifampicin, phenobarbital, fosphenytoin, primidon eller </w:t>
      </w:r>
      <w:r w:rsidRPr="00AA499E">
        <w:rPr>
          <w:rFonts w:ascii="Times New Roman" w:hAnsi="Times New Roman"/>
          <w:i/>
          <w:iCs/>
          <w:lang w:val="da-DK"/>
        </w:rPr>
        <w:t>Hypericum perforatum</w:t>
      </w:r>
      <w:r w:rsidRPr="00AA499E">
        <w:rPr>
          <w:rFonts w:ascii="Times New Roman" w:hAnsi="Times New Roman"/>
          <w:lang w:val="da-DK"/>
        </w:rPr>
        <w:t>), kan signifikant reducere følsomheden for imatinib og dermed potentielt øge risikoen for terapeutisk svigt. Præbehandling med gentagne doser af rifampicin 600 mg efterfulgt af enkeltdosis imatinib 400 mg resulterede i fald i imatinib resulted in decrease in C</w:t>
      </w:r>
      <w:r w:rsidRPr="00AA499E">
        <w:rPr>
          <w:rFonts w:ascii="Times New Roman" w:hAnsi="Times New Roman"/>
          <w:vertAlign w:val="subscript"/>
          <w:lang w:val="da-DK"/>
        </w:rPr>
        <w:t>max</w:t>
      </w:r>
      <w:r w:rsidRPr="00AA499E">
        <w:rPr>
          <w:rFonts w:ascii="Times New Roman" w:hAnsi="Times New Roman"/>
          <w:lang w:val="da-DK"/>
        </w:rPr>
        <w:t xml:space="preserve"> og AUC</w:t>
      </w:r>
      <w:r w:rsidRPr="00AA499E">
        <w:rPr>
          <w:rFonts w:ascii="Times New Roman" w:hAnsi="Times New Roman"/>
          <w:vertAlign w:val="subscript"/>
          <w:lang w:val="da-DK"/>
        </w:rPr>
        <w:t>(0-∞)</w:t>
      </w:r>
      <w:r w:rsidRPr="00AA499E">
        <w:rPr>
          <w:rFonts w:ascii="Times New Roman" w:hAnsi="Times New Roman"/>
          <w:lang w:val="da-DK"/>
        </w:rPr>
        <w:t xml:space="preserve"> på mindst 54 % og 74 % af værdierne uden rifampicinbehandling. Lignende resultater blev observeret hos patienter med maligne gliomer behandlet med imatinib samtidig med indtagelse af enzyminducerende antiepileptiske lægemidler (EIAEDs) som carbamazepin, oxcarbazepin og phenytoin Plasma AUC for imatinib blev reduceret med 73 % sammenlignet med patienter som ikke blev behandlet med EIAEDs. Samtidig anvendelse af rifampicin eller andre stærke CYP3A4-induktorer og imatinib bør undgås.</w:t>
      </w:r>
    </w:p>
    <w:p w14:paraId="0913F6A8" w14:textId="77777777" w:rsidR="006478AD" w:rsidRPr="00AA499E" w:rsidRDefault="006478AD">
      <w:pPr>
        <w:autoSpaceDE w:val="0"/>
        <w:autoSpaceDN w:val="0"/>
        <w:adjustRightInd w:val="0"/>
        <w:spacing w:after="0" w:line="240" w:lineRule="auto"/>
        <w:rPr>
          <w:rFonts w:ascii="Times New Roman" w:hAnsi="Times New Roman"/>
          <w:lang w:val="da-DK"/>
        </w:rPr>
      </w:pPr>
    </w:p>
    <w:p w14:paraId="5DEA3C8F" w14:textId="77777777" w:rsidR="006478AD" w:rsidRPr="00AA499E" w:rsidRDefault="00616F3C" w:rsidP="008370B1">
      <w:pPr>
        <w:keepNext/>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lastRenderedPageBreak/>
        <w:t>Aktive stoffer hvis plasmakoncentration kan ændres af imatinib</w:t>
      </w:r>
      <w:r w:rsidR="00474977" w:rsidRPr="00AA499E">
        <w:rPr>
          <w:rFonts w:ascii="Times New Roman" w:hAnsi="Times New Roman"/>
          <w:u w:val="single"/>
          <w:lang w:val="da-DK"/>
        </w:rPr>
        <w:t>:</w:t>
      </w:r>
    </w:p>
    <w:p w14:paraId="7E22164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øger gennemsnitligt C</w:t>
      </w:r>
      <w:r w:rsidRPr="00AA499E">
        <w:rPr>
          <w:rFonts w:ascii="Times New Roman" w:hAnsi="Times New Roman"/>
          <w:vertAlign w:val="subscript"/>
          <w:lang w:val="da-DK"/>
        </w:rPr>
        <w:t>max</w:t>
      </w:r>
      <w:r w:rsidRPr="00AA499E">
        <w:rPr>
          <w:rFonts w:ascii="Times New Roman" w:hAnsi="Times New Roman"/>
          <w:lang w:val="da-DK"/>
        </w:rPr>
        <w:t xml:space="preserve"> og AUC af simvastatin (et CYP3A4-substrat) henholdsvis 2 og 3,5 gange, hvilket indikerer, at imatinib hæmmer CYP3A4.  Forsigtighed tilrådes derfor, når imatinib administreres sammen med CYP3A4-substrater med snævert terapeutisk interval (f.eks. ciclosporin</w:t>
      </w:r>
      <w:r w:rsidR="00487812" w:rsidRPr="00AA499E">
        <w:rPr>
          <w:rFonts w:ascii="Times New Roman" w:hAnsi="Times New Roman"/>
          <w:lang w:val="da-DK"/>
        </w:rPr>
        <w:t>,</w:t>
      </w:r>
      <w:r w:rsidRPr="00AA499E">
        <w:rPr>
          <w:rFonts w:ascii="Times New Roman" w:hAnsi="Times New Roman"/>
          <w:lang w:val="da-DK"/>
        </w:rPr>
        <w:t xml:space="preserve"> pimozid</w:t>
      </w:r>
      <w:r w:rsidR="00487812" w:rsidRPr="00AA499E">
        <w:rPr>
          <w:rFonts w:ascii="Times New Roman" w:hAnsi="Times New Roman"/>
          <w:lang w:val="da-DK"/>
        </w:rPr>
        <w:t xml:space="preserve">, </w:t>
      </w:r>
      <w:r w:rsidR="00487812" w:rsidRPr="00AA499E">
        <w:rPr>
          <w:rFonts w:ascii="Times New Roman" w:hAnsi="Times New Roman"/>
          <w:color w:val="000000"/>
          <w:lang w:val="da-DK"/>
        </w:rPr>
        <w:t>tacrolimus, sirolimus, ergotamin, diergotamin, fentanyl, alfentanil, terfenadin, bortezomib, docetaxel og quinidin)</w:t>
      </w:r>
      <w:r w:rsidRPr="00AA499E">
        <w:rPr>
          <w:rFonts w:ascii="Times New Roman" w:hAnsi="Times New Roman"/>
          <w:lang w:val="da-DK"/>
        </w:rPr>
        <w:t>. Imatinib kan øge plasmakoncentrationen af andre CYP3A4-metaboliserede lægemidler (for eksempel triazol-benzodiazepiner, dihydropyridin-calciumantagonister, visse HMG-CoA reduktasehæmmere, såsom statiner osv.).</w:t>
      </w:r>
    </w:p>
    <w:p w14:paraId="7CBCD9C9" w14:textId="77777777" w:rsidR="006478AD" w:rsidRPr="00AA499E" w:rsidRDefault="006478AD">
      <w:pPr>
        <w:autoSpaceDE w:val="0"/>
        <w:autoSpaceDN w:val="0"/>
        <w:adjustRightInd w:val="0"/>
        <w:spacing w:after="0" w:line="240" w:lineRule="auto"/>
        <w:rPr>
          <w:rFonts w:ascii="Times New Roman" w:hAnsi="Times New Roman"/>
          <w:lang w:val="da-DK"/>
        </w:rPr>
      </w:pPr>
    </w:p>
    <w:p w14:paraId="73FBDEF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På grund af kendt øget risiko for blødning i forbindelse med brug af imitanib (f.eks. hæmoragi) bør patienter med behov for antikoagulantia have heparin med lav molekylevægt eller standardheparin i stedet for coumarinderivater som warfarin.</w:t>
      </w:r>
    </w:p>
    <w:p w14:paraId="20A4A52F" w14:textId="77777777" w:rsidR="006478AD" w:rsidRPr="00AA499E" w:rsidRDefault="006478AD">
      <w:pPr>
        <w:autoSpaceDE w:val="0"/>
        <w:autoSpaceDN w:val="0"/>
        <w:adjustRightInd w:val="0"/>
        <w:spacing w:after="0" w:line="240" w:lineRule="auto"/>
        <w:rPr>
          <w:rFonts w:ascii="Times New Roman" w:hAnsi="Times New Roman"/>
          <w:lang w:val="da-DK"/>
        </w:rPr>
      </w:pPr>
    </w:p>
    <w:p w14:paraId="6761C99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 xml:space="preserve">In vitro </w:t>
      </w:r>
      <w:r w:rsidRPr="00AA499E">
        <w:rPr>
          <w:rFonts w:ascii="Times New Roman" w:hAnsi="Times New Roman"/>
          <w:lang w:val="da-DK"/>
        </w:rPr>
        <w:t xml:space="preserve"> hæmmer imatinib cytochrom P450 isoenzym CYP2D6-aktivitet ved koncentrationer svarende til dem, der påvirker CYP3A4-aktivitet. 400 mg imatinib to gange daglig havde en inhibitorisk effekt på CYP2D6-medieret metoprololmetabolisme, som gav en stigning af C</w:t>
      </w:r>
      <w:r w:rsidRPr="00AA499E">
        <w:rPr>
          <w:rFonts w:ascii="Times New Roman" w:hAnsi="Times New Roman"/>
          <w:vertAlign w:val="subscript"/>
          <w:lang w:val="da-DK"/>
        </w:rPr>
        <w:t>max</w:t>
      </w:r>
      <w:r w:rsidRPr="00AA499E">
        <w:rPr>
          <w:rFonts w:ascii="Times New Roman" w:hAnsi="Times New Roman"/>
          <w:lang w:val="da-DK"/>
        </w:rPr>
        <w:t xml:space="preserve"> og AUC for metoprolol på cirka 23 % (90 %CI [1,16-1,30]). Dosisjustering ser ikke ud til at være nødvendigt, når imatinib administreres samtidig med CYP2D6-substrater. Forsigtighed tilrådes dog ved CYP2D6-substrater med et snævert terapeutisk vindue som f.eks. metoprolol. Hos patienter, der behandles med metoprolol, bør klinisk monitorering overvejes.</w:t>
      </w:r>
    </w:p>
    <w:p w14:paraId="2D80D8E4" w14:textId="77777777" w:rsidR="006478AD" w:rsidRPr="00AA499E" w:rsidRDefault="006478AD">
      <w:pPr>
        <w:autoSpaceDE w:val="0"/>
        <w:autoSpaceDN w:val="0"/>
        <w:adjustRightInd w:val="0"/>
        <w:spacing w:after="0" w:line="240" w:lineRule="auto"/>
        <w:rPr>
          <w:rFonts w:ascii="Times New Roman" w:hAnsi="Times New Roman"/>
          <w:lang w:val="da-DK"/>
        </w:rPr>
      </w:pPr>
    </w:p>
    <w:p w14:paraId="430D6D88" w14:textId="77777777" w:rsidR="006478AD" w:rsidRPr="00AA499E" w:rsidRDefault="00616F3C">
      <w:pPr>
        <w:widowControl w:val="0"/>
        <w:autoSpaceDE w:val="0"/>
        <w:autoSpaceDN w:val="0"/>
        <w:adjustRightInd w:val="0"/>
        <w:spacing w:after="0" w:line="245" w:lineRule="auto"/>
        <w:ind w:right="286"/>
        <w:rPr>
          <w:rFonts w:ascii="Times New Roman" w:hAnsi="Times New Roman"/>
          <w:lang w:val="da-DK"/>
        </w:rPr>
      </w:pPr>
      <w:r w:rsidRPr="00AA499E">
        <w:rPr>
          <w:rFonts w:ascii="Times New Roman" w:hAnsi="Times New Roman"/>
          <w:i/>
          <w:iCs/>
          <w:lang w:val="da-DK"/>
        </w:rPr>
        <w:t>In vitro</w:t>
      </w:r>
      <w:r w:rsidRPr="00AA499E">
        <w:rPr>
          <w:rFonts w:ascii="Times New Roman" w:hAnsi="Times New Roman"/>
          <w:lang w:val="da-DK"/>
        </w:rPr>
        <w:t xml:space="preserve"> hæmmer imatinib O-glucuronidationen af paracetamol med en Ki-værdi på 58,5 mikromol/l. Denne hæmning er ikke observeret </w:t>
      </w:r>
      <w:r w:rsidRPr="00AA499E">
        <w:rPr>
          <w:rFonts w:ascii="Times New Roman" w:hAnsi="Times New Roman"/>
          <w:i/>
          <w:iCs/>
          <w:lang w:val="da-DK"/>
        </w:rPr>
        <w:t xml:space="preserve">in vivo </w:t>
      </w:r>
      <w:r w:rsidRPr="00AA499E">
        <w:rPr>
          <w:rFonts w:ascii="Times New Roman" w:hAnsi="Times New Roman"/>
          <w:lang w:val="da-DK"/>
        </w:rPr>
        <w:t>efter administrationen af 400 mg imatinib og 1 g paracetamol. Højere doser af imatinib og paracetamol er ikke blevet undersøgt.</w:t>
      </w:r>
    </w:p>
    <w:p w14:paraId="752FD7EA" w14:textId="77777777" w:rsidR="006478AD" w:rsidRPr="00AA499E" w:rsidRDefault="006478AD">
      <w:pPr>
        <w:autoSpaceDE w:val="0"/>
        <w:autoSpaceDN w:val="0"/>
        <w:adjustRightInd w:val="0"/>
        <w:spacing w:after="0" w:line="240" w:lineRule="auto"/>
        <w:rPr>
          <w:rFonts w:ascii="Times New Roman" w:hAnsi="Times New Roman"/>
          <w:lang w:val="da-DK"/>
        </w:rPr>
      </w:pPr>
    </w:p>
    <w:p w14:paraId="477B203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rådes derfor til forsigtighed, når høje doser imatinib og paracetamol anvendes samtidig.</w:t>
      </w:r>
    </w:p>
    <w:p w14:paraId="598FFA0E" w14:textId="77777777" w:rsidR="006478AD" w:rsidRPr="00AA499E" w:rsidRDefault="006478AD">
      <w:pPr>
        <w:autoSpaceDE w:val="0"/>
        <w:autoSpaceDN w:val="0"/>
        <w:adjustRightInd w:val="0"/>
        <w:spacing w:after="0" w:line="240" w:lineRule="auto"/>
        <w:rPr>
          <w:rFonts w:ascii="Times New Roman" w:hAnsi="Times New Roman"/>
          <w:lang w:val="da-DK"/>
        </w:rPr>
      </w:pPr>
    </w:p>
    <w:p w14:paraId="0378D2A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Plasmaeksponeringen af levothyroxin kan muligvis mindskes, når imatinib gives samtidig til thyreoidektomerede patienter (se pkt. 4.4). Det anbefales derfor at udvise forsigtighed. Mekanismen for den observerede interaktion er dog endnu ukendt.</w:t>
      </w:r>
    </w:p>
    <w:p w14:paraId="4D35921A" w14:textId="77777777" w:rsidR="006478AD" w:rsidRPr="00AA499E" w:rsidRDefault="006478AD">
      <w:pPr>
        <w:autoSpaceDE w:val="0"/>
        <w:autoSpaceDN w:val="0"/>
        <w:adjustRightInd w:val="0"/>
        <w:spacing w:after="0" w:line="240" w:lineRule="auto"/>
        <w:rPr>
          <w:rFonts w:ascii="Times New Roman" w:hAnsi="Times New Roman"/>
          <w:lang w:val="da-DK"/>
        </w:rPr>
      </w:pPr>
    </w:p>
    <w:p w14:paraId="1B32D5F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klinisk erfaring med administration af imatinib sammen med kemoterapi (se pkt. 5.1) til patienter med Ph+ ALL, men specifikke interaktionsstudier mellem imatinib og kemoterapiregimer er ikke tilstrækkeligt karakteriseret. Bivirkninger af imitanib f.eks. hepatotoksicitet, myelosuppression eller andre kan øges. Det er rapporteret, at samtidig brug med L-asparaginase kan være associeret med øget hepatotoksicitet (se pkt. 4.8). Brug af imatinib i denne kombination kræver derfor særlig forsigtighed.</w:t>
      </w:r>
    </w:p>
    <w:p w14:paraId="08469157" w14:textId="77777777" w:rsidR="006478AD" w:rsidRPr="00AA499E" w:rsidRDefault="006478AD">
      <w:pPr>
        <w:autoSpaceDE w:val="0"/>
        <w:autoSpaceDN w:val="0"/>
        <w:adjustRightInd w:val="0"/>
        <w:spacing w:after="0" w:line="240" w:lineRule="auto"/>
        <w:rPr>
          <w:rFonts w:ascii="Times New Roman" w:hAnsi="Times New Roman"/>
          <w:lang w:val="da-DK"/>
        </w:rPr>
      </w:pPr>
    </w:p>
    <w:p w14:paraId="164263B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4.6</w:t>
      </w:r>
      <w:r w:rsidRPr="00AA499E">
        <w:rPr>
          <w:rFonts w:ascii="Times New Roman" w:hAnsi="Times New Roman"/>
          <w:b/>
          <w:bCs/>
          <w:lang w:val="da-DK"/>
        </w:rPr>
        <w:tab/>
        <w:t>Fertilitet, graviditet og amning</w:t>
      </w:r>
    </w:p>
    <w:p w14:paraId="0BF8244C" w14:textId="77777777" w:rsidR="006478AD" w:rsidRPr="00AA499E" w:rsidRDefault="006478AD">
      <w:pPr>
        <w:autoSpaceDE w:val="0"/>
        <w:autoSpaceDN w:val="0"/>
        <w:adjustRightInd w:val="0"/>
        <w:spacing w:after="0" w:line="240" w:lineRule="auto"/>
        <w:rPr>
          <w:rFonts w:ascii="Times New Roman" w:hAnsi="Times New Roman"/>
          <w:lang w:val="da-DK"/>
        </w:rPr>
      </w:pPr>
    </w:p>
    <w:p w14:paraId="49952FA8" w14:textId="77777777" w:rsidR="0063369B" w:rsidRPr="00AA499E" w:rsidRDefault="0063369B" w:rsidP="0063369B">
      <w:pPr>
        <w:autoSpaceDE w:val="0"/>
        <w:autoSpaceDN w:val="0"/>
        <w:adjustRightInd w:val="0"/>
        <w:spacing w:after="0" w:line="240" w:lineRule="auto"/>
        <w:rPr>
          <w:rFonts w:ascii="Times New Roman" w:hAnsi="Times New Roman"/>
          <w:lang w:val="da-DK"/>
        </w:rPr>
      </w:pPr>
      <w:r w:rsidRPr="00AA499E">
        <w:rPr>
          <w:rFonts w:ascii="Times New Roman" w:hAnsi="Times New Roman"/>
          <w:u w:val="single"/>
          <w:lang w:val="da-DK"/>
        </w:rPr>
        <w:t>Kvinder i den fertile alder</w:t>
      </w:r>
    </w:p>
    <w:p w14:paraId="7B5214C6" w14:textId="77777777" w:rsidR="0063369B" w:rsidRPr="00AA499E" w:rsidRDefault="0063369B" w:rsidP="0063369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Kvinder i den fertile alder skal tilrådes at anvende sikker kontraception under behandlingen</w:t>
      </w:r>
      <w:r w:rsidR="007E3CA6" w:rsidRPr="00AA499E">
        <w:rPr>
          <w:rFonts w:ascii="Times New Roman" w:hAnsi="Times New Roman"/>
          <w:lang w:val="da-DK"/>
        </w:rPr>
        <w:t xml:space="preserve"> </w:t>
      </w:r>
      <w:r w:rsidR="007E3CA6" w:rsidRPr="00AA499E">
        <w:rPr>
          <w:rFonts w:ascii="Times New Roman" w:hAnsi="Times New Roman"/>
          <w:color w:val="000000"/>
          <w:lang w:val="da-DK"/>
        </w:rPr>
        <w:t xml:space="preserve">og i mindst 15 dage efter ophør af behandlingen med Imatinib </w:t>
      </w:r>
      <w:r w:rsidR="00E00D19" w:rsidRPr="00AA499E">
        <w:rPr>
          <w:rFonts w:ascii="Times New Roman" w:hAnsi="Times New Roman"/>
          <w:color w:val="000000"/>
          <w:lang w:val="da-DK"/>
        </w:rPr>
        <w:t>Actavis</w:t>
      </w:r>
      <w:r w:rsidRPr="00AA499E">
        <w:rPr>
          <w:rFonts w:ascii="Times New Roman" w:hAnsi="Times New Roman"/>
          <w:lang w:val="da-DK"/>
        </w:rPr>
        <w:t>.</w:t>
      </w:r>
    </w:p>
    <w:p w14:paraId="16F3DA7B" w14:textId="77777777" w:rsidR="0063369B" w:rsidRPr="00AA499E" w:rsidRDefault="0063369B">
      <w:pPr>
        <w:autoSpaceDE w:val="0"/>
        <w:autoSpaceDN w:val="0"/>
        <w:adjustRightInd w:val="0"/>
        <w:spacing w:after="0" w:line="240" w:lineRule="auto"/>
        <w:rPr>
          <w:rFonts w:ascii="Times New Roman" w:hAnsi="Times New Roman"/>
          <w:lang w:val="da-DK"/>
        </w:rPr>
      </w:pPr>
    </w:p>
    <w:p w14:paraId="24115F8D"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Graviditet</w:t>
      </w:r>
    </w:p>
    <w:p w14:paraId="498B66E9" w14:textId="0E4A2046"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Der er utilstrækkelige data fra anvendelse af imatinib til gravide kvinder. </w:t>
      </w:r>
      <w:r w:rsidR="00D92452" w:rsidRPr="00AA499E">
        <w:rPr>
          <w:rFonts w:ascii="Times New Roman" w:hAnsi="Times New Roman"/>
          <w:lang w:val="da-DK"/>
        </w:rPr>
        <w:t xml:space="preserve">Der har efter markedsføring været rapporter om spontane aborter og medfødte abnormaliteter hos spædbørn født af kvinder, som har taget imatinib. </w:t>
      </w:r>
      <w:r w:rsidRPr="00AA499E">
        <w:rPr>
          <w:rFonts w:ascii="Times New Roman" w:hAnsi="Times New Roman"/>
          <w:lang w:val="da-DK"/>
        </w:rPr>
        <w:t xml:space="preserve">Dyreforsøg har dog påvist reproduktionstoksicitet (se pkt. 5.3). Den potentielle risiko for fostret er ukendt. Imatinib bør ikke anvendes under graviditeten, medmindre det er klart nødvendigt. Hvis produktet anvendes under graviditet, skal patienten informeres om den potentielle risiko for fostret. </w:t>
      </w:r>
    </w:p>
    <w:p w14:paraId="03F7C573" w14:textId="77777777" w:rsidR="00FC7537" w:rsidRPr="00AA499E" w:rsidRDefault="00FC7537">
      <w:pPr>
        <w:autoSpaceDE w:val="0"/>
        <w:autoSpaceDN w:val="0"/>
        <w:adjustRightInd w:val="0"/>
        <w:spacing w:after="0" w:line="240" w:lineRule="auto"/>
        <w:rPr>
          <w:rFonts w:ascii="Times New Roman" w:hAnsi="Times New Roman"/>
          <w:u w:val="single"/>
          <w:lang w:val="da-DK"/>
        </w:rPr>
      </w:pPr>
    </w:p>
    <w:p w14:paraId="535E8738" w14:textId="77777777" w:rsidR="006478AD" w:rsidRPr="00AA499E" w:rsidRDefault="00616F3C" w:rsidP="008370B1">
      <w:pPr>
        <w:keepNext/>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lastRenderedPageBreak/>
        <w:t>Amning</w:t>
      </w:r>
    </w:p>
    <w:p w14:paraId="6C766341" w14:textId="1A48897E"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begrænset information om fordelingen af imatinib i modermælk. Studier i to ammende kvinder viste, at både imatinib og dets aktive metabolit kan blive udskilt i modermælk. Mælk/plasma ratio undersøgt i en enkelt patient blev bestemt til at være 0,5 for imatinib og 0,9 for metabolitten, hvilket tyder på en større fordeling af metabolitten i modermælken. Den totale koncentration af imatinib og metabolitten og spædbørns maksimale daglige indtagelse af mælk taget i betragtning, er det forventet, at den totale eksponering er lav (~10% af den terapeutiske dosis). Da effekten af lavdosiseksponering af imatinib hos spædbarnet er ukendt, bør kvinder ikke amme</w:t>
      </w:r>
      <w:r w:rsidR="004E54BF" w:rsidRPr="00AA499E">
        <w:rPr>
          <w:rFonts w:ascii="Times New Roman" w:hAnsi="Times New Roman"/>
          <w:lang w:val="da-DK"/>
        </w:rPr>
        <w:t xml:space="preserve"> under behandlingen og i mindst 15 dage efter ophør af behandlingen med Imatinib Actavis.</w:t>
      </w:r>
      <w:r w:rsidRPr="00AA499E">
        <w:rPr>
          <w:rFonts w:ascii="Times New Roman" w:hAnsi="Times New Roman"/>
          <w:lang w:val="da-DK"/>
        </w:rPr>
        <w:t>.</w:t>
      </w:r>
    </w:p>
    <w:p w14:paraId="14CAB4BE" w14:textId="77777777" w:rsidR="006478AD" w:rsidRPr="00AA499E" w:rsidRDefault="006478AD">
      <w:pPr>
        <w:autoSpaceDE w:val="0"/>
        <w:autoSpaceDN w:val="0"/>
        <w:adjustRightInd w:val="0"/>
        <w:spacing w:after="0" w:line="240" w:lineRule="auto"/>
        <w:rPr>
          <w:rFonts w:ascii="Times New Roman" w:hAnsi="Times New Roman"/>
          <w:lang w:val="da-DK"/>
        </w:rPr>
      </w:pPr>
    </w:p>
    <w:p w14:paraId="3F84A7E1"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Fertilitet</w:t>
      </w:r>
    </w:p>
    <w:p w14:paraId="5F2927D2" w14:textId="20B15400"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prækliniske studier var fertiliteten hos han- og hunrotter ikke påvirket</w:t>
      </w:r>
      <w:r w:rsidR="00E00D19" w:rsidRPr="00AA499E">
        <w:rPr>
          <w:rFonts w:ascii="Times New Roman" w:hAnsi="Times New Roman"/>
          <w:color w:val="000000"/>
          <w:lang w:val="da-DK"/>
        </w:rPr>
        <w:t>, selvom der blev observeret påvirkning af reproduktionsparametre</w:t>
      </w:r>
      <w:r w:rsidRPr="00AA499E">
        <w:rPr>
          <w:rFonts w:ascii="Times New Roman" w:hAnsi="Times New Roman"/>
          <w:lang w:val="da-DK"/>
        </w:rPr>
        <w:t xml:space="preserve"> (se pkt. 5.3). Der er ikke udført studier med patienter, der fik imatinib, og dets virkning på fertilitet og gametogenese. Patienter, der bekymrer sig om deres fertilitet under imatinib-behandling, bør konsultere deres læge.</w:t>
      </w:r>
    </w:p>
    <w:p w14:paraId="48E98F43" w14:textId="77777777" w:rsidR="006478AD" w:rsidRPr="00AA499E" w:rsidRDefault="006478AD">
      <w:pPr>
        <w:autoSpaceDE w:val="0"/>
        <w:autoSpaceDN w:val="0"/>
        <w:adjustRightInd w:val="0"/>
        <w:spacing w:after="0" w:line="240" w:lineRule="auto"/>
        <w:rPr>
          <w:rFonts w:ascii="Times New Roman" w:hAnsi="Times New Roman"/>
          <w:lang w:val="da-DK"/>
        </w:rPr>
      </w:pPr>
    </w:p>
    <w:p w14:paraId="4329CD5D"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4.7</w:t>
      </w:r>
      <w:r w:rsidRPr="00AA499E">
        <w:rPr>
          <w:rFonts w:ascii="Times New Roman" w:hAnsi="Times New Roman"/>
          <w:b/>
          <w:bCs/>
          <w:lang w:val="da-DK"/>
        </w:rPr>
        <w:tab/>
        <w:t>Virkninger på evnen til at føre motorkøretøj eller betjene maskiner</w:t>
      </w:r>
    </w:p>
    <w:p w14:paraId="35B84253" w14:textId="77777777" w:rsidR="006478AD" w:rsidRPr="00AA499E" w:rsidRDefault="006478AD">
      <w:pPr>
        <w:autoSpaceDE w:val="0"/>
        <w:autoSpaceDN w:val="0"/>
        <w:adjustRightInd w:val="0"/>
        <w:spacing w:after="0" w:line="240" w:lineRule="auto"/>
        <w:rPr>
          <w:rFonts w:ascii="Times New Roman" w:hAnsi="Times New Roman"/>
          <w:lang w:val="da-DK"/>
        </w:rPr>
      </w:pPr>
    </w:p>
    <w:p w14:paraId="78D5465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Patienter skal advares om, at de kan opleve bivirkninger som svimmelhed, sløret syn eller døsighed under behandling med imatinib. Forsigtighed anbefales derfor, når der føres motorkøretøj eller betjenes maskiner.</w:t>
      </w:r>
    </w:p>
    <w:p w14:paraId="28F754F0" w14:textId="77777777" w:rsidR="006478AD" w:rsidRPr="00AA499E" w:rsidRDefault="006478AD">
      <w:pPr>
        <w:autoSpaceDE w:val="0"/>
        <w:autoSpaceDN w:val="0"/>
        <w:adjustRightInd w:val="0"/>
        <w:spacing w:after="0" w:line="240" w:lineRule="auto"/>
        <w:rPr>
          <w:rFonts w:ascii="Times New Roman" w:hAnsi="Times New Roman"/>
          <w:lang w:val="da-DK"/>
        </w:rPr>
      </w:pPr>
    </w:p>
    <w:p w14:paraId="338247FD"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4.8</w:t>
      </w:r>
      <w:r w:rsidRPr="00AA499E">
        <w:rPr>
          <w:rFonts w:ascii="Times New Roman" w:hAnsi="Times New Roman"/>
          <w:b/>
          <w:bCs/>
          <w:lang w:val="da-DK"/>
        </w:rPr>
        <w:tab/>
        <w:t>Bivirkninger</w:t>
      </w:r>
    </w:p>
    <w:p w14:paraId="281095B8" w14:textId="77777777" w:rsidR="0063369B" w:rsidRPr="00AA499E" w:rsidRDefault="0063369B">
      <w:pPr>
        <w:autoSpaceDE w:val="0"/>
        <w:autoSpaceDN w:val="0"/>
        <w:adjustRightInd w:val="0"/>
        <w:spacing w:after="0" w:line="240" w:lineRule="auto"/>
        <w:rPr>
          <w:rFonts w:ascii="Times New Roman" w:hAnsi="Times New Roman"/>
          <w:b/>
          <w:bCs/>
          <w:lang w:val="da-DK"/>
        </w:rPr>
      </w:pPr>
    </w:p>
    <w:p w14:paraId="1F4C8166" w14:textId="77777777" w:rsidR="0063369B" w:rsidRPr="00AA499E" w:rsidRDefault="0063369B" w:rsidP="0063369B">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Sammendrag af sikkerhedsprofilen</w:t>
      </w:r>
    </w:p>
    <w:p w14:paraId="550CD97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Patienter med fremskredne stadier af maligne lidelser kan frembyde en kompleks blanding af sygdomsbilleder, der kan gøre det svært at vurdere årsagen til bivirkninger på grund af prævalens og stor mangeartethed af symptomer relateret til den underliggende sygdom, sygdommens progression og samtidig administration af adskillige lægemidler.</w:t>
      </w:r>
    </w:p>
    <w:p w14:paraId="68FF2835" w14:textId="77777777" w:rsidR="006478AD" w:rsidRPr="00AA499E" w:rsidRDefault="006478AD">
      <w:pPr>
        <w:autoSpaceDE w:val="0"/>
        <w:autoSpaceDN w:val="0"/>
        <w:adjustRightInd w:val="0"/>
        <w:spacing w:after="0" w:line="240" w:lineRule="auto"/>
        <w:rPr>
          <w:rFonts w:ascii="Times New Roman" w:hAnsi="Times New Roman"/>
          <w:lang w:val="da-DK"/>
        </w:rPr>
      </w:pPr>
    </w:p>
    <w:p w14:paraId="1FB656C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kliniske undersøgelser i CML blev der hos 2,4 % af nydiagnosticerede patienter, hos 4 % af patienterne i sen kronisk fase efter svigtende interferonbehandling, hos 4 % af patienterne i accelereret fase efter svigtende interferonbehandling og hos 5 % af patienterne i blastkrise efter svigtende interferonbehandling observeret seponering af undersøgelsesmedicinen på grund af lægemiddelrelaterede bivirkninger. Hos 4 % af GIST-patienterne blev undersøgelsesmedicinen seponeret på grund af lægemiddelrelaterede bivirkninger.</w:t>
      </w:r>
    </w:p>
    <w:p w14:paraId="312B6B0E" w14:textId="77777777" w:rsidR="006478AD" w:rsidRPr="00AA499E" w:rsidRDefault="006478AD">
      <w:pPr>
        <w:autoSpaceDE w:val="0"/>
        <w:autoSpaceDN w:val="0"/>
        <w:adjustRightInd w:val="0"/>
        <w:spacing w:after="0" w:line="240" w:lineRule="auto"/>
        <w:rPr>
          <w:rFonts w:ascii="Times New Roman" w:hAnsi="Times New Roman"/>
          <w:lang w:val="da-DK"/>
        </w:rPr>
      </w:pPr>
    </w:p>
    <w:p w14:paraId="69B6C75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Bivirkningsmønstret var, med 2 undtagelser, det samme ved alle indikationer. Der sås hyppigere myelosuppression hos CML-patienter end hos GIST-patienter, hvilket sandsynligvis skyldes primærsygdommen. I undersøgelsen med patienter med inoperabel og/eller metastaserende GIST, oplevede 7 (5 %) af patienterne CTC grad 3–4: gastrointestinale blødninger (3 patienter), intra-tumorale blødninger (3 patienter) eller begge dele (1 patient). De gastrointestinale tumorer kan have været blødningskilden ved den gastrointestinale blødning (se pkt. 4.4). Gastrointestinal og tumoral blødning kan være alvorlig og i visse tilfælde fatal. De mest almindelige rapporterede (≥ 10 %) lægemiddelrelaterede bivirkninger var i begge patientgrupper: let kvalme, opkastning, diarré, abdominalsmerter, træthed, myalgi og muskelkramper samt udslæt. Overfladiske ødemer var et hyppigt fund i alle undersøgelser og blev primært beskrevet som værende periorbitale eller ødemer i nedre ekstremiteter. Disse ødemer var dog sjældent svære og kunne behandles med diuretika, andre understøttende tiltag eller ved at reducere dosis af imatinib.</w:t>
      </w:r>
    </w:p>
    <w:p w14:paraId="240AF502" w14:textId="77777777" w:rsidR="006478AD" w:rsidRPr="00AA499E" w:rsidRDefault="006478AD">
      <w:pPr>
        <w:autoSpaceDE w:val="0"/>
        <w:autoSpaceDN w:val="0"/>
        <w:adjustRightInd w:val="0"/>
        <w:spacing w:after="0" w:line="240" w:lineRule="auto"/>
        <w:rPr>
          <w:rFonts w:ascii="Times New Roman" w:hAnsi="Times New Roman"/>
          <w:lang w:val="da-DK"/>
        </w:rPr>
      </w:pPr>
    </w:p>
    <w:p w14:paraId="5366065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Når imatinib blev kombineret med højdosis kemoterapi hos Ph+ ALL patienter, sås forbigående levertoksicitet i form af forhøjet transaminase og hyperbilirubinæmi.</w:t>
      </w:r>
      <w:r w:rsidR="00D8731B" w:rsidRPr="00AA499E">
        <w:rPr>
          <w:rFonts w:ascii="Times New Roman" w:eastAsia="Times New Roman" w:hAnsi="Times New Roman"/>
          <w:color w:val="000000"/>
          <w:lang w:val="da-DK"/>
        </w:rPr>
        <w:t xml:space="preserve"> </w:t>
      </w:r>
      <w:r w:rsidR="00D8731B" w:rsidRPr="00AA499E">
        <w:rPr>
          <w:rFonts w:ascii="Times New Roman" w:hAnsi="Times New Roman"/>
          <w:lang w:val="da-DK"/>
        </w:rPr>
        <w:t>Under hensyntagen til den begrænsede sikkerhedsdatabase er de bivirkninger, der hidtil er rapporteret hos børn, i overensstemmelse med den kendte sikkerhedsprofil for voksne patienter med Ph+ ALL. Sikkerhedsdatabasen for børn med Ph+ ALL er meget begrænset. Der er dog ikke identificeret nye forhold vedrørende sikkerheden.</w:t>
      </w:r>
    </w:p>
    <w:p w14:paraId="0C0F50A4" w14:textId="77777777" w:rsidR="006478AD" w:rsidRPr="00AA499E" w:rsidRDefault="006478AD">
      <w:pPr>
        <w:autoSpaceDE w:val="0"/>
        <w:autoSpaceDN w:val="0"/>
        <w:adjustRightInd w:val="0"/>
        <w:spacing w:after="0" w:line="240" w:lineRule="auto"/>
        <w:rPr>
          <w:rFonts w:ascii="Times New Roman" w:hAnsi="Times New Roman"/>
          <w:lang w:val="da-DK"/>
        </w:rPr>
      </w:pPr>
    </w:p>
    <w:p w14:paraId="42956D2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Diverse bivirkninger, som for eksempel pleuraeksudat, ascites, lungeødem og hurtig vægtstigning med eller uden overfladiske ødemer, kan kollektivt betegnes som ”væskeretention”. Disse tilfælde blev sædvanligvis behandlet ved midlertidigt at tilbageholde behandling med imatinib, og behandle med diuretika og andre relevante, understøttende tiltag. I nogle tilfælde kan disse tilstande dog være alvorlige eller livstruende, og flere patienter med blastkrise døde med en kompleks anamnese af pleuraeksudat, kongestivt hjerteinsufficiens og nyresvigt. Der var ingen særlige sikkerhedsmæssige fund i kliniske undersøgelser med børn.</w:t>
      </w:r>
    </w:p>
    <w:p w14:paraId="79897F9A" w14:textId="77777777" w:rsidR="006478AD" w:rsidRPr="00AA499E" w:rsidRDefault="006478AD">
      <w:pPr>
        <w:autoSpaceDE w:val="0"/>
        <w:autoSpaceDN w:val="0"/>
        <w:adjustRightInd w:val="0"/>
        <w:spacing w:after="0" w:line="240" w:lineRule="auto"/>
        <w:rPr>
          <w:rFonts w:ascii="Times New Roman" w:hAnsi="Times New Roman"/>
          <w:lang w:val="da-DK"/>
        </w:rPr>
      </w:pPr>
    </w:p>
    <w:p w14:paraId="2AF1429D"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Bivirkninger</w:t>
      </w:r>
    </w:p>
    <w:p w14:paraId="04954AB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Bivirkninger rapporteret med mere end et isoleret tilfælde er listet nedenfor efter organklasse og frekvens. Frekvenskategorier er defineret ved brug af følgende konvention: Meget almindelig (≥1/10), almindelig (≥1/100 til &lt;1/10), ikke almindelig (≥1/1.000 til &lt;1/100), sjælden (≥1/10.000 til &lt;1/1.000), meget sjælden (&lt;1/10.000), ikke kendt (kan ikke estimeres ud fra forhåndenværende data).</w:t>
      </w:r>
    </w:p>
    <w:p w14:paraId="6E5F30FB" w14:textId="77777777" w:rsidR="006478AD" w:rsidRPr="00AA499E" w:rsidRDefault="006478AD">
      <w:pPr>
        <w:autoSpaceDE w:val="0"/>
        <w:autoSpaceDN w:val="0"/>
        <w:adjustRightInd w:val="0"/>
        <w:spacing w:after="0" w:line="240" w:lineRule="auto"/>
        <w:rPr>
          <w:rFonts w:ascii="Times New Roman" w:hAnsi="Times New Roman"/>
          <w:lang w:val="da-DK"/>
        </w:rPr>
      </w:pPr>
    </w:p>
    <w:p w14:paraId="54E6EE5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Inden for hver enkelt frekvensgruppe er bivirkningerne opstillet efter frekvens med de hyppigste først.</w:t>
      </w:r>
    </w:p>
    <w:p w14:paraId="3A535641" w14:textId="77777777" w:rsidR="006478AD" w:rsidRPr="00AA499E" w:rsidRDefault="006478AD">
      <w:pPr>
        <w:autoSpaceDE w:val="0"/>
        <w:autoSpaceDN w:val="0"/>
        <w:adjustRightInd w:val="0"/>
        <w:spacing w:after="0" w:line="240" w:lineRule="auto"/>
        <w:rPr>
          <w:rFonts w:ascii="Times New Roman" w:hAnsi="Times New Roman"/>
          <w:lang w:val="da-DK"/>
        </w:rPr>
      </w:pPr>
    </w:p>
    <w:p w14:paraId="2A20C7B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lang w:val="da-DK"/>
        </w:rPr>
        <w:t>Bivirkninger og deres frekvens</w:t>
      </w:r>
      <w:r w:rsidR="00EA2B7C" w:rsidRPr="00AA499E">
        <w:rPr>
          <w:rFonts w:ascii="Times New Roman" w:hAnsi="Times New Roman"/>
          <w:lang w:val="da-DK"/>
        </w:rPr>
        <w:t xml:space="preserve"> er angivet</w:t>
      </w:r>
      <w:r w:rsidRPr="00AA499E">
        <w:rPr>
          <w:rFonts w:ascii="Times New Roman" w:hAnsi="Times New Roman"/>
          <w:lang w:val="da-DK"/>
        </w:rPr>
        <w:t xml:space="preserve"> i Tabel 1</w:t>
      </w:r>
      <w:r w:rsidR="00EA2B7C" w:rsidRPr="00AA499E">
        <w:rPr>
          <w:rFonts w:ascii="Times New Roman" w:hAnsi="Times New Roman"/>
          <w:lang w:val="da-DK"/>
        </w:rPr>
        <w:t>.</w:t>
      </w:r>
      <w:r w:rsidRPr="00AA499E">
        <w:rPr>
          <w:rFonts w:ascii="Times New Roman" w:hAnsi="Times New Roman"/>
          <w:lang w:val="da-DK"/>
        </w:rPr>
        <w:t xml:space="preserve"> </w:t>
      </w:r>
      <w:r w:rsidRPr="00AA499E">
        <w:rPr>
          <w:rFonts w:ascii="Times New Roman" w:hAnsi="Times New Roman"/>
          <w:b/>
          <w:bCs/>
          <w:lang w:val="da-DK"/>
        </w:rPr>
        <w:t>Tabel 1</w:t>
      </w:r>
      <w:r w:rsidRPr="00AA499E">
        <w:rPr>
          <w:rFonts w:ascii="Times New Roman" w:hAnsi="Times New Roman"/>
          <w:b/>
          <w:bCs/>
          <w:lang w:val="da-DK"/>
        </w:rPr>
        <w:tab/>
      </w:r>
      <w:r w:rsidR="00EA2B7C" w:rsidRPr="00AA499E">
        <w:rPr>
          <w:rFonts w:ascii="Times New Roman" w:hAnsi="Times New Roman"/>
          <w:b/>
          <w:bCs/>
          <w:lang w:val="da-DK"/>
        </w:rPr>
        <w:t>Opsummering af b</w:t>
      </w:r>
      <w:r w:rsidRPr="00AA499E">
        <w:rPr>
          <w:rFonts w:ascii="Times New Roman" w:hAnsi="Times New Roman"/>
          <w:b/>
          <w:bCs/>
          <w:lang w:val="da-DK"/>
        </w:rPr>
        <w:t>ivirkninger</w:t>
      </w:r>
    </w:p>
    <w:p w14:paraId="469B8C7B"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7189"/>
      </w:tblGrid>
      <w:tr w:rsidR="006478AD" w:rsidRPr="00AA499E" w14:paraId="52A2B1C2" w14:textId="77777777">
        <w:tc>
          <w:tcPr>
            <w:tcW w:w="9546" w:type="dxa"/>
            <w:gridSpan w:val="2"/>
          </w:tcPr>
          <w:p w14:paraId="586916F6"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Infektioner og parasitære sygdomme</w:t>
            </w:r>
          </w:p>
        </w:tc>
      </w:tr>
      <w:tr w:rsidR="006478AD" w:rsidRPr="00AA499E" w14:paraId="4FE4C44F" w14:textId="77777777">
        <w:tc>
          <w:tcPr>
            <w:tcW w:w="2235" w:type="dxa"/>
          </w:tcPr>
          <w:p w14:paraId="468A49E0"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4240ED8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Herpes zoster, herpes simplex, nasopharyngitis, pneumoni</w:t>
            </w:r>
            <w:r w:rsidRPr="00AA499E">
              <w:rPr>
                <w:rFonts w:ascii="Times New Roman" w:hAnsi="Times New Roman"/>
                <w:vertAlign w:val="superscript"/>
                <w:lang w:val="da-DK"/>
              </w:rPr>
              <w:t>1</w:t>
            </w:r>
            <w:r w:rsidRPr="00AA499E">
              <w:rPr>
                <w:rFonts w:ascii="Times New Roman" w:hAnsi="Times New Roman"/>
                <w:lang w:val="da-DK"/>
              </w:rPr>
              <w:t>, sinuitis, cellulitis, infektioner i øvre luftveje, influenza, urinvejsinfektion, gastroenteritis, sepsis</w:t>
            </w:r>
          </w:p>
        </w:tc>
      </w:tr>
      <w:tr w:rsidR="006478AD" w:rsidRPr="00AA499E" w14:paraId="33C04351" w14:textId="77777777">
        <w:tc>
          <w:tcPr>
            <w:tcW w:w="2235" w:type="dxa"/>
          </w:tcPr>
          <w:p w14:paraId="164BDEF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77B69D5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Svampeinfektion</w:t>
            </w:r>
          </w:p>
        </w:tc>
      </w:tr>
      <w:tr w:rsidR="00017EA4" w:rsidRPr="00AA499E" w14:paraId="1DF6F3BB" w14:textId="77777777" w:rsidTr="004E788E">
        <w:tc>
          <w:tcPr>
            <w:tcW w:w="2235" w:type="dxa"/>
          </w:tcPr>
          <w:p w14:paraId="71E3535D" w14:textId="77777777" w:rsidR="00017EA4" w:rsidRPr="00AA499E" w:rsidRDefault="00017EA4" w:rsidP="004E788E">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kendt</w:t>
            </w:r>
          </w:p>
        </w:tc>
        <w:tc>
          <w:tcPr>
            <w:tcW w:w="7311" w:type="dxa"/>
          </w:tcPr>
          <w:p w14:paraId="390207ED" w14:textId="77777777" w:rsidR="00017EA4" w:rsidRPr="00AA499E" w:rsidRDefault="00017EA4" w:rsidP="004E788E">
            <w:pPr>
              <w:autoSpaceDE w:val="0"/>
              <w:autoSpaceDN w:val="0"/>
              <w:adjustRightInd w:val="0"/>
              <w:spacing w:after="0" w:line="240" w:lineRule="auto"/>
              <w:rPr>
                <w:rFonts w:ascii="Times New Roman" w:hAnsi="Times New Roman"/>
                <w:vertAlign w:val="superscript"/>
                <w:lang w:val="da-DK"/>
              </w:rPr>
            </w:pPr>
            <w:r w:rsidRPr="00AA499E">
              <w:rPr>
                <w:rFonts w:ascii="Times New Roman" w:hAnsi="Times New Roman"/>
                <w:lang w:val="da-DK"/>
              </w:rPr>
              <w:t>Reaktivering af hepatitis B</w:t>
            </w:r>
            <w:r w:rsidR="00347142" w:rsidRPr="00AA499E">
              <w:rPr>
                <w:rFonts w:ascii="Times New Roman" w:hAnsi="Times New Roman"/>
                <w:vertAlign w:val="superscript"/>
                <w:lang w:val="da-DK"/>
              </w:rPr>
              <w:t>*</w:t>
            </w:r>
          </w:p>
        </w:tc>
      </w:tr>
      <w:tr w:rsidR="006478AD" w:rsidRPr="00AA499E" w14:paraId="29563192" w14:textId="77777777">
        <w:tc>
          <w:tcPr>
            <w:tcW w:w="9546" w:type="dxa"/>
            <w:gridSpan w:val="2"/>
          </w:tcPr>
          <w:p w14:paraId="25F0FE3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Benigne, maligne og uspecificerede tumorer (inkl. cyster og polypper)</w:t>
            </w:r>
          </w:p>
        </w:tc>
      </w:tr>
      <w:tr w:rsidR="006478AD" w:rsidRPr="00AA499E" w14:paraId="6AA77DB8" w14:textId="77777777">
        <w:tc>
          <w:tcPr>
            <w:tcW w:w="2235" w:type="dxa"/>
          </w:tcPr>
          <w:p w14:paraId="6AB8657C"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3F1A2FC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Tumorlysesyndrom</w:t>
            </w:r>
          </w:p>
        </w:tc>
      </w:tr>
      <w:tr w:rsidR="00EA2B7C" w:rsidRPr="00AA499E" w14:paraId="5A8F063F" w14:textId="77777777">
        <w:tc>
          <w:tcPr>
            <w:tcW w:w="2235" w:type="dxa"/>
          </w:tcPr>
          <w:p w14:paraId="368EDDED"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21E49E06"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Tumorblødning/tumornekrose*</w:t>
            </w:r>
          </w:p>
        </w:tc>
      </w:tr>
      <w:tr w:rsidR="00EA2B7C" w:rsidRPr="00AA499E" w14:paraId="7166B628" w14:textId="77777777">
        <w:tc>
          <w:tcPr>
            <w:tcW w:w="9546" w:type="dxa"/>
            <w:gridSpan w:val="2"/>
          </w:tcPr>
          <w:p w14:paraId="3BEF9653" w14:textId="77777777" w:rsidR="00EA2B7C" w:rsidRPr="00AA499E" w:rsidRDefault="00EA2B7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Immunsystemet</w:t>
            </w:r>
          </w:p>
        </w:tc>
      </w:tr>
      <w:tr w:rsidR="00EA2B7C" w:rsidRPr="00AA499E" w14:paraId="06D5034E" w14:textId="77777777" w:rsidTr="00A41DDA">
        <w:tc>
          <w:tcPr>
            <w:tcW w:w="2235" w:type="dxa"/>
          </w:tcPr>
          <w:p w14:paraId="0C670BBA" w14:textId="77777777" w:rsidR="00EA2B7C" w:rsidRPr="00AA499E" w:rsidRDefault="00EA2B7C">
            <w:pPr>
              <w:autoSpaceDE w:val="0"/>
              <w:autoSpaceDN w:val="0"/>
              <w:adjustRightInd w:val="0"/>
              <w:spacing w:after="0" w:line="240" w:lineRule="auto"/>
              <w:rPr>
                <w:rFonts w:ascii="Times New Roman" w:hAnsi="Times New Roman"/>
                <w:b/>
                <w:bCs/>
                <w:lang w:val="da-DK"/>
              </w:rPr>
            </w:pPr>
            <w:r w:rsidRPr="00AA499E">
              <w:rPr>
                <w:rFonts w:ascii="Times New Roman" w:hAnsi="Times New Roman"/>
                <w:i/>
                <w:color w:val="000000"/>
                <w:lang w:val="da-DK"/>
              </w:rPr>
              <w:t>Ikke kendt:</w:t>
            </w:r>
          </w:p>
        </w:tc>
        <w:tc>
          <w:tcPr>
            <w:tcW w:w="7311" w:type="dxa"/>
          </w:tcPr>
          <w:p w14:paraId="6839A753" w14:textId="77777777" w:rsidR="00EA2B7C" w:rsidRPr="00AA499E" w:rsidRDefault="00EA2B7C">
            <w:pPr>
              <w:autoSpaceDE w:val="0"/>
              <w:autoSpaceDN w:val="0"/>
              <w:adjustRightInd w:val="0"/>
              <w:spacing w:after="0" w:line="240" w:lineRule="auto"/>
              <w:rPr>
                <w:rFonts w:ascii="Times New Roman" w:hAnsi="Times New Roman"/>
                <w:b/>
                <w:bCs/>
                <w:lang w:val="da-DK"/>
              </w:rPr>
            </w:pPr>
            <w:r w:rsidRPr="00AA499E">
              <w:rPr>
                <w:rFonts w:ascii="Times New Roman" w:hAnsi="Times New Roman"/>
                <w:color w:val="000000"/>
                <w:lang w:val="da-DK"/>
              </w:rPr>
              <w:t>Anafylaktisk shock*</w:t>
            </w:r>
          </w:p>
        </w:tc>
      </w:tr>
      <w:tr w:rsidR="006478AD" w:rsidRPr="00AA499E" w14:paraId="71F36F6B" w14:textId="77777777">
        <w:tc>
          <w:tcPr>
            <w:tcW w:w="9546" w:type="dxa"/>
            <w:gridSpan w:val="2"/>
          </w:tcPr>
          <w:p w14:paraId="34EC8D3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Blod og lymfesystem</w:t>
            </w:r>
          </w:p>
        </w:tc>
      </w:tr>
      <w:tr w:rsidR="006478AD" w:rsidRPr="00AA499E" w14:paraId="1B601728" w14:textId="77777777">
        <w:tc>
          <w:tcPr>
            <w:tcW w:w="2235" w:type="dxa"/>
          </w:tcPr>
          <w:p w14:paraId="23064B4B"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Meget almindelig:</w:t>
            </w:r>
          </w:p>
        </w:tc>
        <w:tc>
          <w:tcPr>
            <w:tcW w:w="7311" w:type="dxa"/>
          </w:tcPr>
          <w:p w14:paraId="4383339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Neutropeni, trombocytopeni, anæmi</w:t>
            </w:r>
          </w:p>
        </w:tc>
      </w:tr>
      <w:tr w:rsidR="006478AD" w:rsidRPr="00AA499E" w14:paraId="0AED72ED" w14:textId="77777777">
        <w:tc>
          <w:tcPr>
            <w:tcW w:w="2235" w:type="dxa"/>
          </w:tcPr>
          <w:p w14:paraId="50651C71"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5200FCC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Pancytopeni, febril neutropeni</w:t>
            </w:r>
          </w:p>
        </w:tc>
      </w:tr>
      <w:tr w:rsidR="006478AD" w:rsidRPr="00AA499E" w14:paraId="1C1C4E96" w14:textId="77777777">
        <w:tc>
          <w:tcPr>
            <w:tcW w:w="2235" w:type="dxa"/>
          </w:tcPr>
          <w:p w14:paraId="525E9669"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11BD095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Trombocytæmi, lymfopeni, knoglemarvsdepression, eosinofili, lymfadenopati</w:t>
            </w:r>
          </w:p>
        </w:tc>
      </w:tr>
      <w:tr w:rsidR="006478AD" w:rsidRPr="00AA499E" w14:paraId="1F048D0A" w14:textId="77777777">
        <w:tc>
          <w:tcPr>
            <w:tcW w:w="2235" w:type="dxa"/>
          </w:tcPr>
          <w:p w14:paraId="04FF8D43"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5ADB02B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Hæmolytisk anæmi</w:t>
            </w:r>
            <w:r w:rsidR="0017077B" w:rsidRPr="00AA499E">
              <w:rPr>
                <w:rFonts w:ascii="Times New Roman" w:hAnsi="Times New Roman"/>
                <w:lang w:val="da-DK"/>
              </w:rPr>
              <w:t>, trombotisk mikroangiopati</w:t>
            </w:r>
          </w:p>
        </w:tc>
      </w:tr>
      <w:tr w:rsidR="006478AD" w:rsidRPr="00AA499E" w14:paraId="73F025EB" w14:textId="77777777">
        <w:tc>
          <w:tcPr>
            <w:tcW w:w="9546" w:type="dxa"/>
            <w:gridSpan w:val="2"/>
          </w:tcPr>
          <w:p w14:paraId="0CA36897"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Metabolisme og ernæring</w:t>
            </w:r>
          </w:p>
        </w:tc>
      </w:tr>
      <w:tr w:rsidR="006478AD" w:rsidRPr="00AA499E" w14:paraId="2C3D0AF5" w14:textId="77777777">
        <w:tc>
          <w:tcPr>
            <w:tcW w:w="2235" w:type="dxa"/>
          </w:tcPr>
          <w:p w14:paraId="5EEBA9F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11E57EC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Anoreksi</w:t>
            </w:r>
          </w:p>
        </w:tc>
      </w:tr>
      <w:tr w:rsidR="006478AD" w:rsidRPr="00AA499E" w14:paraId="21159F0F" w14:textId="77777777">
        <w:tc>
          <w:tcPr>
            <w:tcW w:w="2235" w:type="dxa"/>
          </w:tcPr>
          <w:p w14:paraId="3CDA261B"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17F4B02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Hypokaliæmi, øget appetit, hypofosfatæmi, nedsat appetit, dehydrering, gigt, hyperurikæmi, hyperkalcæmi, hyperglykæmi, hyponatriæmi</w:t>
            </w:r>
          </w:p>
        </w:tc>
      </w:tr>
      <w:tr w:rsidR="006478AD" w:rsidRPr="00AA499E" w14:paraId="439B38E1" w14:textId="77777777">
        <w:tc>
          <w:tcPr>
            <w:tcW w:w="2235" w:type="dxa"/>
          </w:tcPr>
          <w:p w14:paraId="5583B759"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391DB45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Hyperkaliæmi, hypomagnesiæmi</w:t>
            </w:r>
          </w:p>
        </w:tc>
      </w:tr>
      <w:tr w:rsidR="006478AD" w:rsidRPr="00AA499E" w14:paraId="591E2C32" w14:textId="77777777">
        <w:tc>
          <w:tcPr>
            <w:tcW w:w="9546" w:type="dxa"/>
            <w:gridSpan w:val="2"/>
          </w:tcPr>
          <w:p w14:paraId="34E1E515"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Psykiske forstyrrelser</w:t>
            </w:r>
          </w:p>
        </w:tc>
      </w:tr>
      <w:tr w:rsidR="006478AD" w:rsidRPr="00AA499E" w14:paraId="008C1264" w14:textId="77777777">
        <w:tc>
          <w:tcPr>
            <w:tcW w:w="2235" w:type="dxa"/>
          </w:tcPr>
          <w:p w14:paraId="759264A2"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0C2B9F5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Insomni</w:t>
            </w:r>
          </w:p>
        </w:tc>
      </w:tr>
      <w:tr w:rsidR="006478AD" w:rsidRPr="00AA499E" w14:paraId="4DE086A9" w14:textId="77777777">
        <w:tc>
          <w:tcPr>
            <w:tcW w:w="2235" w:type="dxa"/>
          </w:tcPr>
          <w:p w14:paraId="18AA34A3"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54B20E6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Depression, nedsat libido, angst</w:t>
            </w:r>
          </w:p>
        </w:tc>
      </w:tr>
      <w:tr w:rsidR="006478AD" w:rsidRPr="00AA499E" w14:paraId="4CF99A5A" w14:textId="77777777">
        <w:tc>
          <w:tcPr>
            <w:tcW w:w="2235" w:type="dxa"/>
          </w:tcPr>
          <w:p w14:paraId="399AEAB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072C63B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Konfusion</w:t>
            </w:r>
          </w:p>
        </w:tc>
      </w:tr>
      <w:tr w:rsidR="006478AD" w:rsidRPr="00AA499E" w14:paraId="77849410" w14:textId="77777777">
        <w:tc>
          <w:tcPr>
            <w:tcW w:w="9546" w:type="dxa"/>
            <w:gridSpan w:val="2"/>
          </w:tcPr>
          <w:p w14:paraId="1EA33DB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Nervesystemet</w:t>
            </w:r>
          </w:p>
        </w:tc>
      </w:tr>
      <w:tr w:rsidR="006478AD" w:rsidRPr="00AA499E" w14:paraId="48FB6048" w14:textId="77777777">
        <w:tc>
          <w:tcPr>
            <w:tcW w:w="2235" w:type="dxa"/>
          </w:tcPr>
          <w:p w14:paraId="34311530"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lastRenderedPageBreak/>
              <w:t>Meget almindelig:</w:t>
            </w:r>
          </w:p>
        </w:tc>
        <w:tc>
          <w:tcPr>
            <w:tcW w:w="7311" w:type="dxa"/>
          </w:tcPr>
          <w:p w14:paraId="5A06912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Hovedpine</w:t>
            </w:r>
            <w:r w:rsidRPr="00AA499E">
              <w:rPr>
                <w:rFonts w:ascii="Times New Roman" w:hAnsi="Times New Roman"/>
                <w:vertAlign w:val="superscript"/>
                <w:lang w:val="da-DK"/>
              </w:rPr>
              <w:t>2</w:t>
            </w:r>
          </w:p>
        </w:tc>
      </w:tr>
      <w:tr w:rsidR="006478AD" w:rsidRPr="00AA499E" w14:paraId="4406FA3C" w14:textId="77777777">
        <w:tc>
          <w:tcPr>
            <w:tcW w:w="2235" w:type="dxa"/>
          </w:tcPr>
          <w:p w14:paraId="6EA97F33"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7781A79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Svimmelhed, paræstesi, smagsforstyrrelser, hypoæstesi</w:t>
            </w:r>
          </w:p>
        </w:tc>
      </w:tr>
      <w:tr w:rsidR="006478AD" w:rsidRPr="00AA499E" w14:paraId="1EDABC5D" w14:textId="77777777">
        <w:tc>
          <w:tcPr>
            <w:tcW w:w="2235" w:type="dxa"/>
          </w:tcPr>
          <w:p w14:paraId="5ABABA6B"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488E86E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Migræne, døsighed, synkope, perifer neuropati, hukommelsessvigt, iskias, restless leg syndrome, tremor, hjerneblødning</w:t>
            </w:r>
          </w:p>
        </w:tc>
      </w:tr>
      <w:tr w:rsidR="006478AD" w:rsidRPr="00AA499E" w14:paraId="7A033FF2" w14:textId="77777777">
        <w:tc>
          <w:tcPr>
            <w:tcW w:w="2235" w:type="dxa"/>
          </w:tcPr>
          <w:p w14:paraId="48791134"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6795D46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Øget interkranielt tryk, kramper, synsnervebetændelse</w:t>
            </w:r>
          </w:p>
        </w:tc>
      </w:tr>
      <w:tr w:rsidR="00EA2B7C" w:rsidRPr="00AA499E" w14:paraId="0487EE86" w14:textId="77777777">
        <w:tc>
          <w:tcPr>
            <w:tcW w:w="2235" w:type="dxa"/>
          </w:tcPr>
          <w:p w14:paraId="69B92BC2"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7FD0B3A0"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Cerebralt ødem*</w:t>
            </w:r>
          </w:p>
        </w:tc>
      </w:tr>
      <w:tr w:rsidR="006478AD" w:rsidRPr="00AA499E" w14:paraId="503AC945" w14:textId="77777777">
        <w:tc>
          <w:tcPr>
            <w:tcW w:w="9546" w:type="dxa"/>
            <w:gridSpan w:val="2"/>
          </w:tcPr>
          <w:p w14:paraId="6DD645A5"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Øjne</w:t>
            </w:r>
          </w:p>
        </w:tc>
      </w:tr>
      <w:tr w:rsidR="006478AD" w:rsidRPr="00AA499E" w14:paraId="0BA01A30" w14:textId="77777777">
        <w:tc>
          <w:tcPr>
            <w:tcW w:w="2235" w:type="dxa"/>
          </w:tcPr>
          <w:p w14:paraId="7A483F7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40B8C66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Øjenlågsødem, øget tåreflåd, konjunktivalblødning, konjunktivitis, øjentørhed, sløret syn</w:t>
            </w:r>
          </w:p>
        </w:tc>
      </w:tr>
      <w:tr w:rsidR="006478AD" w:rsidRPr="00AA499E" w14:paraId="5F365137" w14:textId="77777777">
        <w:tc>
          <w:tcPr>
            <w:tcW w:w="2235" w:type="dxa"/>
          </w:tcPr>
          <w:p w14:paraId="181962D4"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20F12C1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Øjenirritation, øjensmerter, orbitalt ødem, sclerablødning, retinablødning, blepharitis, makulært ødem</w:t>
            </w:r>
          </w:p>
        </w:tc>
      </w:tr>
      <w:tr w:rsidR="006478AD" w:rsidRPr="00AA499E" w14:paraId="3D34D1C3" w14:textId="77777777">
        <w:tc>
          <w:tcPr>
            <w:tcW w:w="2235" w:type="dxa"/>
          </w:tcPr>
          <w:p w14:paraId="41D68E69"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5F222D6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Katarakt, glaukom, papilødem</w:t>
            </w:r>
          </w:p>
        </w:tc>
      </w:tr>
      <w:tr w:rsidR="00EA2B7C" w:rsidRPr="00AA499E" w14:paraId="265C9772" w14:textId="77777777">
        <w:tc>
          <w:tcPr>
            <w:tcW w:w="2235" w:type="dxa"/>
          </w:tcPr>
          <w:p w14:paraId="2E5FFDA8"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3392EB60"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Glaslegemeblødning*</w:t>
            </w:r>
          </w:p>
        </w:tc>
      </w:tr>
      <w:tr w:rsidR="006478AD" w:rsidRPr="00AA499E" w14:paraId="065C56CB" w14:textId="77777777">
        <w:tc>
          <w:tcPr>
            <w:tcW w:w="9546" w:type="dxa"/>
            <w:gridSpan w:val="2"/>
          </w:tcPr>
          <w:p w14:paraId="492AB486"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Øre og labyrint</w:t>
            </w:r>
          </w:p>
        </w:tc>
      </w:tr>
      <w:tr w:rsidR="006478AD" w:rsidRPr="00AA499E" w14:paraId="120F9BC2" w14:textId="77777777">
        <w:tc>
          <w:tcPr>
            <w:tcW w:w="2235" w:type="dxa"/>
          </w:tcPr>
          <w:p w14:paraId="1F7A629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35261C1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Vertigo, tinnitus, tab af hørelse</w:t>
            </w:r>
          </w:p>
        </w:tc>
      </w:tr>
      <w:tr w:rsidR="006478AD" w:rsidRPr="00AA499E" w14:paraId="0798EBCE" w14:textId="77777777">
        <w:tc>
          <w:tcPr>
            <w:tcW w:w="9546" w:type="dxa"/>
            <w:gridSpan w:val="2"/>
          </w:tcPr>
          <w:p w14:paraId="7BD7244F"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Hjerte</w:t>
            </w:r>
          </w:p>
        </w:tc>
      </w:tr>
      <w:tr w:rsidR="006478AD" w:rsidRPr="00AA499E" w14:paraId="79ED766F" w14:textId="77777777">
        <w:tc>
          <w:tcPr>
            <w:tcW w:w="2235" w:type="dxa"/>
          </w:tcPr>
          <w:p w14:paraId="109AF01E"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22FA5DC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Palpitationer, takykardi, hjerteinsufficiens</w:t>
            </w:r>
            <w:r w:rsidRPr="00AA499E">
              <w:rPr>
                <w:rFonts w:ascii="Times New Roman" w:hAnsi="Times New Roman"/>
                <w:vertAlign w:val="superscript"/>
                <w:lang w:val="da-DK"/>
              </w:rPr>
              <w:t>3</w:t>
            </w:r>
            <w:r w:rsidRPr="00AA499E">
              <w:rPr>
                <w:rFonts w:ascii="Times New Roman" w:hAnsi="Times New Roman"/>
                <w:lang w:val="da-DK"/>
              </w:rPr>
              <w:t>, lungeødem</w:t>
            </w:r>
          </w:p>
        </w:tc>
      </w:tr>
      <w:tr w:rsidR="006478AD" w:rsidRPr="00AA499E" w14:paraId="53FFED90" w14:textId="77777777">
        <w:tc>
          <w:tcPr>
            <w:tcW w:w="2235" w:type="dxa"/>
          </w:tcPr>
          <w:p w14:paraId="25E56EEC"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Sjælden:</w:t>
            </w:r>
          </w:p>
        </w:tc>
        <w:tc>
          <w:tcPr>
            <w:tcW w:w="7311" w:type="dxa"/>
          </w:tcPr>
          <w:p w14:paraId="6DDD0B1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Arytmi, atrieflimren, hjertestop, myokardieinfarkt, angina pectoris, perikardiel effusion</w:t>
            </w:r>
          </w:p>
        </w:tc>
      </w:tr>
      <w:tr w:rsidR="00EA2B7C" w:rsidRPr="00AA499E" w14:paraId="06A67EC2" w14:textId="77777777">
        <w:tc>
          <w:tcPr>
            <w:tcW w:w="2235" w:type="dxa"/>
          </w:tcPr>
          <w:p w14:paraId="1C4996BD"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4E2899F1"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Perikardit*, hjertetamponade*</w:t>
            </w:r>
          </w:p>
        </w:tc>
      </w:tr>
      <w:tr w:rsidR="006478AD" w:rsidRPr="00AA499E" w14:paraId="50CB534A" w14:textId="77777777">
        <w:tc>
          <w:tcPr>
            <w:tcW w:w="9546" w:type="dxa"/>
            <w:gridSpan w:val="2"/>
          </w:tcPr>
          <w:p w14:paraId="3C59818A"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Vaskulære sygdomme</w:t>
            </w:r>
            <w:r w:rsidRPr="00AA499E">
              <w:rPr>
                <w:rFonts w:ascii="Times New Roman" w:hAnsi="Times New Roman"/>
                <w:b/>
                <w:bCs/>
                <w:vertAlign w:val="superscript"/>
                <w:lang w:val="da-DK"/>
              </w:rPr>
              <w:t>4</w:t>
            </w:r>
          </w:p>
        </w:tc>
      </w:tr>
      <w:tr w:rsidR="006478AD" w:rsidRPr="00AA499E" w14:paraId="2BE9CC9D" w14:textId="77777777">
        <w:tc>
          <w:tcPr>
            <w:tcW w:w="2235" w:type="dxa"/>
          </w:tcPr>
          <w:p w14:paraId="234714A7"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78F00B2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Flushing, blødning</w:t>
            </w:r>
          </w:p>
        </w:tc>
      </w:tr>
      <w:tr w:rsidR="006478AD" w:rsidRPr="00AA499E" w14:paraId="3BF6101C" w14:textId="77777777">
        <w:tc>
          <w:tcPr>
            <w:tcW w:w="2235" w:type="dxa"/>
          </w:tcPr>
          <w:p w14:paraId="435B61E6"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23C79D9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Hypertension, hæmatom, subduralt hæmatom, kuldefornemmelser i ekstremiteter, hypotension, Raynaud’s syndrom</w:t>
            </w:r>
          </w:p>
        </w:tc>
      </w:tr>
      <w:tr w:rsidR="00EA2B7C" w:rsidRPr="00AA499E" w14:paraId="5934FA0F" w14:textId="77777777">
        <w:tc>
          <w:tcPr>
            <w:tcW w:w="2235" w:type="dxa"/>
          </w:tcPr>
          <w:p w14:paraId="69D4E2FA"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271484BC"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Trombose/emboli*</w:t>
            </w:r>
          </w:p>
        </w:tc>
      </w:tr>
      <w:tr w:rsidR="006478AD" w:rsidRPr="00AA499E" w14:paraId="5DEF5F76" w14:textId="77777777">
        <w:tc>
          <w:tcPr>
            <w:tcW w:w="9546" w:type="dxa"/>
            <w:gridSpan w:val="2"/>
          </w:tcPr>
          <w:p w14:paraId="606A0284"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b/>
                <w:bCs/>
                <w:lang w:val="da-DK"/>
              </w:rPr>
              <w:t>Luftveje, thorax og mediastinum</w:t>
            </w:r>
          </w:p>
        </w:tc>
      </w:tr>
      <w:tr w:rsidR="006478AD" w:rsidRPr="00AA499E" w14:paraId="797CF87F" w14:textId="77777777">
        <w:tc>
          <w:tcPr>
            <w:tcW w:w="2235" w:type="dxa"/>
          </w:tcPr>
          <w:p w14:paraId="432E2615"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Almindelig:</w:t>
            </w:r>
          </w:p>
        </w:tc>
        <w:tc>
          <w:tcPr>
            <w:tcW w:w="7311" w:type="dxa"/>
          </w:tcPr>
          <w:p w14:paraId="5C77C2E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Dyspnø, næseblod, hoste</w:t>
            </w:r>
          </w:p>
        </w:tc>
      </w:tr>
      <w:tr w:rsidR="006478AD" w:rsidRPr="00AA499E" w14:paraId="5637B6A3" w14:textId="77777777">
        <w:tc>
          <w:tcPr>
            <w:tcW w:w="2235" w:type="dxa"/>
          </w:tcPr>
          <w:p w14:paraId="4A562582" w14:textId="77777777" w:rsidR="006478AD" w:rsidRPr="00AA499E" w:rsidRDefault="00616F3C">
            <w:pPr>
              <w:autoSpaceDE w:val="0"/>
              <w:autoSpaceDN w:val="0"/>
              <w:adjustRightInd w:val="0"/>
              <w:spacing w:after="0" w:line="240" w:lineRule="auto"/>
              <w:rPr>
                <w:rFonts w:ascii="Times New Roman" w:hAnsi="Times New Roman"/>
                <w:sz w:val="20"/>
                <w:szCs w:val="20"/>
                <w:lang w:val="da-DK"/>
              </w:rPr>
            </w:pPr>
            <w:r w:rsidRPr="00AA499E">
              <w:rPr>
                <w:rFonts w:ascii="Times New Roman" w:hAnsi="Times New Roman"/>
                <w:i/>
                <w:iCs/>
                <w:lang w:val="da-DK"/>
              </w:rPr>
              <w:t>Ikke almindelig:</w:t>
            </w:r>
          </w:p>
        </w:tc>
        <w:tc>
          <w:tcPr>
            <w:tcW w:w="7311" w:type="dxa"/>
          </w:tcPr>
          <w:p w14:paraId="65E9D25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Pleuraekssudat</w:t>
            </w:r>
            <w:r w:rsidRPr="00AA499E">
              <w:rPr>
                <w:rFonts w:ascii="Times New Roman" w:hAnsi="Times New Roman"/>
                <w:vertAlign w:val="superscript"/>
                <w:lang w:val="da-DK"/>
              </w:rPr>
              <w:t>5</w:t>
            </w:r>
            <w:r w:rsidRPr="00AA499E">
              <w:rPr>
                <w:rFonts w:ascii="Times New Roman" w:hAnsi="Times New Roman"/>
                <w:lang w:val="da-DK"/>
              </w:rPr>
              <w:t>, faryngolaryngeale smerter, pharyngitis</w:t>
            </w:r>
          </w:p>
        </w:tc>
      </w:tr>
      <w:tr w:rsidR="006478AD" w:rsidRPr="00AA499E" w14:paraId="0489D219" w14:textId="77777777">
        <w:tc>
          <w:tcPr>
            <w:tcW w:w="2235" w:type="dxa"/>
          </w:tcPr>
          <w:p w14:paraId="3266734B"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1F61C33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Pleuralgi, lungefibrose, pulmonal hypertension, pulmonal blødning</w:t>
            </w:r>
          </w:p>
        </w:tc>
      </w:tr>
      <w:tr w:rsidR="00EA2B7C" w:rsidRPr="00AA499E" w14:paraId="31C77331" w14:textId="77777777">
        <w:tc>
          <w:tcPr>
            <w:tcW w:w="2235" w:type="dxa"/>
          </w:tcPr>
          <w:p w14:paraId="364DAB66"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5CB5493C" w14:textId="77777777" w:rsidR="00EA2B7C" w:rsidRPr="00AA499E" w:rsidRDefault="00EA2B7C" w:rsidP="00347142">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Akut respirationssvigt</w:t>
            </w:r>
            <w:r w:rsidRPr="00AA499E">
              <w:rPr>
                <w:rFonts w:ascii="Times New Roman" w:hAnsi="Times New Roman"/>
                <w:color w:val="000000"/>
                <w:vertAlign w:val="superscript"/>
                <w:lang w:val="da-DK"/>
              </w:rPr>
              <w:t>1</w:t>
            </w:r>
            <w:r w:rsidR="00347142" w:rsidRPr="00AA499E">
              <w:rPr>
                <w:rFonts w:ascii="Times New Roman" w:hAnsi="Times New Roman"/>
                <w:color w:val="000000"/>
                <w:vertAlign w:val="superscript"/>
                <w:lang w:val="da-DK"/>
              </w:rPr>
              <w:t>1</w:t>
            </w:r>
            <w:r w:rsidRPr="00AA499E">
              <w:rPr>
                <w:rFonts w:ascii="Times New Roman" w:hAnsi="Times New Roman"/>
                <w:color w:val="000000"/>
                <w:lang w:val="da-DK"/>
              </w:rPr>
              <w:t>*, interstitiel lungesygdom*</w:t>
            </w:r>
          </w:p>
        </w:tc>
      </w:tr>
      <w:tr w:rsidR="006478AD" w:rsidRPr="00AA499E" w14:paraId="102820F2" w14:textId="77777777">
        <w:tc>
          <w:tcPr>
            <w:tcW w:w="9546" w:type="dxa"/>
            <w:gridSpan w:val="2"/>
          </w:tcPr>
          <w:p w14:paraId="4B9AE3F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Mave-tarmkanalen</w:t>
            </w:r>
          </w:p>
        </w:tc>
      </w:tr>
      <w:tr w:rsidR="006478AD" w:rsidRPr="00AA499E" w14:paraId="54FB16BF" w14:textId="77777777">
        <w:tc>
          <w:tcPr>
            <w:tcW w:w="2235" w:type="dxa"/>
          </w:tcPr>
          <w:p w14:paraId="6E84AFD0"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7359BED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Kvalme, diarré, opkast, dyspepsi, abdominalsmerter</w:t>
            </w:r>
            <w:r w:rsidRPr="00AA499E">
              <w:rPr>
                <w:rFonts w:ascii="Times New Roman" w:hAnsi="Times New Roman"/>
                <w:vertAlign w:val="superscript"/>
                <w:lang w:val="da-DK"/>
              </w:rPr>
              <w:t>6</w:t>
            </w:r>
          </w:p>
        </w:tc>
      </w:tr>
      <w:tr w:rsidR="006478AD" w:rsidRPr="00AA499E" w14:paraId="77C129F8" w14:textId="77777777">
        <w:tc>
          <w:tcPr>
            <w:tcW w:w="2235" w:type="dxa"/>
          </w:tcPr>
          <w:p w14:paraId="3FA472BB"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22D2458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Flatulens, abdominal udspilling, gastrooesophageal refluks, obstipation, mundtørhed, gastritis</w:t>
            </w:r>
          </w:p>
        </w:tc>
      </w:tr>
      <w:tr w:rsidR="006478AD" w:rsidRPr="00AA499E" w14:paraId="5BA13F50" w14:textId="77777777">
        <w:tc>
          <w:tcPr>
            <w:tcW w:w="2235" w:type="dxa"/>
          </w:tcPr>
          <w:p w14:paraId="4874139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281F80E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Stomatitis, mundulcera, gastrointestinalblødning</w:t>
            </w:r>
            <w:r w:rsidRPr="00AA499E">
              <w:rPr>
                <w:rFonts w:ascii="Times New Roman" w:hAnsi="Times New Roman"/>
                <w:vertAlign w:val="superscript"/>
                <w:lang w:val="da-DK"/>
              </w:rPr>
              <w:t>7</w:t>
            </w:r>
            <w:r w:rsidRPr="00AA499E">
              <w:rPr>
                <w:rFonts w:ascii="Times New Roman" w:hAnsi="Times New Roman"/>
                <w:lang w:val="da-DK"/>
              </w:rPr>
              <w:t>, sure opstød, melæna, betændelse i spiserøret, ascites, mavesår, hæmatemese, cheilitis, dysfagi, pankreatitis</w:t>
            </w:r>
          </w:p>
        </w:tc>
      </w:tr>
      <w:tr w:rsidR="006478AD" w:rsidRPr="00AA499E" w14:paraId="7C76D407" w14:textId="77777777">
        <w:tc>
          <w:tcPr>
            <w:tcW w:w="2235" w:type="dxa"/>
          </w:tcPr>
          <w:p w14:paraId="5406C3A4"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228C53C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Colitis, ileus, inflammatorisk tarmsygdom</w:t>
            </w:r>
          </w:p>
        </w:tc>
      </w:tr>
      <w:tr w:rsidR="00EA2B7C" w:rsidRPr="00AA499E" w14:paraId="5E116D83" w14:textId="77777777">
        <w:tc>
          <w:tcPr>
            <w:tcW w:w="2235" w:type="dxa"/>
          </w:tcPr>
          <w:p w14:paraId="75B10F78"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24AB6369"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 xml:space="preserve">Ileus/intestinal obstruktion*, gastrointestinal perforation*, diverticulitis*, </w:t>
            </w:r>
            <w:r w:rsidRPr="00AA499E">
              <w:rPr>
                <w:rFonts w:ascii="Times New Roman" w:hAnsi="Times New Roman"/>
                <w:i/>
                <w:snapToGrid w:val="0"/>
                <w:color w:val="000000"/>
                <w:lang w:val="da-DK"/>
              </w:rPr>
              <w:t>gastric antral vascular ectasia</w:t>
            </w:r>
            <w:r w:rsidRPr="00AA499E">
              <w:rPr>
                <w:rFonts w:ascii="Times New Roman" w:hAnsi="Times New Roman"/>
                <w:snapToGrid w:val="0"/>
                <w:color w:val="000000"/>
                <w:lang w:val="da-DK"/>
              </w:rPr>
              <w:t xml:space="preserve"> (GAVE)*</w:t>
            </w:r>
          </w:p>
        </w:tc>
      </w:tr>
      <w:tr w:rsidR="006478AD" w:rsidRPr="00AA499E" w14:paraId="573090A7" w14:textId="77777777">
        <w:tc>
          <w:tcPr>
            <w:tcW w:w="9546" w:type="dxa"/>
            <w:gridSpan w:val="2"/>
          </w:tcPr>
          <w:p w14:paraId="5DA3278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Lever og galdeveje</w:t>
            </w:r>
          </w:p>
        </w:tc>
      </w:tr>
      <w:tr w:rsidR="006478AD" w:rsidRPr="00AA499E" w14:paraId="5EA6C5AB" w14:textId="77777777">
        <w:tc>
          <w:tcPr>
            <w:tcW w:w="2235" w:type="dxa"/>
          </w:tcPr>
          <w:p w14:paraId="7D2A475B"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5A00757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Forhøjede leverenzymer</w:t>
            </w:r>
          </w:p>
        </w:tc>
      </w:tr>
      <w:tr w:rsidR="006478AD" w:rsidRPr="00AA499E" w14:paraId="78885C05" w14:textId="77777777">
        <w:tc>
          <w:tcPr>
            <w:tcW w:w="2235" w:type="dxa"/>
          </w:tcPr>
          <w:p w14:paraId="3EFA2BDB"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1E71384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Hyperbilirubinæmi, hepatitis, gulsot</w:t>
            </w:r>
          </w:p>
        </w:tc>
      </w:tr>
      <w:tr w:rsidR="006478AD" w:rsidRPr="00AA499E" w14:paraId="5B785E8B" w14:textId="77777777">
        <w:tc>
          <w:tcPr>
            <w:tcW w:w="2235" w:type="dxa"/>
          </w:tcPr>
          <w:p w14:paraId="223F2B6C"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6C718E9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Leversvigt</w:t>
            </w:r>
            <w:r w:rsidRPr="00AA499E">
              <w:rPr>
                <w:rFonts w:ascii="Times New Roman" w:hAnsi="Times New Roman"/>
                <w:vertAlign w:val="superscript"/>
                <w:lang w:val="da-DK"/>
              </w:rPr>
              <w:t>8</w:t>
            </w:r>
            <w:r w:rsidRPr="00AA499E">
              <w:rPr>
                <w:rFonts w:ascii="Times New Roman" w:hAnsi="Times New Roman"/>
                <w:lang w:val="da-DK"/>
              </w:rPr>
              <w:t>, levernekrose</w:t>
            </w:r>
          </w:p>
        </w:tc>
      </w:tr>
      <w:tr w:rsidR="006478AD" w:rsidRPr="00AA499E" w14:paraId="4A0896C6" w14:textId="77777777">
        <w:tc>
          <w:tcPr>
            <w:tcW w:w="9546" w:type="dxa"/>
            <w:gridSpan w:val="2"/>
          </w:tcPr>
          <w:p w14:paraId="33CFE81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Hud og subkutane væv</w:t>
            </w:r>
          </w:p>
        </w:tc>
      </w:tr>
      <w:tr w:rsidR="006478AD" w:rsidRPr="00AA499E" w14:paraId="270D5C53" w14:textId="77777777">
        <w:tc>
          <w:tcPr>
            <w:tcW w:w="2235" w:type="dxa"/>
          </w:tcPr>
          <w:p w14:paraId="468CF58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28B446D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Periorbitalt ødem, dermatitis/eksem/udslæt</w:t>
            </w:r>
          </w:p>
        </w:tc>
      </w:tr>
      <w:tr w:rsidR="006478AD" w:rsidRPr="00AA499E" w14:paraId="15AD762A" w14:textId="77777777">
        <w:tc>
          <w:tcPr>
            <w:tcW w:w="2235" w:type="dxa"/>
          </w:tcPr>
          <w:p w14:paraId="469BAFEC"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5DB8CD6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Pruritus, ansigtsødem, tør hud, erythem, alopeci, natlig svedtendens, lysoverfølsomhedsreaktion</w:t>
            </w:r>
          </w:p>
        </w:tc>
      </w:tr>
      <w:tr w:rsidR="006478AD" w:rsidRPr="00AA499E" w14:paraId="5D72CDBB" w14:textId="77777777">
        <w:tc>
          <w:tcPr>
            <w:tcW w:w="2235" w:type="dxa"/>
          </w:tcPr>
          <w:p w14:paraId="3A9AD923"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lastRenderedPageBreak/>
              <w:t>Ikke almindelig:</w:t>
            </w:r>
          </w:p>
        </w:tc>
        <w:tc>
          <w:tcPr>
            <w:tcW w:w="7311" w:type="dxa"/>
          </w:tcPr>
          <w:p w14:paraId="6188F02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Pustuløst udslæt, kontusion, øget svedtendens, urticaria, ecchymose, let til knubs og mærker, hypotrichosis, hypopigmentering af huden, dermatitis exfoliativa, onychoclasi, folliculitis, petechier, psoriasis, purpura, hyperpigmentering af huden, bulløst udslæt</w:t>
            </w:r>
          </w:p>
        </w:tc>
      </w:tr>
      <w:tr w:rsidR="006478AD" w:rsidRPr="00AA499E" w14:paraId="096FD38C" w14:textId="77777777">
        <w:tc>
          <w:tcPr>
            <w:tcW w:w="2235" w:type="dxa"/>
          </w:tcPr>
          <w:p w14:paraId="184B618B"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1EE9C67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Akut febril neutrofil dermatose (Sweets syndrom), misfarvning af negle, angioødem, vesikulært udslæt, erythema multiforme, leukocytoklastisk vasculitis, Stevens-Johnson syndrom, akut generaliseret eksantematøs pustulose (AGEP)</w:t>
            </w:r>
          </w:p>
        </w:tc>
      </w:tr>
      <w:tr w:rsidR="00EA2B7C" w:rsidRPr="00AA499E" w14:paraId="639F205C" w14:textId="77777777">
        <w:tc>
          <w:tcPr>
            <w:tcW w:w="2235" w:type="dxa"/>
          </w:tcPr>
          <w:p w14:paraId="22134F31"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 xml:space="preserve">Ikke kendt: </w:t>
            </w:r>
          </w:p>
        </w:tc>
        <w:tc>
          <w:tcPr>
            <w:tcW w:w="7311" w:type="dxa"/>
          </w:tcPr>
          <w:p w14:paraId="59D1E084"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 xml:space="preserve">Palmoplantar erytrodysæstesi syndrom*, lichenoid keratosis*, lichen planus*, toksisk epidermal nekrolyse*, </w:t>
            </w:r>
            <w:r w:rsidRPr="00AA499E">
              <w:rPr>
                <w:rFonts w:ascii="Times New Roman" w:hAnsi="Times New Roman"/>
                <w:bCs/>
                <w:lang w:val="da-DK"/>
              </w:rPr>
              <w:t>medikamentelt udslæt med eosinofili og systemiske symptomer (DRESS)*</w:t>
            </w:r>
            <w:r w:rsidR="00D8731B" w:rsidRPr="00AA499E">
              <w:rPr>
                <w:rFonts w:ascii="Times New Roman" w:eastAsia="Times New Roman" w:hAnsi="Times New Roman"/>
                <w:color w:val="000000"/>
                <w:lang w:val="da-DK"/>
              </w:rPr>
              <w:t xml:space="preserve"> </w:t>
            </w:r>
            <w:r w:rsidR="00D8731B" w:rsidRPr="00AA499E">
              <w:rPr>
                <w:rFonts w:ascii="Times New Roman" w:hAnsi="Times New Roman"/>
                <w:lang w:val="da-DK"/>
              </w:rPr>
              <w:t>, pseudoporfyri*</w:t>
            </w:r>
          </w:p>
        </w:tc>
      </w:tr>
      <w:tr w:rsidR="006478AD" w:rsidRPr="00AA499E" w14:paraId="7FAD97A6" w14:textId="77777777">
        <w:tc>
          <w:tcPr>
            <w:tcW w:w="9546" w:type="dxa"/>
            <w:gridSpan w:val="2"/>
          </w:tcPr>
          <w:p w14:paraId="6AA965A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Knogler, led, muskler og bindevæv</w:t>
            </w:r>
          </w:p>
        </w:tc>
      </w:tr>
      <w:tr w:rsidR="006478AD" w:rsidRPr="00AA499E" w14:paraId="02D653C5" w14:textId="77777777">
        <w:tc>
          <w:tcPr>
            <w:tcW w:w="2235" w:type="dxa"/>
          </w:tcPr>
          <w:p w14:paraId="419FAF4B"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2614B0F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Muskelspasmer og kramper, muskuloskeletale smerter herunder myalgi</w:t>
            </w:r>
            <w:r w:rsidR="00347142" w:rsidRPr="00AA499E">
              <w:rPr>
                <w:rFonts w:ascii="Times New Roman" w:hAnsi="Times New Roman"/>
                <w:vertAlign w:val="superscript"/>
                <w:lang w:val="da-DK"/>
              </w:rPr>
              <w:t>9</w:t>
            </w:r>
            <w:r w:rsidRPr="00AA499E">
              <w:rPr>
                <w:rFonts w:ascii="Times New Roman" w:hAnsi="Times New Roman"/>
                <w:lang w:val="da-DK"/>
              </w:rPr>
              <w:t>, artralgi, knoglesmerter</w:t>
            </w:r>
            <w:r w:rsidR="00347142" w:rsidRPr="00AA499E">
              <w:rPr>
                <w:rFonts w:ascii="Times New Roman" w:hAnsi="Times New Roman"/>
                <w:vertAlign w:val="superscript"/>
                <w:lang w:val="da-DK"/>
              </w:rPr>
              <w:t>10</w:t>
            </w:r>
          </w:p>
        </w:tc>
      </w:tr>
      <w:tr w:rsidR="006478AD" w:rsidRPr="00AA499E" w14:paraId="472F81AF" w14:textId="77777777">
        <w:tc>
          <w:tcPr>
            <w:tcW w:w="2235" w:type="dxa"/>
          </w:tcPr>
          <w:p w14:paraId="73586416"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210490B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Hævelse af led</w:t>
            </w:r>
          </w:p>
        </w:tc>
      </w:tr>
      <w:tr w:rsidR="006478AD" w:rsidRPr="00AA499E" w14:paraId="5C918E96" w14:textId="77777777">
        <w:tc>
          <w:tcPr>
            <w:tcW w:w="2235" w:type="dxa"/>
          </w:tcPr>
          <w:p w14:paraId="048EF6F0"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7BA3F8E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Stivhed i led og muskler</w:t>
            </w:r>
          </w:p>
        </w:tc>
      </w:tr>
      <w:tr w:rsidR="006478AD" w:rsidRPr="00AA499E" w14:paraId="7B0B1BFF" w14:textId="77777777">
        <w:tc>
          <w:tcPr>
            <w:tcW w:w="2235" w:type="dxa"/>
          </w:tcPr>
          <w:p w14:paraId="5717FF4F"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4EAA6C5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Musklesvaghed, arthritis, rabdomyolyse/myopati</w:t>
            </w:r>
          </w:p>
        </w:tc>
      </w:tr>
      <w:tr w:rsidR="00EA2B7C" w:rsidRPr="00AA499E" w14:paraId="19357F94" w14:textId="77777777">
        <w:tc>
          <w:tcPr>
            <w:tcW w:w="2235" w:type="dxa"/>
          </w:tcPr>
          <w:p w14:paraId="743DF008"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072E606A"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Avaskulær nekrose/hoftenekrose*, væksthæmning hos børn*</w:t>
            </w:r>
          </w:p>
        </w:tc>
      </w:tr>
      <w:tr w:rsidR="006478AD" w:rsidRPr="00AA499E" w14:paraId="2F222DBD" w14:textId="77777777">
        <w:tc>
          <w:tcPr>
            <w:tcW w:w="9546" w:type="dxa"/>
            <w:gridSpan w:val="2"/>
          </w:tcPr>
          <w:p w14:paraId="346C05A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Nyrer og urinveje</w:t>
            </w:r>
          </w:p>
        </w:tc>
      </w:tr>
      <w:tr w:rsidR="006478AD" w:rsidRPr="00AA499E" w14:paraId="56E8B353" w14:textId="77777777">
        <w:tc>
          <w:tcPr>
            <w:tcW w:w="2235" w:type="dxa"/>
          </w:tcPr>
          <w:p w14:paraId="4D41837A"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655DB4A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Nyresmerter, hæmaturi, akut nyresvigt, øget vandladningsfrekvens</w:t>
            </w:r>
          </w:p>
        </w:tc>
      </w:tr>
      <w:tr w:rsidR="00EA2B7C" w:rsidRPr="00AA499E" w14:paraId="1B457E09" w14:textId="77777777">
        <w:tc>
          <w:tcPr>
            <w:tcW w:w="2235" w:type="dxa"/>
          </w:tcPr>
          <w:p w14:paraId="383461A0" w14:textId="77777777" w:rsidR="00EA2B7C" w:rsidRPr="00AA499E" w:rsidRDefault="00EA2B7C">
            <w:pPr>
              <w:autoSpaceDE w:val="0"/>
              <w:autoSpaceDN w:val="0"/>
              <w:adjustRightInd w:val="0"/>
              <w:spacing w:after="0" w:line="240" w:lineRule="auto"/>
              <w:rPr>
                <w:rFonts w:ascii="Times New Roman" w:hAnsi="Times New Roman"/>
                <w:i/>
                <w:iCs/>
                <w:lang w:val="da-DK"/>
              </w:rPr>
            </w:pPr>
            <w:r w:rsidRPr="00AA499E">
              <w:rPr>
                <w:rFonts w:ascii="Times New Roman" w:hAnsi="Times New Roman"/>
                <w:i/>
                <w:color w:val="000000"/>
                <w:lang w:val="da-DK"/>
              </w:rPr>
              <w:t>Ikke kendt:</w:t>
            </w:r>
          </w:p>
        </w:tc>
        <w:tc>
          <w:tcPr>
            <w:tcW w:w="7311" w:type="dxa"/>
          </w:tcPr>
          <w:p w14:paraId="4C92153C" w14:textId="77777777" w:rsidR="00EA2B7C" w:rsidRPr="00AA499E" w:rsidRDefault="00EA2B7C">
            <w:pPr>
              <w:autoSpaceDE w:val="0"/>
              <w:autoSpaceDN w:val="0"/>
              <w:adjustRightInd w:val="0"/>
              <w:spacing w:after="0" w:line="240" w:lineRule="auto"/>
              <w:rPr>
                <w:rFonts w:ascii="Times New Roman" w:hAnsi="Times New Roman"/>
                <w:lang w:val="da-DK"/>
              </w:rPr>
            </w:pPr>
            <w:r w:rsidRPr="00AA499E">
              <w:rPr>
                <w:rFonts w:ascii="Times New Roman" w:hAnsi="Times New Roman"/>
                <w:color w:val="000000"/>
                <w:lang w:val="da-DK"/>
              </w:rPr>
              <w:t>Kronisk nyresvigt</w:t>
            </w:r>
          </w:p>
        </w:tc>
      </w:tr>
      <w:tr w:rsidR="006478AD" w:rsidRPr="00AA499E" w14:paraId="3DDB63FC" w14:textId="77777777">
        <w:tc>
          <w:tcPr>
            <w:tcW w:w="9546" w:type="dxa"/>
            <w:gridSpan w:val="2"/>
          </w:tcPr>
          <w:p w14:paraId="5400CD9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Det reproduktive system og mammae</w:t>
            </w:r>
          </w:p>
        </w:tc>
      </w:tr>
      <w:tr w:rsidR="006478AD" w:rsidRPr="00AA499E" w14:paraId="5FD1292B" w14:textId="77777777">
        <w:tc>
          <w:tcPr>
            <w:tcW w:w="2235" w:type="dxa"/>
          </w:tcPr>
          <w:p w14:paraId="24977D63"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62B1F35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Gynækomasti, erektil dysfunktion, menoragi, uregelmæssig menstruation, seksuel dysfunktion, smerter i brystvorterne, brystforstørrelse, skrotalt ødem</w:t>
            </w:r>
          </w:p>
        </w:tc>
      </w:tr>
      <w:tr w:rsidR="006478AD" w:rsidRPr="00AA499E" w14:paraId="3A50CC61" w14:textId="77777777">
        <w:tc>
          <w:tcPr>
            <w:tcW w:w="2235" w:type="dxa"/>
          </w:tcPr>
          <w:p w14:paraId="76254B4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0FC6023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Hæmoragisk corpus luteum/ hæmoragisk ovariecyste</w:t>
            </w:r>
          </w:p>
        </w:tc>
      </w:tr>
      <w:tr w:rsidR="006478AD" w:rsidRPr="00AA499E" w14:paraId="29DD8723" w14:textId="77777777">
        <w:tc>
          <w:tcPr>
            <w:tcW w:w="9546" w:type="dxa"/>
            <w:gridSpan w:val="2"/>
          </w:tcPr>
          <w:p w14:paraId="48BD867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Almene symptomer og reaktioner på administrationsstedet</w:t>
            </w:r>
          </w:p>
        </w:tc>
      </w:tr>
      <w:tr w:rsidR="006478AD" w:rsidRPr="00AA499E" w14:paraId="1DDD638F" w14:textId="77777777">
        <w:tc>
          <w:tcPr>
            <w:tcW w:w="2235" w:type="dxa"/>
          </w:tcPr>
          <w:p w14:paraId="32960AC1"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41275B1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Væskeretention og ødem, træthed</w:t>
            </w:r>
          </w:p>
        </w:tc>
      </w:tr>
      <w:tr w:rsidR="006478AD" w:rsidRPr="00AA499E" w14:paraId="10C2A570" w14:textId="77777777">
        <w:tc>
          <w:tcPr>
            <w:tcW w:w="2235" w:type="dxa"/>
          </w:tcPr>
          <w:p w14:paraId="51412A42"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4BFF007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Svaghed, pyrexia, anasarka, kuldegysninger og kulderystelser</w:t>
            </w:r>
          </w:p>
        </w:tc>
      </w:tr>
      <w:tr w:rsidR="006478AD" w:rsidRPr="00AA499E" w14:paraId="7AB7D1A5" w14:textId="77777777">
        <w:tc>
          <w:tcPr>
            <w:tcW w:w="2235" w:type="dxa"/>
          </w:tcPr>
          <w:p w14:paraId="16516DFE"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4CF5548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Brystsmerter, utilpashed</w:t>
            </w:r>
          </w:p>
        </w:tc>
      </w:tr>
      <w:tr w:rsidR="006478AD" w:rsidRPr="00AA499E" w14:paraId="0EE39520" w14:textId="77777777">
        <w:tc>
          <w:tcPr>
            <w:tcW w:w="9546" w:type="dxa"/>
            <w:gridSpan w:val="2"/>
          </w:tcPr>
          <w:p w14:paraId="78F29FA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Undersøgelser</w:t>
            </w:r>
          </w:p>
        </w:tc>
      </w:tr>
      <w:tr w:rsidR="006478AD" w:rsidRPr="00AA499E" w14:paraId="498D4019" w14:textId="77777777">
        <w:tc>
          <w:tcPr>
            <w:tcW w:w="2235" w:type="dxa"/>
          </w:tcPr>
          <w:p w14:paraId="4BDC9CCE"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Meget almindelig:</w:t>
            </w:r>
          </w:p>
        </w:tc>
        <w:tc>
          <w:tcPr>
            <w:tcW w:w="7311" w:type="dxa"/>
          </w:tcPr>
          <w:p w14:paraId="69785CC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Vægtstigning</w:t>
            </w:r>
          </w:p>
        </w:tc>
      </w:tr>
      <w:tr w:rsidR="006478AD" w:rsidRPr="00AA499E" w14:paraId="1847C532" w14:textId="77777777">
        <w:tc>
          <w:tcPr>
            <w:tcW w:w="2235" w:type="dxa"/>
          </w:tcPr>
          <w:p w14:paraId="4AE0E330"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Almindelig:</w:t>
            </w:r>
          </w:p>
        </w:tc>
        <w:tc>
          <w:tcPr>
            <w:tcW w:w="7311" w:type="dxa"/>
          </w:tcPr>
          <w:p w14:paraId="307875B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Vægttab</w:t>
            </w:r>
          </w:p>
        </w:tc>
      </w:tr>
      <w:tr w:rsidR="006478AD" w:rsidRPr="00AA499E" w14:paraId="69F3E5AB" w14:textId="77777777">
        <w:tc>
          <w:tcPr>
            <w:tcW w:w="2235" w:type="dxa"/>
          </w:tcPr>
          <w:p w14:paraId="1464C3FE"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Ikke almindelig:</w:t>
            </w:r>
          </w:p>
        </w:tc>
        <w:tc>
          <w:tcPr>
            <w:tcW w:w="7311" w:type="dxa"/>
          </w:tcPr>
          <w:p w14:paraId="78BF9CE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Forhøjet serumkreatinin, forhøjet serumkreatinfosfokinase og øget serumlaktatdehydrogenase, forhøjet alkalisk fosfatase</w:t>
            </w:r>
          </w:p>
        </w:tc>
      </w:tr>
      <w:tr w:rsidR="006478AD" w:rsidRPr="00AA499E" w14:paraId="3283B50A" w14:textId="77777777">
        <w:tc>
          <w:tcPr>
            <w:tcW w:w="2235" w:type="dxa"/>
          </w:tcPr>
          <w:p w14:paraId="4CBECC87"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Sjælden:</w:t>
            </w:r>
          </w:p>
        </w:tc>
        <w:tc>
          <w:tcPr>
            <w:tcW w:w="7311" w:type="dxa"/>
          </w:tcPr>
          <w:p w14:paraId="4EB9371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Forhøjet serumamylase</w:t>
            </w:r>
          </w:p>
        </w:tc>
      </w:tr>
    </w:tbl>
    <w:p w14:paraId="01C51D40" w14:textId="77777777" w:rsidR="006478AD" w:rsidRPr="00AA499E" w:rsidRDefault="006478AD">
      <w:pPr>
        <w:autoSpaceDE w:val="0"/>
        <w:autoSpaceDN w:val="0"/>
        <w:adjustRightInd w:val="0"/>
        <w:spacing w:after="0" w:line="240" w:lineRule="auto"/>
        <w:rPr>
          <w:rFonts w:ascii="Times New Roman" w:hAnsi="Times New Roman"/>
          <w:lang w:val="da-DK"/>
        </w:rPr>
      </w:pPr>
    </w:p>
    <w:p w14:paraId="01FFC0D9" w14:textId="77777777" w:rsidR="00EA2B7C" w:rsidRPr="00AA499E" w:rsidRDefault="00EA2B7C" w:rsidP="00A41DDA">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Denne type bivirkninger er hovedsageligt blevet rapporteret efter markedsføring af imatinib. Det inkluderer spontane kasuistikker såvel som alvorlige bivirkninger fra igangværende studier, expanded access programmer, klinisk farmakologiske studier og eksplorative studier med ikke godkendte indikationer. Eftersom disse bivirkninger er rapporteret fra en population af ukendt størrelse, er det ikke altid muligt at bestemme frekvensen pålideligt eller at fastlægge en kausal sammenhæng med eksponering for imatinib.</w:t>
      </w:r>
    </w:p>
    <w:p w14:paraId="4B95F8D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Pneumoni blev oftest observeret hos patienter med transformeret CML og hos patienter med GIST.</w:t>
      </w:r>
    </w:p>
    <w:p w14:paraId="5377F67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Hovedpine var almindeligst hos GIST-patienter.</w:t>
      </w:r>
    </w:p>
    <w:p w14:paraId="3C37056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På patientårsbasis blev kardielle hændelser, herunder hjerteinsufficiens, observeret oftere hos patienter med transformeret CML end hos patienter med kronisk CML.</w:t>
      </w:r>
    </w:p>
    <w:p w14:paraId="25D80A6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Flushing var almindeligst host patienter med GIST, og blødning (hæmatom og blødning) var almindeligst hos patienter med GIST og med transformeret CML (CML-AP og CML-BC).</w:t>
      </w:r>
    </w:p>
    <w:p w14:paraId="6C13E92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5</w:t>
      </w:r>
      <w:r w:rsidRPr="00AA499E">
        <w:rPr>
          <w:rFonts w:ascii="Times New Roman" w:hAnsi="Times New Roman"/>
          <w:lang w:val="da-DK"/>
        </w:rPr>
        <w:tab/>
        <w:t>Pleural effusion blev observeret oftere hos patienter med GIST og hos patienter med transformeret CML (CML-AP og CML-BC) end hos patienter med kronisk CML.</w:t>
      </w:r>
    </w:p>
    <w:p w14:paraId="52E4984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6+7</w:t>
      </w:r>
      <w:r w:rsidRPr="00AA499E">
        <w:rPr>
          <w:rFonts w:ascii="Times New Roman" w:hAnsi="Times New Roman"/>
          <w:lang w:val="da-DK"/>
        </w:rPr>
        <w:tab/>
        <w:t>Abdominalsmerter og gastrointestinalblødning blev oftest observeret hos patienter med GIST.</w:t>
      </w:r>
    </w:p>
    <w:p w14:paraId="26B268E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8</w:t>
      </w:r>
      <w:r w:rsidRPr="00AA499E">
        <w:rPr>
          <w:rFonts w:ascii="Times New Roman" w:hAnsi="Times New Roman"/>
          <w:lang w:val="da-DK"/>
        </w:rPr>
        <w:tab/>
        <w:t>Der er rapporteret tilfælde af letalt leversvigt og levernekrose.</w:t>
      </w:r>
    </w:p>
    <w:p w14:paraId="256F5DF4" w14:textId="77777777" w:rsidR="00E30922"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9</w:t>
      </w:r>
      <w:r w:rsidRPr="00AA499E">
        <w:rPr>
          <w:rFonts w:ascii="Times New Roman" w:hAnsi="Times New Roman"/>
          <w:lang w:val="da-DK"/>
        </w:rPr>
        <w:tab/>
      </w:r>
      <w:r w:rsidR="00E30922" w:rsidRPr="00AA499E">
        <w:rPr>
          <w:rFonts w:ascii="Times New Roman" w:hAnsi="Times New Roman"/>
          <w:lang w:val="da-DK"/>
        </w:rPr>
        <w:t>Muskuloskeletale smerter under behandling med imatinib, eller efter seponering, er blevet observeret efter markedsføring.</w:t>
      </w:r>
    </w:p>
    <w:p w14:paraId="3C743308" w14:textId="77777777" w:rsidR="006478AD" w:rsidRPr="00AA499E" w:rsidRDefault="00E30922">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10</w:t>
      </w:r>
      <w:r w:rsidRPr="00AA499E">
        <w:rPr>
          <w:rFonts w:ascii="Times New Roman" w:hAnsi="Times New Roman"/>
          <w:lang w:val="da-DK"/>
        </w:rPr>
        <w:tab/>
      </w:r>
      <w:r w:rsidR="00616F3C" w:rsidRPr="00AA499E">
        <w:rPr>
          <w:rFonts w:ascii="Times New Roman" w:hAnsi="Times New Roman"/>
          <w:lang w:val="da-DK"/>
        </w:rPr>
        <w:t>Muskuloskeletale smerter og relaterede hændelser blev observeret oftere hos patienter med CML end hos patienter med GIST.</w:t>
      </w:r>
    </w:p>
    <w:p w14:paraId="50D68821" w14:textId="77777777" w:rsidR="00EA2B7C" w:rsidRPr="00AA499E" w:rsidRDefault="00EA2B7C" w:rsidP="00EA2B7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1</w:t>
      </w:r>
      <w:r w:rsidR="00E30922" w:rsidRPr="00AA499E">
        <w:rPr>
          <w:rFonts w:ascii="Times New Roman" w:hAnsi="Times New Roman"/>
          <w:lang w:val="da-DK"/>
        </w:rPr>
        <w:t>1</w:t>
      </w:r>
      <w:r w:rsidRPr="00AA499E">
        <w:rPr>
          <w:rFonts w:ascii="Times New Roman" w:hAnsi="Times New Roman"/>
          <w:lang w:val="da-DK"/>
        </w:rPr>
        <w:tab/>
        <w:t>Der er blevet rapporteret dødelige tilfælde hos patienter med fremskreden sygdom, alvorlige infektioner, alvorlig neutropeni og andre alvorlige, samtidige tilstande.</w:t>
      </w:r>
    </w:p>
    <w:p w14:paraId="51314C1A" w14:textId="77777777" w:rsidR="006478AD" w:rsidRPr="00AA499E" w:rsidRDefault="006478AD">
      <w:pPr>
        <w:autoSpaceDE w:val="0"/>
        <w:autoSpaceDN w:val="0"/>
        <w:adjustRightInd w:val="0"/>
        <w:spacing w:after="0" w:line="240" w:lineRule="auto"/>
        <w:rPr>
          <w:rFonts w:ascii="Times New Roman" w:hAnsi="Times New Roman"/>
          <w:lang w:val="da-DK"/>
        </w:rPr>
      </w:pPr>
    </w:p>
    <w:p w14:paraId="6B4173C9" w14:textId="77777777" w:rsidR="006478AD" w:rsidRPr="00AA499E" w:rsidRDefault="006478AD">
      <w:pPr>
        <w:autoSpaceDE w:val="0"/>
        <w:autoSpaceDN w:val="0"/>
        <w:adjustRightInd w:val="0"/>
        <w:spacing w:after="0" w:line="240" w:lineRule="auto"/>
        <w:rPr>
          <w:rFonts w:ascii="Times New Roman" w:hAnsi="Times New Roman"/>
          <w:lang w:val="da-DK"/>
        </w:rPr>
      </w:pPr>
    </w:p>
    <w:p w14:paraId="4903C6E7"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Afvigelser i laboratorieværdier</w:t>
      </w:r>
    </w:p>
    <w:p w14:paraId="30F26083"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Hæmatologi</w:t>
      </w:r>
    </w:p>
    <w:p w14:paraId="5D6D5E3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Cytopeni hos CML-patienter, særligt neutropeni og trombocytopeni, har været gennemgående fund i alle undersøgelser med tegn på større hyppighed ved doser ≥ 750 mg (fase I undersøgelse). Incidensen af cytopeni hang imidlertid også tydeligt sammen med sygdomsstadiet, idet hyppighed af 3. eller 4. grads neutropeni (ANC &lt;1,0 x 10</w:t>
      </w:r>
      <w:r w:rsidRPr="00AA499E">
        <w:rPr>
          <w:rFonts w:ascii="Times New Roman" w:hAnsi="Times New Roman"/>
          <w:vertAlign w:val="superscript"/>
          <w:lang w:val="da-DK"/>
        </w:rPr>
        <w:t>9</w:t>
      </w:r>
      <w:r w:rsidRPr="00AA499E">
        <w:rPr>
          <w:rFonts w:ascii="Times New Roman" w:hAnsi="Times New Roman"/>
          <w:lang w:val="da-DK"/>
        </w:rPr>
        <w:t>/l) og thrombocytopenias (platelet count &lt; 50 x 10</w:t>
      </w:r>
      <w:r w:rsidRPr="00AA499E">
        <w:rPr>
          <w:rFonts w:ascii="Times New Roman" w:hAnsi="Times New Roman"/>
          <w:vertAlign w:val="superscript"/>
          <w:lang w:val="da-DK"/>
        </w:rPr>
        <w:t>9</w:t>
      </w:r>
      <w:r w:rsidRPr="00AA499E">
        <w:rPr>
          <w:rFonts w:ascii="Times New Roman" w:hAnsi="Times New Roman"/>
          <w:lang w:val="da-DK"/>
        </w:rPr>
        <w:t>/l) var 4–6 gange højere ved blastkrise og accelereret fase (59–64 % og 44–63 % for henholdsvis neutropeni og trombopeni) end ved sammenligning med nydiagnosticerede patienter med kronisk fase CML (16,7 % neutropeni og 8,9 % trombocytopeni). Der sås 4. grads neutropeni (ANC &lt;0,5 x 10</w:t>
      </w:r>
      <w:r w:rsidRPr="00AA499E">
        <w:rPr>
          <w:rFonts w:ascii="Times New Roman" w:hAnsi="Times New Roman"/>
          <w:vertAlign w:val="superscript"/>
          <w:lang w:val="da-DK"/>
        </w:rPr>
        <w:t>9</w:t>
      </w:r>
      <w:r w:rsidRPr="00AA499E">
        <w:rPr>
          <w:rFonts w:ascii="Times New Roman" w:hAnsi="Times New Roman"/>
          <w:lang w:val="da-DK"/>
        </w:rPr>
        <w:t>/l) og trombopeni (trombocyttal &lt;10 x 10</w:t>
      </w:r>
      <w:r w:rsidRPr="00AA499E">
        <w:rPr>
          <w:rFonts w:ascii="Times New Roman" w:hAnsi="Times New Roman"/>
          <w:vertAlign w:val="superscript"/>
          <w:lang w:val="da-DK"/>
        </w:rPr>
        <w:t>9</w:t>
      </w:r>
      <w:r w:rsidRPr="00AA499E">
        <w:rPr>
          <w:rFonts w:ascii="Times New Roman" w:hAnsi="Times New Roman"/>
          <w:lang w:val="da-DK"/>
        </w:rPr>
        <w:t>/l) hos henholdsvis 3,6 % og &lt;</w:t>
      </w:r>
      <w:r w:rsidR="00975813" w:rsidRPr="00AA499E">
        <w:rPr>
          <w:rFonts w:ascii="Times New Roman" w:hAnsi="Times New Roman"/>
          <w:lang w:val="da-DK"/>
        </w:rPr>
        <w:t> </w:t>
      </w:r>
      <w:r w:rsidRPr="00AA499E">
        <w:rPr>
          <w:rFonts w:ascii="Times New Roman" w:hAnsi="Times New Roman"/>
          <w:lang w:val="da-DK"/>
        </w:rPr>
        <w:t>1 % af patienterne med nydiagnosticeret CML i kronisk fase. Den gennemsnitlige varighed af neutropeni- og trombocytopeniepisoderne varierede sædvanligvis fra henholdsvis 2–3 uger og 3–4 uger. Disse episoder kan sædvanligvis behandles med enten dosisreduktion eller seponering af imatinib, men kan i sjældne tilfælde medføre permanent seponering af behandlingen. De hyppigst observerede alvorlige bivirkninger hos børn med CML var grad 3 eller 4 cytopenier med neutropeni, trombocytopeni og anæmi. Disse opstår almindeligvis indenfor de første måneders behandling.</w:t>
      </w:r>
    </w:p>
    <w:p w14:paraId="47C3B7D9" w14:textId="77777777" w:rsidR="006478AD" w:rsidRPr="00AA499E" w:rsidRDefault="006478AD">
      <w:pPr>
        <w:autoSpaceDE w:val="0"/>
        <w:autoSpaceDN w:val="0"/>
        <w:adjustRightInd w:val="0"/>
        <w:spacing w:after="0" w:line="240" w:lineRule="auto"/>
        <w:rPr>
          <w:rFonts w:ascii="Times New Roman" w:hAnsi="Times New Roman"/>
          <w:lang w:val="da-DK"/>
        </w:rPr>
      </w:pPr>
    </w:p>
    <w:p w14:paraId="3A70DA3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undersøgelsen med patienter med inoperabel og/eller metastaserende GIST rapporteredes anæmi grad 3 og 4 hos henholdsvis 5,4 % og 0,7 % af patienterne, hvilket kan hænge sammen med gastrointestinal eller intra-tumoral blødning, i hvert fald hos enkelte af patienterne. Grad 3 og 4 neutropeni sås hos henholdsvis 7,5 % og 2,7 % af patienterne og grad 3 trombocytopeni hos 0,7 % af patienterne. Ingen patienter udviklede grad 4 trombocytopeni. Fald i leukocytter (WBC) og neutrofiltal sås primært i løbet af de første 6 uger af behandlingen, herefter sås relativ stabilisering af værdierne.</w:t>
      </w:r>
    </w:p>
    <w:p w14:paraId="166F8C41" w14:textId="77777777" w:rsidR="006478AD" w:rsidRPr="00AA499E" w:rsidRDefault="006478AD">
      <w:pPr>
        <w:autoSpaceDE w:val="0"/>
        <w:autoSpaceDN w:val="0"/>
        <w:adjustRightInd w:val="0"/>
        <w:spacing w:after="0" w:line="240" w:lineRule="auto"/>
        <w:rPr>
          <w:rFonts w:ascii="Times New Roman" w:hAnsi="Times New Roman"/>
          <w:lang w:val="da-DK"/>
        </w:rPr>
      </w:pPr>
    </w:p>
    <w:p w14:paraId="50645628"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Biokemi</w:t>
      </w:r>
    </w:p>
    <w:p w14:paraId="344A0D6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Svære stigninger i transaminaser (&lt;5 %) eller bilirubin (&lt;1 %) blev observeret hos CML-patienterne og blev sædvanligvis behandlet med dosisreduktion eller seponering (den gennemsnitlige varighed af disse episoder var ca. 1 uge). Færre end 1 % af CML-patienterne fik seponeret behandlingen permanent på grund af abnormaliteter i levertal. Der blev hos GIST patienter (studie B2222) observeret stigning i grad 3 eller 4 ALAT (alaninaminotransferase) hos 6,8 % og stigning i grad 3 eller 4 ASAT (aspartataminotransferase) hos 4,8 %. Stigning af bilirubin var under 3 %.</w:t>
      </w:r>
    </w:p>
    <w:p w14:paraId="17F01BB5" w14:textId="77777777" w:rsidR="006478AD" w:rsidRPr="00AA499E" w:rsidRDefault="006478AD">
      <w:pPr>
        <w:autoSpaceDE w:val="0"/>
        <w:autoSpaceDN w:val="0"/>
        <w:adjustRightInd w:val="0"/>
        <w:spacing w:after="0" w:line="240" w:lineRule="auto"/>
        <w:rPr>
          <w:rFonts w:ascii="Times New Roman" w:hAnsi="Times New Roman"/>
          <w:lang w:val="da-DK"/>
        </w:rPr>
      </w:pPr>
    </w:p>
    <w:p w14:paraId="71639D9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har været tilfælde af cytolytisk og cholestatisk hepatitis samt leversvigt, i nogle tilfælde var udfaldet letalt, inkluderende én patient, der fik højdosis paracetamol.</w:t>
      </w:r>
    </w:p>
    <w:p w14:paraId="15A14B20" w14:textId="77777777" w:rsidR="002219D7" w:rsidRPr="00AA499E" w:rsidRDefault="002219D7">
      <w:pPr>
        <w:autoSpaceDE w:val="0"/>
        <w:autoSpaceDN w:val="0"/>
        <w:adjustRightInd w:val="0"/>
        <w:spacing w:after="0" w:line="240" w:lineRule="auto"/>
        <w:rPr>
          <w:rFonts w:ascii="Times New Roman" w:hAnsi="Times New Roman"/>
          <w:lang w:val="da-DK"/>
        </w:rPr>
      </w:pPr>
    </w:p>
    <w:p w14:paraId="67CBD6FA" w14:textId="77777777" w:rsidR="00E30922" w:rsidRPr="00AA499E" w:rsidRDefault="00E30922" w:rsidP="00E3092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Beskrivelse af udvalgte bivirkninger</w:t>
      </w:r>
    </w:p>
    <w:p w14:paraId="1203122F" w14:textId="77777777" w:rsidR="00E30922" w:rsidRPr="00AA499E" w:rsidRDefault="00E30922" w:rsidP="00E30922">
      <w:pPr>
        <w:autoSpaceDE w:val="0"/>
        <w:autoSpaceDN w:val="0"/>
        <w:adjustRightInd w:val="0"/>
        <w:spacing w:after="0" w:line="240" w:lineRule="auto"/>
        <w:rPr>
          <w:rFonts w:ascii="Times New Roman" w:hAnsi="Times New Roman"/>
          <w:i/>
          <w:u w:val="single"/>
          <w:lang w:val="da-DK"/>
        </w:rPr>
      </w:pPr>
      <w:r w:rsidRPr="00AA499E">
        <w:rPr>
          <w:rFonts w:ascii="Times New Roman" w:hAnsi="Times New Roman"/>
          <w:i/>
          <w:u w:val="single"/>
          <w:lang w:val="da-DK"/>
        </w:rPr>
        <w:t>Reaktivering af hepatitis B</w:t>
      </w:r>
    </w:p>
    <w:p w14:paraId="1ADD54FE" w14:textId="77777777" w:rsidR="00E30922" w:rsidRPr="00AA499E" w:rsidRDefault="00E30922" w:rsidP="00E3092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Reaktivering af hepatitis B er beskrevet i forbindelse med behandling med BCR-ABL-tyrosinkinasehæmmere. I nogle tilfælde har dette medført akut leversvigt eller fulminant hepatitis, førende til levertransplantation eller død (se pkt. 4.4).</w:t>
      </w:r>
    </w:p>
    <w:p w14:paraId="3812456D" w14:textId="77777777" w:rsidR="00E30922" w:rsidRPr="00AA499E" w:rsidRDefault="00E30922" w:rsidP="00E30922">
      <w:pPr>
        <w:autoSpaceDE w:val="0"/>
        <w:autoSpaceDN w:val="0"/>
        <w:adjustRightInd w:val="0"/>
        <w:spacing w:after="0" w:line="240" w:lineRule="auto"/>
        <w:rPr>
          <w:rFonts w:ascii="Times New Roman" w:hAnsi="Times New Roman"/>
          <w:lang w:val="da-DK"/>
        </w:rPr>
      </w:pPr>
    </w:p>
    <w:p w14:paraId="2FFE466F" w14:textId="77777777" w:rsidR="002219D7" w:rsidRPr="00AA499E" w:rsidRDefault="002219D7" w:rsidP="008370B1">
      <w:pPr>
        <w:keepNext/>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Indberetning af </w:t>
      </w:r>
      <w:r w:rsidR="00992498" w:rsidRPr="00AA499E">
        <w:rPr>
          <w:rFonts w:ascii="Times New Roman" w:hAnsi="Times New Roman"/>
          <w:u w:val="single"/>
          <w:lang w:val="da-DK"/>
        </w:rPr>
        <w:t>formodede</w:t>
      </w:r>
      <w:r w:rsidRPr="00AA499E">
        <w:rPr>
          <w:rFonts w:ascii="Times New Roman" w:hAnsi="Times New Roman"/>
          <w:u w:val="single"/>
          <w:lang w:val="da-DK"/>
        </w:rPr>
        <w:t xml:space="preserve"> bivirkninger</w:t>
      </w:r>
    </w:p>
    <w:p w14:paraId="48E0D003" w14:textId="6BCF6290" w:rsidR="002219D7" w:rsidRPr="00AA499E" w:rsidRDefault="002219D7" w:rsidP="002219D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Når lægemidlet er godkendt, er indberetning af </w:t>
      </w:r>
      <w:r w:rsidR="00992498" w:rsidRPr="00AA499E">
        <w:rPr>
          <w:rFonts w:ascii="Times New Roman" w:hAnsi="Times New Roman"/>
          <w:lang w:val="da-DK"/>
        </w:rPr>
        <w:t>formodede</w:t>
      </w:r>
      <w:r w:rsidRPr="00AA499E">
        <w:rPr>
          <w:rFonts w:ascii="Times New Roman" w:hAnsi="Times New Roman"/>
          <w:lang w:val="da-DK"/>
        </w:rPr>
        <w:t xml:space="preserve"> bivirkninger vigtig. Det muliggør løbende overvågning af benefit/risk-forholdet for lægemidlet. </w:t>
      </w:r>
      <w:r w:rsidR="00F80C3F" w:rsidRPr="00AA499E">
        <w:rPr>
          <w:rFonts w:ascii="Times New Roman" w:hAnsi="Times New Roman"/>
          <w:lang w:val="da-DK"/>
        </w:rPr>
        <w:t>Sundhedspersoner</w:t>
      </w:r>
      <w:r w:rsidRPr="00AA499E">
        <w:rPr>
          <w:rFonts w:ascii="Times New Roman" w:hAnsi="Times New Roman"/>
          <w:lang w:val="da-DK"/>
        </w:rPr>
        <w:t xml:space="preserve"> anmodes om at indberette alle </w:t>
      </w:r>
      <w:r w:rsidR="00992498" w:rsidRPr="00AA499E">
        <w:rPr>
          <w:rFonts w:ascii="Times New Roman" w:hAnsi="Times New Roman"/>
          <w:lang w:val="da-DK"/>
        </w:rPr>
        <w:t>formodede</w:t>
      </w:r>
      <w:r w:rsidRPr="00AA499E">
        <w:rPr>
          <w:rFonts w:ascii="Times New Roman" w:hAnsi="Times New Roman"/>
          <w:lang w:val="da-DK"/>
        </w:rPr>
        <w:t xml:space="preserve"> bivirkninger via </w:t>
      </w:r>
      <w:r w:rsidRPr="00AA499E">
        <w:rPr>
          <w:rFonts w:ascii="Times New Roman" w:hAnsi="Times New Roman"/>
          <w:noProof/>
          <w:highlight w:val="lightGray"/>
          <w:lang w:val="da-DK"/>
        </w:rPr>
        <w:t xml:space="preserve">det nationale rapporteringssystem anført i </w:t>
      </w:r>
      <w:hyperlink r:id="rId13" w:history="1">
        <w:r w:rsidRPr="00AA499E">
          <w:rPr>
            <w:rStyle w:val="Hyperlink"/>
            <w:rFonts w:ascii="Times New Roman" w:hAnsi="Times New Roman"/>
            <w:noProof/>
            <w:highlight w:val="lightGray"/>
            <w:lang w:val="da-DK"/>
          </w:rPr>
          <w:t>Appendiks V</w:t>
        </w:r>
      </w:hyperlink>
      <w:r w:rsidRPr="00AA499E">
        <w:rPr>
          <w:rFonts w:ascii="Times New Roman" w:hAnsi="Times New Roman"/>
          <w:lang w:val="da-DK"/>
        </w:rPr>
        <w:t>.</w:t>
      </w:r>
    </w:p>
    <w:p w14:paraId="7398EC10" w14:textId="77777777" w:rsidR="006478AD" w:rsidRPr="00AA499E" w:rsidRDefault="006478AD">
      <w:pPr>
        <w:autoSpaceDE w:val="0"/>
        <w:autoSpaceDN w:val="0"/>
        <w:adjustRightInd w:val="0"/>
        <w:spacing w:after="0" w:line="240" w:lineRule="auto"/>
        <w:rPr>
          <w:rFonts w:ascii="Times New Roman" w:hAnsi="Times New Roman"/>
          <w:lang w:val="da-DK"/>
        </w:rPr>
      </w:pPr>
    </w:p>
    <w:p w14:paraId="4CA50E0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4.9</w:t>
      </w:r>
      <w:r w:rsidRPr="00AA499E">
        <w:rPr>
          <w:rFonts w:ascii="Times New Roman" w:hAnsi="Times New Roman"/>
          <w:b/>
          <w:bCs/>
          <w:lang w:val="da-DK"/>
        </w:rPr>
        <w:tab/>
        <w:t>Overdosering</w:t>
      </w:r>
    </w:p>
    <w:p w14:paraId="731747A7" w14:textId="77777777" w:rsidR="006478AD" w:rsidRPr="00AA499E" w:rsidRDefault="006478AD">
      <w:pPr>
        <w:autoSpaceDE w:val="0"/>
        <w:autoSpaceDN w:val="0"/>
        <w:adjustRightInd w:val="0"/>
        <w:spacing w:after="0" w:line="240" w:lineRule="auto"/>
        <w:rPr>
          <w:rFonts w:ascii="Times New Roman" w:hAnsi="Times New Roman"/>
          <w:lang w:val="da-DK"/>
        </w:rPr>
      </w:pPr>
    </w:p>
    <w:p w14:paraId="5F24C53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begrænset erfaring med doser højere end den anbefalede terapeutiske dosis. Enkelte tilfælde af overdosering med imatinib er blevet spontant rapporteret i literaturen. I tilfælde af overdosis bør patienten observeres og passende symptomatisk behandling institueres. Generelt var de rapporterede udfald i disse sager ”forbedret” eller ”blevet rask”. Tilfælde, der er blevet rapporteret i forskellige dosisintervaller, er følgende:</w:t>
      </w:r>
    </w:p>
    <w:p w14:paraId="20AE5FB1" w14:textId="77777777" w:rsidR="006478AD" w:rsidRPr="00AA499E" w:rsidRDefault="006478AD">
      <w:pPr>
        <w:autoSpaceDE w:val="0"/>
        <w:autoSpaceDN w:val="0"/>
        <w:adjustRightInd w:val="0"/>
        <w:spacing w:after="0" w:line="240" w:lineRule="auto"/>
        <w:rPr>
          <w:rFonts w:ascii="Times New Roman" w:hAnsi="Times New Roman"/>
          <w:lang w:val="da-DK"/>
        </w:rPr>
      </w:pPr>
    </w:p>
    <w:p w14:paraId="5C99D02E"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Voksen population</w:t>
      </w:r>
    </w:p>
    <w:p w14:paraId="13D46E7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1200 til 1600 mg (varighed varierer mellem 1 og 10 dage): Kvalme, opkastning, diarré, rødme, erytem, ødem, hævelse, træthed, muskelkramper, trombocytopeni, pancytopeni, abdominalsmerter, hovedpine, nedsat appetit.</w:t>
      </w:r>
    </w:p>
    <w:p w14:paraId="579ED1C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1800 til 3200 mg (så høj som 3200 mg daglig i 6 dage): Svaghed, myalgi, øget kreatininfosfokinase, øget bilirubin, gastrointestinale smerter.</w:t>
      </w:r>
    </w:p>
    <w:p w14:paraId="02E3880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6400 mg (enkeltdosis): Der er beskrevet et tilfælde i litteraturen om en patient, der fik kvalme, opkastning, abdominalsmerter, feber, hævelse af ansigt, nedsat neutrofiltal, stigning i transaminaser.</w:t>
      </w:r>
    </w:p>
    <w:p w14:paraId="6DE562B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8 til 10 g (enkeltdosis): Opkastning og gastrointestinale smerter er blevet rapporteret.</w:t>
      </w:r>
    </w:p>
    <w:p w14:paraId="14098E02" w14:textId="77777777" w:rsidR="006478AD" w:rsidRPr="00AA499E" w:rsidRDefault="006478AD">
      <w:pPr>
        <w:autoSpaceDE w:val="0"/>
        <w:autoSpaceDN w:val="0"/>
        <w:adjustRightInd w:val="0"/>
        <w:spacing w:after="0" w:line="240" w:lineRule="auto"/>
        <w:rPr>
          <w:rFonts w:ascii="Times New Roman" w:hAnsi="Times New Roman"/>
          <w:lang w:val="da-DK"/>
        </w:rPr>
      </w:pPr>
    </w:p>
    <w:p w14:paraId="4D99A6B0"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Pædiatrisk population</w:t>
      </w:r>
    </w:p>
    <w:p w14:paraId="1A9C7E1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En 3-årig dreng, der fik en enkelt dosis på 400 mg, oplevede opkastning, diarré og appetitløshed, og en anden 3-årig dreng, der fik en enkelt dosis på 980 mg, oplevede nedsat antal hvide blodlegemer og diarré.</w:t>
      </w:r>
    </w:p>
    <w:p w14:paraId="009EDFA7" w14:textId="77777777" w:rsidR="006478AD" w:rsidRPr="00AA499E" w:rsidRDefault="006478AD">
      <w:pPr>
        <w:autoSpaceDE w:val="0"/>
        <w:autoSpaceDN w:val="0"/>
        <w:adjustRightInd w:val="0"/>
        <w:spacing w:after="0" w:line="240" w:lineRule="auto"/>
        <w:rPr>
          <w:rFonts w:ascii="Times New Roman" w:hAnsi="Times New Roman"/>
          <w:lang w:val="da-DK"/>
        </w:rPr>
      </w:pPr>
    </w:p>
    <w:p w14:paraId="69F6B73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tilfælde af overdosering bør patienten observeres, og der bør gives relevant understøttende behandling.</w:t>
      </w:r>
    </w:p>
    <w:p w14:paraId="38DFF055" w14:textId="77777777" w:rsidR="006478AD" w:rsidRPr="00AA499E" w:rsidRDefault="006478AD">
      <w:pPr>
        <w:autoSpaceDE w:val="0"/>
        <w:autoSpaceDN w:val="0"/>
        <w:adjustRightInd w:val="0"/>
        <w:spacing w:after="0" w:line="240" w:lineRule="auto"/>
        <w:rPr>
          <w:rFonts w:ascii="Times New Roman" w:hAnsi="Times New Roman"/>
          <w:lang w:val="da-DK"/>
        </w:rPr>
      </w:pPr>
    </w:p>
    <w:p w14:paraId="0213BE08" w14:textId="77777777" w:rsidR="006478AD" w:rsidRPr="00AA499E" w:rsidRDefault="006478AD">
      <w:pPr>
        <w:autoSpaceDE w:val="0"/>
        <w:autoSpaceDN w:val="0"/>
        <w:adjustRightInd w:val="0"/>
        <w:spacing w:after="0" w:line="240" w:lineRule="auto"/>
        <w:rPr>
          <w:rFonts w:ascii="Times New Roman" w:hAnsi="Times New Roman"/>
          <w:lang w:val="da-DK"/>
        </w:rPr>
      </w:pPr>
    </w:p>
    <w:p w14:paraId="4A6DE18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w:t>
      </w:r>
      <w:r w:rsidRPr="00AA499E">
        <w:rPr>
          <w:rFonts w:ascii="Times New Roman" w:hAnsi="Times New Roman"/>
          <w:b/>
          <w:bCs/>
          <w:lang w:val="da-DK"/>
        </w:rPr>
        <w:tab/>
        <w:t>FARMAKOLOGISKE EGENSKABER</w:t>
      </w:r>
    </w:p>
    <w:p w14:paraId="74717006" w14:textId="77777777" w:rsidR="006478AD" w:rsidRPr="00AA499E" w:rsidRDefault="006478AD">
      <w:pPr>
        <w:autoSpaceDE w:val="0"/>
        <w:autoSpaceDN w:val="0"/>
        <w:adjustRightInd w:val="0"/>
        <w:spacing w:after="0" w:line="240" w:lineRule="auto"/>
        <w:rPr>
          <w:rFonts w:ascii="Times New Roman" w:hAnsi="Times New Roman"/>
          <w:lang w:val="da-DK"/>
        </w:rPr>
      </w:pPr>
    </w:p>
    <w:p w14:paraId="3EE39CAD"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5.1</w:t>
      </w:r>
      <w:r w:rsidRPr="00AA499E">
        <w:rPr>
          <w:rFonts w:ascii="Times New Roman" w:hAnsi="Times New Roman"/>
          <w:b/>
          <w:bCs/>
          <w:lang w:val="da-DK"/>
        </w:rPr>
        <w:tab/>
        <w:t>Farmakodynamiske egenskaber</w:t>
      </w:r>
    </w:p>
    <w:p w14:paraId="3CFE747C" w14:textId="77777777" w:rsidR="006478AD" w:rsidRPr="00AA499E" w:rsidRDefault="006478AD">
      <w:pPr>
        <w:autoSpaceDE w:val="0"/>
        <w:autoSpaceDN w:val="0"/>
        <w:adjustRightInd w:val="0"/>
        <w:spacing w:after="0" w:line="240" w:lineRule="auto"/>
        <w:rPr>
          <w:rFonts w:ascii="Times New Roman" w:hAnsi="Times New Roman"/>
          <w:lang w:val="da-DK"/>
        </w:rPr>
      </w:pPr>
    </w:p>
    <w:p w14:paraId="08C7988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Farmakoterapeutisk klassifikation: Antineoplastiske stoffer, protein-tyrosinkinasehæmmer, ATC-kode: L01XE01</w:t>
      </w:r>
    </w:p>
    <w:p w14:paraId="6C32766F" w14:textId="77777777" w:rsidR="006478AD" w:rsidRPr="00AA499E" w:rsidRDefault="006478AD">
      <w:pPr>
        <w:autoSpaceDE w:val="0"/>
        <w:autoSpaceDN w:val="0"/>
        <w:adjustRightInd w:val="0"/>
        <w:spacing w:after="0" w:line="240" w:lineRule="auto"/>
        <w:rPr>
          <w:rFonts w:ascii="Times New Roman" w:hAnsi="Times New Roman"/>
          <w:lang w:val="da-DK"/>
        </w:rPr>
      </w:pPr>
    </w:p>
    <w:p w14:paraId="66F67DE7"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Virkningsmekanisme</w:t>
      </w:r>
    </w:p>
    <w:p w14:paraId="1948F13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er et lille molekyle. Det er en potent protein-tyrosinkinasehæmmer, der hæmmer aktiviteten af Bcr</w:t>
      </w:r>
      <w:r w:rsidR="00975813" w:rsidRPr="00AA499E">
        <w:rPr>
          <w:rFonts w:ascii="Times New Roman" w:hAnsi="Times New Roman"/>
          <w:lang w:val="da-DK"/>
        </w:rPr>
        <w:noBreakHyphen/>
      </w:r>
      <w:r w:rsidRPr="00AA499E">
        <w:rPr>
          <w:rFonts w:ascii="Times New Roman" w:hAnsi="Times New Roman"/>
          <w:lang w:val="da-DK"/>
        </w:rPr>
        <w:t>Abl-tyrosinkinase (TK) såvel som adskillige TK-receptorer: Kit, receptoren for stamcellefaktoren (SCF) kodet for af c-kit proto-onkogenet, discoidin-domænereceptorerne (DDR1 og DDR2), receptoren for den kolonistimulerende faktor (CSF-1R) og receptorerne for trombocytafledte vækstfaktorer alfa og beta (PDGFR-alfa og PDGFR-beta). Imatinib kan også hæmme cellulære signaler medieret ved aktivering af disse receptorkinaser.</w:t>
      </w:r>
    </w:p>
    <w:p w14:paraId="1E5BA7B3" w14:textId="77777777" w:rsidR="006478AD" w:rsidRPr="00AA499E" w:rsidRDefault="006478AD">
      <w:pPr>
        <w:autoSpaceDE w:val="0"/>
        <w:autoSpaceDN w:val="0"/>
        <w:adjustRightInd w:val="0"/>
        <w:spacing w:after="0" w:line="240" w:lineRule="auto"/>
        <w:rPr>
          <w:rFonts w:ascii="Times New Roman" w:hAnsi="Times New Roman"/>
          <w:lang w:val="da-DK"/>
        </w:rPr>
      </w:pPr>
    </w:p>
    <w:p w14:paraId="3D3D3F24"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Farmakodynamisk virkning</w:t>
      </w:r>
    </w:p>
    <w:p w14:paraId="71AC1BF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 xml:space="preserve">Imatinib er en protein-tyrosinkinasehæmmer, som potent hæmmer Bcr-Abl tyrosinkinasen </w:t>
      </w:r>
      <w:r w:rsidRPr="00AA499E">
        <w:rPr>
          <w:rFonts w:ascii="Times New Roman" w:hAnsi="Times New Roman"/>
          <w:i/>
          <w:iCs/>
          <w:lang w:val="da-DK"/>
        </w:rPr>
        <w:t>in</w:t>
      </w:r>
      <w:r w:rsidR="00B7422A" w:rsidRPr="00AA499E">
        <w:rPr>
          <w:rFonts w:ascii="Times New Roman" w:hAnsi="Times New Roman"/>
          <w:i/>
          <w:iCs/>
          <w:lang w:val="da-DK"/>
        </w:rPr>
        <w:t> </w:t>
      </w:r>
      <w:r w:rsidRPr="00AA499E">
        <w:rPr>
          <w:rFonts w:ascii="Times New Roman" w:hAnsi="Times New Roman"/>
          <w:i/>
          <w:iCs/>
          <w:lang w:val="da-DK"/>
        </w:rPr>
        <w:t>vitro</w:t>
      </w:r>
      <w:r w:rsidRPr="00AA499E">
        <w:rPr>
          <w:rFonts w:ascii="Times New Roman" w:hAnsi="Times New Roman"/>
          <w:lang w:val="da-DK"/>
        </w:rPr>
        <w:t xml:space="preserve">, </w:t>
      </w:r>
      <w:r w:rsidRPr="00AA499E">
        <w:rPr>
          <w:rFonts w:ascii="Times New Roman" w:hAnsi="Times New Roman"/>
          <w:i/>
          <w:iCs/>
          <w:lang w:val="da-DK"/>
        </w:rPr>
        <w:t>in</w:t>
      </w:r>
      <w:r w:rsidR="00975813" w:rsidRPr="00AA499E">
        <w:rPr>
          <w:rFonts w:ascii="Times New Roman" w:hAnsi="Times New Roman"/>
          <w:i/>
          <w:iCs/>
          <w:lang w:val="da-DK"/>
        </w:rPr>
        <w:t> </w:t>
      </w:r>
      <w:r w:rsidRPr="00AA499E">
        <w:rPr>
          <w:rFonts w:ascii="Times New Roman" w:hAnsi="Times New Roman"/>
          <w:i/>
          <w:iCs/>
          <w:lang w:val="da-DK"/>
        </w:rPr>
        <w:t xml:space="preserve">vivo </w:t>
      </w:r>
      <w:r w:rsidRPr="00AA499E">
        <w:rPr>
          <w:rFonts w:ascii="Times New Roman" w:hAnsi="Times New Roman"/>
          <w:lang w:val="da-DK"/>
        </w:rPr>
        <w:t>og på cellulært niveau. Stoffet hæmmer selektivt proliferationen og inducerer apoptosis i Bcr-Abl-positive cellelinier såvel som i friske leukæmiceller fra Philadelphia-kromosompositiv (Ph+) CML og hos patienter med akut lymfoblastisk leukæmi (ALL).</w:t>
      </w:r>
    </w:p>
    <w:p w14:paraId="72BAF042" w14:textId="77777777" w:rsidR="006478AD" w:rsidRPr="00AA499E" w:rsidRDefault="006478AD">
      <w:pPr>
        <w:autoSpaceDE w:val="0"/>
        <w:autoSpaceDN w:val="0"/>
        <w:adjustRightInd w:val="0"/>
        <w:spacing w:after="0" w:line="240" w:lineRule="auto"/>
        <w:rPr>
          <w:rFonts w:ascii="Times New Roman" w:hAnsi="Times New Roman"/>
          <w:lang w:val="da-DK"/>
        </w:rPr>
      </w:pPr>
    </w:p>
    <w:p w14:paraId="08A0001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 dyremodeller, hvor der anvendes Bcr-Abl-positive tumorceller, har stoffet som enkeltstof </w:t>
      </w:r>
      <w:r w:rsidRPr="00AA499E">
        <w:rPr>
          <w:rFonts w:ascii="Times New Roman" w:hAnsi="Times New Roman"/>
          <w:i/>
          <w:iCs/>
          <w:lang w:val="da-DK"/>
        </w:rPr>
        <w:t xml:space="preserve">in vivo </w:t>
      </w:r>
      <w:r w:rsidRPr="00AA499E">
        <w:rPr>
          <w:rFonts w:ascii="Times New Roman" w:hAnsi="Times New Roman"/>
          <w:lang w:val="da-DK"/>
        </w:rPr>
        <w:t xml:space="preserve"> antitumoraktivitet.</w:t>
      </w:r>
    </w:p>
    <w:p w14:paraId="7D309D1D" w14:textId="77777777" w:rsidR="0063369B" w:rsidRPr="00AA499E" w:rsidRDefault="0063369B">
      <w:pPr>
        <w:autoSpaceDE w:val="0"/>
        <w:autoSpaceDN w:val="0"/>
        <w:adjustRightInd w:val="0"/>
        <w:spacing w:after="0" w:line="240" w:lineRule="auto"/>
        <w:rPr>
          <w:rFonts w:ascii="Times New Roman" w:hAnsi="Times New Roman"/>
          <w:lang w:val="da-DK"/>
        </w:rPr>
      </w:pPr>
    </w:p>
    <w:p w14:paraId="4D08602A"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hæmmer også receptortyrosinkinaserne for trombocytafledte vækstfaktorer (PDGF), PDGF-R, og  hæmmer PDGF-medierede cellulære signaler. Vedvarende aktivering af PDGF receptoren eller Abl protein tyrosinkinase, der opstår på grund af en fusion med andre proteiner eller konstitutiv produktion af PDGF er blevet impliceret i patogenesen af MDS/MPD, HES/CEL og DFSP. Imatinib hæmmer signalleringen og vækst af celler, der drives af dysreguleret PDGFR og Abl kinaseaktivitet.</w:t>
      </w:r>
    </w:p>
    <w:p w14:paraId="555E0432" w14:textId="77777777" w:rsidR="00962A6F" w:rsidRPr="00AA499E" w:rsidRDefault="00962A6F">
      <w:pPr>
        <w:autoSpaceDE w:val="0"/>
        <w:autoSpaceDN w:val="0"/>
        <w:adjustRightInd w:val="0"/>
        <w:spacing w:after="0" w:line="240" w:lineRule="auto"/>
        <w:rPr>
          <w:rFonts w:ascii="Times New Roman" w:hAnsi="Times New Roman"/>
          <w:lang w:val="da-DK"/>
        </w:rPr>
      </w:pPr>
    </w:p>
    <w:p w14:paraId="12D3E34F"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Kliniske undersøgelser vedrørende kronisk myeloid leukæmi</w:t>
      </w:r>
    </w:p>
    <w:p w14:paraId="65C40BD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Imatinibs effekt er baseret på generelle hæmatologiske og cytogene responsrater og progressionsfri overlevelse. Der er ingen kontrollerede undersøgelser, undtagen der har vist klinisk bedring såsom forbedring af sygdomsrelaterede symptomer eller øget overlevelse.</w:t>
      </w:r>
    </w:p>
    <w:p w14:paraId="2D061AA8" w14:textId="77777777" w:rsidR="006478AD" w:rsidRPr="00AA499E" w:rsidRDefault="006478AD">
      <w:pPr>
        <w:autoSpaceDE w:val="0"/>
        <w:autoSpaceDN w:val="0"/>
        <w:adjustRightInd w:val="0"/>
        <w:spacing w:after="0" w:line="240" w:lineRule="auto"/>
        <w:rPr>
          <w:rFonts w:ascii="Times New Roman" w:hAnsi="Times New Roman"/>
          <w:lang w:val="da-DK"/>
        </w:rPr>
      </w:pPr>
    </w:p>
    <w:p w14:paraId="5E396EAE" w14:textId="77777777" w:rsidR="00D8731B" w:rsidRPr="00AA499E" w:rsidRDefault="00D8731B" w:rsidP="00D8731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En stor internationale, åbne, ikke-kontrollerede fase II undersøgelse var udført med patienter med Philadelphia-kromosompositiv (Ph+) CML i blaskritisk fase af sygdommen. Derudover er der behandlet børn i 2 fase I undersøgelser (hos patienter med CML eller Ph+ akut leukæmi) og et fase II studie.</w:t>
      </w:r>
    </w:p>
    <w:p w14:paraId="5C57E645" w14:textId="77777777" w:rsidR="00D8731B" w:rsidRPr="00AA499E" w:rsidRDefault="00D8731B" w:rsidP="00D8731B">
      <w:pPr>
        <w:autoSpaceDE w:val="0"/>
        <w:autoSpaceDN w:val="0"/>
        <w:adjustRightInd w:val="0"/>
        <w:spacing w:after="0" w:line="240" w:lineRule="auto"/>
        <w:rPr>
          <w:rFonts w:ascii="Times New Roman" w:hAnsi="Times New Roman"/>
          <w:lang w:val="da-DK"/>
        </w:rPr>
      </w:pPr>
    </w:p>
    <w:p w14:paraId="3329D5D6" w14:textId="77777777" w:rsidR="00D8731B" w:rsidRPr="00AA499E" w:rsidRDefault="00D8731B" w:rsidP="00D8731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de kliniske undersøgelser var 38 % af patienterne ≥ 60 år, og 12 % af patienterne var ≥ 70 år.</w:t>
      </w:r>
    </w:p>
    <w:p w14:paraId="66FD3461" w14:textId="77777777" w:rsidR="00D8731B" w:rsidRPr="00AA499E" w:rsidRDefault="00D8731B" w:rsidP="00D8731B">
      <w:pPr>
        <w:autoSpaceDE w:val="0"/>
        <w:autoSpaceDN w:val="0"/>
        <w:adjustRightInd w:val="0"/>
        <w:spacing w:after="0" w:line="240" w:lineRule="auto"/>
        <w:rPr>
          <w:rFonts w:ascii="Times New Roman" w:hAnsi="Times New Roman"/>
          <w:lang w:val="da-DK"/>
        </w:rPr>
      </w:pPr>
    </w:p>
    <w:p w14:paraId="1ACF4B9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 xml:space="preserve">Myeloid blastkrise: </w:t>
      </w:r>
      <w:r w:rsidRPr="00AA499E">
        <w:rPr>
          <w:rFonts w:ascii="Times New Roman" w:hAnsi="Times New Roman"/>
          <w:lang w:val="da-DK"/>
        </w:rPr>
        <w:t>Der inkluderedes 260 patienter med myeloid blastkrise. 95 (37 %) havde tidligere modtaget kemoterapi til behandling af enten accelereret fase eller blastkrise (”tidligere behandlede patienter”), hvorimod 165 (63 %) ikke havde (”ubehandlede patienter”). De første 37 patienter startede med 400 mg, protokollen blev efterfølgende ændret og tillod højere doser, hvorefter de resterende 223 patienter startede med 600 mg.</w:t>
      </w:r>
    </w:p>
    <w:p w14:paraId="1D93142E" w14:textId="77777777" w:rsidR="006478AD" w:rsidRPr="00AA499E" w:rsidRDefault="006478AD">
      <w:pPr>
        <w:autoSpaceDE w:val="0"/>
        <w:autoSpaceDN w:val="0"/>
        <w:adjustRightInd w:val="0"/>
        <w:spacing w:after="0" w:line="240" w:lineRule="auto"/>
        <w:rPr>
          <w:rFonts w:ascii="Times New Roman" w:hAnsi="Times New Roman"/>
          <w:lang w:val="da-DK"/>
        </w:rPr>
      </w:pPr>
    </w:p>
    <w:p w14:paraId="2E79F105" w14:textId="77777777" w:rsidR="006478AD" w:rsidRPr="00AA499E" w:rsidRDefault="004C011F" w:rsidP="008E4E8A">
      <w:pPr>
        <w:spacing w:after="0" w:line="240" w:lineRule="auto"/>
        <w:rPr>
          <w:rFonts w:ascii="Times New Roman" w:hAnsi="Times New Roman"/>
          <w:lang w:val="da-DK"/>
        </w:rPr>
      </w:pPr>
      <w:r w:rsidRPr="00AA499E">
        <w:rPr>
          <w:rFonts w:ascii="Times New Roman" w:hAnsi="Times New Roman"/>
          <w:lang w:val="da-DK"/>
        </w:rPr>
        <w:t xml:space="preserve">Den primære effektvariable var graden af hæmatologisk hovedrespons, rapporteret enten som fuldstændigt hæmatologisk respons, intet tegn på leukæmi (det vil sige clearance af blaster fra knoglemarven og blod, men uden en fuldstændig resitution i perifert blod som ved fuldstændigt respons) eller remission til CML i kronisk fase. </w:t>
      </w:r>
      <w:r w:rsidR="00616F3C" w:rsidRPr="00AA499E">
        <w:rPr>
          <w:rFonts w:ascii="Times New Roman" w:hAnsi="Times New Roman"/>
          <w:lang w:val="da-DK"/>
        </w:rPr>
        <w:t>I denne undersøgelse opnåede 31 % af patienterne et hæmatologisk respons (36 % af de tidligere ”ubehandlede patienter” og 22 % af de ”tidligere behandlede patienter”)</w:t>
      </w:r>
      <w:r w:rsidR="00573F2B" w:rsidRPr="00AA499E">
        <w:rPr>
          <w:rFonts w:ascii="Times New Roman" w:hAnsi="Times New Roman"/>
          <w:lang w:val="da-DK"/>
        </w:rPr>
        <w:t xml:space="preserve"> (Tabel </w:t>
      </w:r>
      <w:r w:rsidR="00EA2B7C" w:rsidRPr="00AA499E">
        <w:rPr>
          <w:rFonts w:ascii="Times New Roman" w:hAnsi="Times New Roman"/>
          <w:lang w:val="da-DK"/>
        </w:rPr>
        <w:t>2</w:t>
      </w:r>
      <w:r w:rsidR="00573F2B" w:rsidRPr="00AA499E">
        <w:rPr>
          <w:rFonts w:ascii="Times New Roman" w:hAnsi="Times New Roman"/>
          <w:lang w:val="da-DK"/>
        </w:rPr>
        <w:t>)</w:t>
      </w:r>
      <w:r w:rsidR="00616F3C" w:rsidRPr="00AA499E">
        <w:rPr>
          <w:rFonts w:ascii="Times New Roman" w:hAnsi="Times New Roman"/>
          <w:lang w:val="da-DK"/>
        </w:rPr>
        <w:t>. Hovedresponsniveauet var også større hos patienter behandlet med 600 mg (33 %) sammenlignet med patienter behandlet med 400 mg (16 %, p=0,0220). Den aktuelle estimerede gennemsnitlige overlevelse hos tidligere ”ubehandlede” og ”behandlede patienter” var henholdsvis 7,7 og 4,7 måneder.</w:t>
      </w:r>
    </w:p>
    <w:p w14:paraId="17200B2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Lymfoid blastkrise</w:t>
      </w:r>
      <w:r w:rsidRPr="00AA499E">
        <w:rPr>
          <w:rFonts w:ascii="Times New Roman" w:hAnsi="Times New Roman"/>
          <w:lang w:val="da-DK"/>
        </w:rPr>
        <w:t>: der inkluderedes et begrænset antal patienter i fase I undersøgelser (n=10). Incidensen af hæmatologisk respons var 70 % med en varighed på 2</w:t>
      </w:r>
      <w:r w:rsidRPr="00AA499E">
        <w:rPr>
          <w:rFonts w:ascii="Times New Roman" w:hAnsi="Times New Roman"/>
          <w:b/>
          <w:bCs/>
          <w:i/>
          <w:iCs/>
          <w:lang w:val="da-DK"/>
        </w:rPr>
        <w:t>–</w:t>
      </w:r>
      <w:r w:rsidRPr="00AA499E">
        <w:rPr>
          <w:rFonts w:ascii="Times New Roman" w:hAnsi="Times New Roman"/>
          <w:lang w:val="da-DK"/>
        </w:rPr>
        <w:t>3 måneder.</w:t>
      </w:r>
    </w:p>
    <w:p w14:paraId="4358DC2A" w14:textId="77777777" w:rsidR="006478AD" w:rsidRPr="00AA499E" w:rsidRDefault="006478AD">
      <w:pPr>
        <w:autoSpaceDE w:val="0"/>
        <w:autoSpaceDN w:val="0"/>
        <w:adjustRightInd w:val="0"/>
        <w:spacing w:after="0" w:line="240" w:lineRule="auto"/>
        <w:rPr>
          <w:rFonts w:ascii="Times New Roman" w:hAnsi="Times New Roman"/>
          <w:lang w:val="da-DK"/>
        </w:rPr>
      </w:pPr>
    </w:p>
    <w:p w14:paraId="430320E8" w14:textId="77777777" w:rsidR="00B7422A"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Tabel</w:t>
      </w:r>
      <w:r w:rsidR="000E3EA1" w:rsidRPr="00AA499E">
        <w:rPr>
          <w:rFonts w:ascii="Times New Roman" w:hAnsi="Times New Roman"/>
          <w:b/>
          <w:bCs/>
          <w:lang w:val="da-DK"/>
        </w:rPr>
        <w:t> </w:t>
      </w:r>
      <w:r w:rsidR="00EA2B7C" w:rsidRPr="00AA499E">
        <w:rPr>
          <w:rFonts w:ascii="Times New Roman" w:hAnsi="Times New Roman"/>
          <w:b/>
          <w:bCs/>
          <w:lang w:val="da-DK"/>
        </w:rPr>
        <w:t>2</w:t>
      </w:r>
      <w:r w:rsidRPr="00AA499E">
        <w:rPr>
          <w:rFonts w:ascii="Times New Roman" w:hAnsi="Times New Roman"/>
          <w:b/>
          <w:bCs/>
          <w:lang w:val="da-DK"/>
        </w:rPr>
        <w:t xml:space="preserve"> Respons hos voksne CML-patienter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6340"/>
      </w:tblGrid>
      <w:tr w:rsidR="00573F2B" w:rsidRPr="00AA499E" w14:paraId="36E2D23B" w14:textId="77777777" w:rsidTr="00722CDA">
        <w:tc>
          <w:tcPr>
            <w:tcW w:w="3085" w:type="dxa"/>
          </w:tcPr>
          <w:p w14:paraId="6A124277" w14:textId="77777777" w:rsidR="00573F2B" w:rsidRPr="00AA499E" w:rsidRDefault="00573F2B">
            <w:pPr>
              <w:autoSpaceDE w:val="0"/>
              <w:autoSpaceDN w:val="0"/>
              <w:adjustRightInd w:val="0"/>
              <w:spacing w:after="0" w:line="240" w:lineRule="auto"/>
              <w:rPr>
                <w:rFonts w:ascii="Times New Roman" w:hAnsi="Times New Roman"/>
                <w:lang w:val="da-DK"/>
              </w:rPr>
            </w:pPr>
          </w:p>
        </w:tc>
        <w:tc>
          <w:tcPr>
            <w:tcW w:w="6462" w:type="dxa"/>
          </w:tcPr>
          <w:p w14:paraId="598CB56E"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Undersøgelse 0102</w:t>
            </w:r>
          </w:p>
          <w:p w14:paraId="061933E0"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38 måneders data</w:t>
            </w:r>
          </w:p>
          <w:p w14:paraId="0FE7D5F8"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Myeloid blast-</w:t>
            </w:r>
          </w:p>
          <w:p w14:paraId="4C084A68"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krise</w:t>
            </w:r>
          </w:p>
          <w:p w14:paraId="751B6446"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(n=260)</w:t>
            </w:r>
          </w:p>
        </w:tc>
      </w:tr>
      <w:tr w:rsidR="006478AD" w:rsidRPr="00AA499E" w14:paraId="66C3EE10" w14:textId="77777777" w:rsidTr="007E16DF">
        <w:tc>
          <w:tcPr>
            <w:tcW w:w="9547" w:type="dxa"/>
            <w:gridSpan w:val="2"/>
          </w:tcPr>
          <w:p w14:paraId="36A80491" w14:textId="77777777" w:rsidR="006478AD" w:rsidRPr="00AA499E" w:rsidRDefault="00616F3C"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 patienter (CI</w:t>
            </w:r>
            <w:r w:rsidRPr="00AA499E">
              <w:rPr>
                <w:rFonts w:ascii="Times New Roman" w:hAnsi="Times New Roman"/>
                <w:vertAlign w:val="subscript"/>
                <w:lang w:val="da-DK"/>
              </w:rPr>
              <w:t>95%</w:t>
            </w:r>
            <w:r w:rsidRPr="00AA499E">
              <w:rPr>
                <w:rFonts w:ascii="Times New Roman" w:hAnsi="Times New Roman"/>
                <w:lang w:val="da-DK"/>
              </w:rPr>
              <w:t>)</w:t>
            </w:r>
          </w:p>
        </w:tc>
      </w:tr>
      <w:tr w:rsidR="00573F2B" w:rsidRPr="00AA499E" w14:paraId="6B3353B5" w14:textId="77777777" w:rsidTr="00722CDA">
        <w:tc>
          <w:tcPr>
            <w:tcW w:w="3085" w:type="dxa"/>
          </w:tcPr>
          <w:p w14:paraId="0590CF48" w14:textId="77777777" w:rsidR="00573F2B" w:rsidRPr="00AA499E" w:rsidRDefault="00573F2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Hæmatologisk respons</w:t>
            </w:r>
            <w:r w:rsidRPr="00AA499E">
              <w:rPr>
                <w:rFonts w:ascii="Times New Roman" w:hAnsi="Times New Roman"/>
                <w:vertAlign w:val="superscript"/>
                <w:lang w:val="da-DK"/>
              </w:rPr>
              <w:t>1</w:t>
            </w:r>
          </w:p>
          <w:p w14:paraId="1F6CAD1D" w14:textId="77777777" w:rsidR="00573F2B" w:rsidRPr="00AA499E" w:rsidRDefault="00573F2B" w:rsidP="00962A6F">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lastRenderedPageBreak/>
              <w:tab/>
              <w:t>Fuldstændigt hæmatologisk respons (CHR)</w:t>
            </w:r>
          </w:p>
          <w:p w14:paraId="2739EE9B" w14:textId="77777777" w:rsidR="00573F2B" w:rsidRPr="00AA499E" w:rsidRDefault="00573F2B" w:rsidP="00962A6F">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tab/>
              <w:t>Intet tegn på leukæmi (NEL)</w:t>
            </w:r>
          </w:p>
          <w:p w14:paraId="74836535" w14:textId="77777777" w:rsidR="00573F2B" w:rsidRPr="00AA499E" w:rsidRDefault="00573F2B" w:rsidP="00962A6F">
            <w:pPr>
              <w:autoSpaceDE w:val="0"/>
              <w:autoSpaceDN w:val="0"/>
              <w:adjustRightInd w:val="0"/>
              <w:spacing w:after="0" w:line="240" w:lineRule="auto"/>
              <w:ind w:left="284" w:hanging="284"/>
              <w:rPr>
                <w:rFonts w:ascii="Times New Roman" w:hAnsi="Times New Roman"/>
                <w:lang w:val="da-DK"/>
              </w:rPr>
            </w:pPr>
            <w:r w:rsidRPr="00AA499E">
              <w:rPr>
                <w:rFonts w:ascii="Times New Roman" w:hAnsi="Times New Roman"/>
                <w:lang w:val="da-DK"/>
              </w:rPr>
              <w:tab/>
              <w:t>Remission til kronisk fase (RTC)</w:t>
            </w:r>
          </w:p>
        </w:tc>
        <w:tc>
          <w:tcPr>
            <w:tcW w:w="6462" w:type="dxa"/>
          </w:tcPr>
          <w:p w14:paraId="6FCE853B"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lastRenderedPageBreak/>
              <w:t>31 % (25,2–36,8)</w:t>
            </w:r>
          </w:p>
          <w:p w14:paraId="60DA26B0"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lastRenderedPageBreak/>
              <w:t>8 %</w:t>
            </w:r>
          </w:p>
          <w:p w14:paraId="2C0B0A53"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p>
          <w:p w14:paraId="3E97EA91"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5 %</w:t>
            </w:r>
          </w:p>
          <w:p w14:paraId="650EA367"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p>
          <w:p w14:paraId="7D9F8161"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18 %</w:t>
            </w:r>
          </w:p>
        </w:tc>
      </w:tr>
      <w:tr w:rsidR="00573F2B" w:rsidRPr="00AA499E" w14:paraId="51DECE04" w14:textId="77777777" w:rsidTr="00722CDA">
        <w:tc>
          <w:tcPr>
            <w:tcW w:w="3085" w:type="dxa"/>
          </w:tcPr>
          <w:p w14:paraId="2B1F2F21" w14:textId="77777777" w:rsidR="00573F2B" w:rsidRPr="00AA499E" w:rsidRDefault="00573F2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Cytogenetisk hovedrespons</w:t>
            </w:r>
            <w:r w:rsidRPr="00AA499E">
              <w:rPr>
                <w:rFonts w:ascii="Times New Roman" w:hAnsi="Times New Roman"/>
                <w:vertAlign w:val="superscript"/>
                <w:lang w:val="da-DK"/>
              </w:rPr>
              <w:t>2</w:t>
            </w:r>
          </w:p>
          <w:p w14:paraId="665FDFE0" w14:textId="77777777" w:rsidR="00573F2B" w:rsidRPr="00AA499E" w:rsidRDefault="00573F2B" w:rsidP="00063A26">
            <w:pPr>
              <w:tabs>
                <w:tab w:val="left" w:pos="288"/>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b/>
              <w:t>Fuldstændigt</w:t>
            </w:r>
          </w:p>
          <w:p w14:paraId="071C7AE1" w14:textId="77777777" w:rsidR="00573F2B" w:rsidRPr="00AA499E" w:rsidRDefault="00573F2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b/>
              <w:t>(Bekræftet3) [95 % CI]</w:t>
            </w:r>
          </w:p>
          <w:p w14:paraId="6AA2CFCB" w14:textId="77777777" w:rsidR="00573F2B" w:rsidRPr="00AA499E" w:rsidRDefault="00573F2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b/>
              <w:t>Delvist</w:t>
            </w:r>
          </w:p>
        </w:tc>
        <w:tc>
          <w:tcPr>
            <w:tcW w:w="6462" w:type="dxa"/>
          </w:tcPr>
          <w:p w14:paraId="030A9895"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15 % (11,2–20,4)</w:t>
            </w:r>
          </w:p>
          <w:p w14:paraId="488C4CF1" w14:textId="77777777" w:rsidR="00573F2B" w:rsidRPr="00AA499E" w:rsidRDefault="00573F2B" w:rsidP="00063A26">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7 %</w:t>
            </w:r>
          </w:p>
          <w:p w14:paraId="497097F6" w14:textId="77777777" w:rsidR="00573F2B" w:rsidRPr="00AA499E" w:rsidRDefault="00573F2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(2 %) [0,6–4,4]</w:t>
            </w:r>
          </w:p>
          <w:p w14:paraId="7F82A41C" w14:textId="77777777" w:rsidR="00573F2B" w:rsidRPr="00AA499E" w:rsidRDefault="00573F2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b/>
              <w:t>8 %</w:t>
            </w:r>
          </w:p>
        </w:tc>
      </w:tr>
      <w:tr w:rsidR="006478AD" w:rsidRPr="00AA499E" w14:paraId="473EBE8A" w14:textId="77777777" w:rsidTr="007E16DF">
        <w:tc>
          <w:tcPr>
            <w:tcW w:w="9547" w:type="dxa"/>
            <w:gridSpan w:val="2"/>
          </w:tcPr>
          <w:p w14:paraId="6B92556E"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vertAlign w:val="superscript"/>
                <w:lang w:val="da-DK"/>
              </w:rPr>
              <w:t>1</w:t>
            </w:r>
            <w:r w:rsidRPr="00AA499E">
              <w:rPr>
                <w:rFonts w:ascii="Times New Roman" w:hAnsi="Times New Roman"/>
                <w:b/>
                <w:bCs/>
                <w:lang w:val="da-DK"/>
              </w:rPr>
              <w:t xml:space="preserve"> 1Hæmatologiske responskriterier (hvert respons skal bekræftes </w:t>
            </w:r>
            <w:r w:rsidRPr="00AA499E">
              <w:rPr>
                <w:rFonts w:ascii="Times New Roman" w:hAnsi="Times New Roman"/>
                <w:lang w:val="da-DK"/>
              </w:rPr>
              <w:t xml:space="preserve">≥ </w:t>
            </w:r>
            <w:r w:rsidRPr="00AA499E">
              <w:rPr>
                <w:rFonts w:ascii="Times New Roman" w:hAnsi="Times New Roman"/>
                <w:b/>
                <w:bCs/>
                <w:lang w:val="da-DK"/>
              </w:rPr>
              <w:t>4 uger):</w:t>
            </w:r>
          </w:p>
          <w:p w14:paraId="67E43EF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CHR:</w:t>
            </w:r>
            <w:r w:rsidRPr="00AA499E">
              <w:rPr>
                <w:rFonts w:ascii="Times New Roman" w:hAnsi="Times New Roman"/>
                <w:lang w:val="da-DK"/>
              </w:rPr>
              <w:tab/>
            </w:r>
            <w:r w:rsidR="00573F2B" w:rsidRPr="00AA499E">
              <w:rPr>
                <w:rFonts w:ascii="Times New Roman" w:hAnsi="Times New Roman"/>
                <w:lang w:val="da-DK"/>
              </w:rPr>
              <w:t>I studie 0102</w:t>
            </w:r>
            <w:r w:rsidRPr="00AA499E">
              <w:rPr>
                <w:rFonts w:ascii="Times New Roman" w:hAnsi="Times New Roman"/>
                <w:lang w:val="da-DK"/>
              </w:rPr>
              <w:t xml:space="preserve"> [ANC </w:t>
            </w:r>
            <w:r w:rsidRPr="00AA499E">
              <w:rPr>
                <w:rFonts w:ascii="Times New Roman" w:hAnsi="Times New Roman"/>
                <w:lang w:val="da-DK"/>
              </w:rPr>
              <w:t>1,5 x 10</w:t>
            </w:r>
            <w:r w:rsidRPr="00AA499E">
              <w:rPr>
                <w:rFonts w:ascii="Times New Roman" w:hAnsi="Times New Roman"/>
                <w:vertAlign w:val="superscript"/>
                <w:lang w:val="da-DK"/>
              </w:rPr>
              <w:t>9</w:t>
            </w:r>
            <w:r w:rsidRPr="00AA499E">
              <w:rPr>
                <w:rFonts w:ascii="Times New Roman" w:hAnsi="Times New Roman"/>
                <w:lang w:val="da-DK"/>
              </w:rPr>
              <w:t>/l, trombocytter ≥ 100 x 10</w:t>
            </w:r>
            <w:r w:rsidRPr="00AA499E">
              <w:rPr>
                <w:rFonts w:ascii="Times New Roman" w:hAnsi="Times New Roman"/>
                <w:vertAlign w:val="superscript"/>
                <w:lang w:val="da-DK"/>
              </w:rPr>
              <w:t>9</w:t>
            </w:r>
            <w:r w:rsidRPr="00AA499E">
              <w:rPr>
                <w:rFonts w:ascii="Times New Roman" w:hAnsi="Times New Roman"/>
                <w:lang w:val="da-DK"/>
              </w:rPr>
              <w:t>/l, ingen blaster i blodet, BM-blaster &lt;5 % og ingen ekstramedullær sygdom].</w:t>
            </w:r>
          </w:p>
          <w:p w14:paraId="3A507A0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NEL</w:t>
            </w:r>
            <w:r w:rsidRPr="00AA499E">
              <w:rPr>
                <w:rFonts w:ascii="Times New Roman" w:hAnsi="Times New Roman"/>
                <w:lang w:val="da-DK"/>
              </w:rPr>
              <w:tab/>
              <w:t>Samme kriterier som for CHR, men ANC ≥ 1 x 10</w:t>
            </w:r>
            <w:r w:rsidRPr="00AA499E">
              <w:rPr>
                <w:rFonts w:ascii="Times New Roman" w:hAnsi="Times New Roman"/>
                <w:vertAlign w:val="superscript"/>
                <w:lang w:val="da-DK"/>
              </w:rPr>
              <w:t>9</w:t>
            </w:r>
            <w:r w:rsidRPr="00AA499E">
              <w:rPr>
                <w:rFonts w:ascii="Times New Roman" w:hAnsi="Times New Roman"/>
                <w:lang w:val="da-DK"/>
              </w:rPr>
              <w:t>/l og trombocytter ≥ 20 x 10</w:t>
            </w:r>
            <w:r w:rsidRPr="00AA499E">
              <w:rPr>
                <w:rFonts w:ascii="Times New Roman" w:hAnsi="Times New Roman"/>
                <w:vertAlign w:val="superscript"/>
                <w:lang w:val="da-DK"/>
              </w:rPr>
              <w:t>9</w:t>
            </w:r>
            <w:r w:rsidRPr="00AA499E">
              <w:rPr>
                <w:rFonts w:ascii="Times New Roman" w:hAnsi="Times New Roman"/>
                <w:lang w:val="da-DK"/>
              </w:rPr>
              <w:t>/l.</w:t>
            </w:r>
          </w:p>
          <w:p w14:paraId="3C6702E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RTC &lt;15 % blaster I BM og PB, &lt;30 % blaster + promyelocytter in BM og PB, &lt;20 % basofilocytter i PB, ingen ekstramedullær sygdom andet end milt og lever.</w:t>
            </w:r>
          </w:p>
          <w:p w14:paraId="56E79BB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BM = Knoglemarv; PB = Perifert blod.</w:t>
            </w:r>
          </w:p>
          <w:p w14:paraId="0E4D3A49"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vertAlign w:val="superscript"/>
                <w:lang w:val="da-DK"/>
              </w:rPr>
              <w:t>2</w:t>
            </w:r>
            <w:r w:rsidRPr="00AA499E">
              <w:rPr>
                <w:rFonts w:ascii="Times New Roman" w:hAnsi="Times New Roman"/>
                <w:b/>
                <w:bCs/>
                <w:lang w:val="da-DK"/>
              </w:rPr>
              <w:t xml:space="preserve"> Cytogenetiske responskriterier:</w:t>
            </w:r>
          </w:p>
          <w:p w14:paraId="43C1B99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Et hovedrespons kombinerer både fuldstændig og partiel respons: Fuldstændig (0 % Ph+ metafaser),</w:t>
            </w:r>
          </w:p>
          <w:p w14:paraId="79F9C31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delvis (1–35 %).</w:t>
            </w:r>
          </w:p>
          <w:p w14:paraId="7DBE8FD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vertAlign w:val="superscript"/>
                <w:lang w:val="da-DK"/>
              </w:rPr>
              <w:t>3</w:t>
            </w:r>
            <w:r w:rsidRPr="00AA499E">
              <w:rPr>
                <w:rFonts w:ascii="Times New Roman" w:hAnsi="Times New Roman"/>
                <w:lang w:val="da-DK"/>
              </w:rPr>
              <w:t xml:space="preserve"> Fuldstændigt cytogenetisk respons bekræftet ved endnu en cytogenetisk knoglemarvsundersøgelse</w:t>
            </w:r>
          </w:p>
          <w:p w14:paraId="12A10B6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udført mindst 1 måned efter den initiale knoglemarvsundersøgelse.</w:t>
            </w:r>
          </w:p>
        </w:tc>
      </w:tr>
    </w:tbl>
    <w:p w14:paraId="4D208B59" w14:textId="77777777" w:rsidR="006478AD" w:rsidRPr="00AA499E" w:rsidRDefault="006478AD">
      <w:pPr>
        <w:autoSpaceDE w:val="0"/>
        <w:autoSpaceDN w:val="0"/>
        <w:adjustRightInd w:val="0"/>
        <w:spacing w:after="0" w:line="240" w:lineRule="auto"/>
        <w:rPr>
          <w:rFonts w:ascii="Times New Roman" w:hAnsi="Times New Roman"/>
          <w:lang w:val="da-DK"/>
        </w:rPr>
      </w:pPr>
    </w:p>
    <w:p w14:paraId="748EBFA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Pædiatriske patienter</w:t>
      </w:r>
      <w:r w:rsidRPr="00AA499E">
        <w:rPr>
          <w:rFonts w:ascii="Times New Roman" w:hAnsi="Times New Roman"/>
          <w:lang w:val="da-DK"/>
        </w:rPr>
        <w:t>: I alt 26 pædiatriske patienter i alderen &lt;18 år med enten CML i kronisk fase (n=11) eller CML i blastkrise eller Ph+ akut leukæmi (n=15) blev inkluderet i en fase I undersøgelse med dosis-eskalering. Det var en population af patienter, der i udtalt grad tidligere havde modtaget anden behandling, eftersom 46 % tidligere havde modtaget BMT, og 73 % tidligere havde modtaget multi-stof kemoterapi. Patienterne blev behandlet med imatinib-doser på 260 mg/m</w:t>
      </w:r>
      <w:r w:rsidRPr="00AA499E">
        <w:rPr>
          <w:rFonts w:ascii="Times New Roman" w:hAnsi="Times New Roman"/>
          <w:vertAlign w:val="superscript"/>
          <w:lang w:val="da-DK"/>
        </w:rPr>
        <w:t>2</w:t>
      </w:r>
      <w:r w:rsidRPr="00AA499E">
        <w:rPr>
          <w:rFonts w:ascii="Times New Roman" w:hAnsi="Times New Roman"/>
          <w:lang w:val="da-DK"/>
        </w:rPr>
        <w:t>/dag (n=5), 340 mg/m</w:t>
      </w:r>
      <w:r w:rsidRPr="00AA499E">
        <w:rPr>
          <w:rFonts w:ascii="Times New Roman" w:hAnsi="Times New Roman"/>
          <w:vertAlign w:val="superscript"/>
          <w:lang w:val="da-DK"/>
        </w:rPr>
        <w:t>2</w:t>
      </w:r>
      <w:r w:rsidRPr="00AA499E">
        <w:rPr>
          <w:rFonts w:ascii="Times New Roman" w:hAnsi="Times New Roman"/>
          <w:lang w:val="da-DK"/>
        </w:rPr>
        <w:t>/dag (n=9), 440 mg/m</w:t>
      </w:r>
      <w:r w:rsidRPr="00AA499E">
        <w:rPr>
          <w:rFonts w:ascii="Times New Roman" w:hAnsi="Times New Roman"/>
          <w:vertAlign w:val="superscript"/>
          <w:lang w:val="da-DK"/>
        </w:rPr>
        <w:t>2</w:t>
      </w:r>
      <w:r w:rsidRPr="00AA499E">
        <w:rPr>
          <w:rFonts w:ascii="Times New Roman" w:hAnsi="Times New Roman"/>
          <w:lang w:val="da-DK"/>
        </w:rPr>
        <w:t>/dag (n=7) og 570 mg/m</w:t>
      </w:r>
      <w:r w:rsidRPr="00AA499E">
        <w:rPr>
          <w:rFonts w:ascii="Times New Roman" w:hAnsi="Times New Roman"/>
          <w:vertAlign w:val="superscript"/>
          <w:lang w:val="da-DK"/>
        </w:rPr>
        <w:t>2</w:t>
      </w:r>
      <w:r w:rsidRPr="00AA499E">
        <w:rPr>
          <w:rFonts w:ascii="Times New Roman" w:hAnsi="Times New Roman"/>
          <w:lang w:val="da-DK"/>
        </w:rPr>
        <w:t>/dag (n=5). Af 9 patienter med kronisk fase CML og tilgængelige cytogenetiske data opnåede henholdsvis 4 (44 %) og 3 (33 %) fuldstændigt og delvist cytogenetisk respons, med en McyR-rate på 77 %.</w:t>
      </w:r>
    </w:p>
    <w:p w14:paraId="235B6035" w14:textId="77777777" w:rsidR="006478AD" w:rsidRPr="00AA499E" w:rsidRDefault="006478AD">
      <w:pPr>
        <w:autoSpaceDE w:val="0"/>
        <w:autoSpaceDN w:val="0"/>
        <w:adjustRightInd w:val="0"/>
        <w:spacing w:after="0" w:line="240" w:lineRule="auto"/>
        <w:rPr>
          <w:rFonts w:ascii="Times New Roman" w:hAnsi="Times New Roman"/>
          <w:lang w:val="da-DK"/>
        </w:rPr>
      </w:pPr>
    </w:p>
    <w:p w14:paraId="0386928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alt 51 børn med nydiagnosticeret og ubehandlet CML i kronisk fase blev inkluderet i en åben, multicenter, enkeltarm fase II undersøgelse. Hvis der ikke var dosisbegrænsende toksicitet, blev patienterne behandlet med 340 mg/m</w:t>
      </w:r>
      <w:r w:rsidRPr="00AA499E">
        <w:rPr>
          <w:rFonts w:ascii="Times New Roman" w:hAnsi="Times New Roman"/>
          <w:vertAlign w:val="superscript"/>
          <w:lang w:val="da-DK"/>
        </w:rPr>
        <w:t>2</w:t>
      </w:r>
      <w:r w:rsidRPr="00AA499E">
        <w:rPr>
          <w:rFonts w:ascii="Times New Roman" w:hAnsi="Times New Roman"/>
          <w:lang w:val="da-DK"/>
        </w:rPr>
        <w:t>/dag uden afbrydelse. Imatinib-behandling inducerer et hurtigt respons hos nydiagnosticerede pædiatriske CML-patienter med en CHR hos 78 % efter 8 ugers behandling. Den høje rate af CHR er ledsaget af udvikling af komplet cytogenetisk respons (CCyR) hos 65 %, hvilket er sammenligneligt med resultater observeret hos voksne. Derudover sås partielt cytogetisk respons (PCyR) hos 16 %, dermed MCyR hos 81 %. Hovedparten af patienterne, som opnåede CCyR, udviklede dette mellem 3. og 10. måned med en mediantid til respons på 5,6 måneder baseret på et Kaplan-Meier estimat.</w:t>
      </w:r>
    </w:p>
    <w:p w14:paraId="5CAFB3CF" w14:textId="77777777" w:rsidR="00573F2B" w:rsidRPr="00AA499E" w:rsidRDefault="00573F2B">
      <w:pPr>
        <w:autoSpaceDE w:val="0"/>
        <w:autoSpaceDN w:val="0"/>
        <w:adjustRightInd w:val="0"/>
        <w:spacing w:after="0" w:line="240" w:lineRule="auto"/>
        <w:rPr>
          <w:rFonts w:ascii="Times New Roman" w:hAnsi="Times New Roman"/>
          <w:lang w:val="da-DK"/>
        </w:rPr>
      </w:pPr>
    </w:p>
    <w:p w14:paraId="5B91EE94" w14:textId="77777777" w:rsidR="00573F2B" w:rsidRPr="00AA499E" w:rsidRDefault="00573F2B" w:rsidP="00573F2B">
      <w:pPr>
        <w:pStyle w:val="Endnotentext"/>
        <w:tabs>
          <w:tab w:val="clear" w:pos="567"/>
        </w:tabs>
        <w:rPr>
          <w:color w:val="000000"/>
          <w:szCs w:val="22"/>
        </w:rPr>
      </w:pPr>
      <w:r w:rsidRPr="00AA499E">
        <w:rPr>
          <w:color w:val="000000"/>
          <w:szCs w:val="22"/>
        </w:rPr>
        <w:t xml:space="preserve">Det Europæiske Lægemiddelagentur har dispenseret fra kravet om at fremlægge resultaterne af studier med </w:t>
      </w:r>
      <w:r w:rsidR="000976A9" w:rsidRPr="00AA499E">
        <w:rPr>
          <w:color w:val="000000"/>
          <w:szCs w:val="22"/>
        </w:rPr>
        <w:t xml:space="preserve">imatinib </w:t>
      </w:r>
      <w:r w:rsidRPr="00AA499E">
        <w:rPr>
          <w:color w:val="000000"/>
          <w:szCs w:val="22"/>
        </w:rPr>
        <w:t>i alle undergrupper af den pædiatriske population med Philadelphiakromosom (bcr-abl translokation)-positiv kronisk myeloid leukæmi (se pkt. 4.2 for oplysninger om pædiatrisk anvendelse).</w:t>
      </w:r>
    </w:p>
    <w:p w14:paraId="087A9091" w14:textId="77777777" w:rsidR="00962A6F" w:rsidRPr="00AA499E" w:rsidRDefault="00962A6F" w:rsidP="00573F2B">
      <w:pPr>
        <w:pStyle w:val="Endnotentext"/>
        <w:tabs>
          <w:tab w:val="clear" w:pos="567"/>
        </w:tabs>
        <w:rPr>
          <w:color w:val="000000"/>
          <w:szCs w:val="22"/>
        </w:rPr>
      </w:pPr>
    </w:p>
    <w:p w14:paraId="6108B442" w14:textId="77777777" w:rsidR="00962A6F" w:rsidRPr="00AA499E" w:rsidRDefault="00962A6F" w:rsidP="00962A6F">
      <w:pPr>
        <w:widowControl w:val="0"/>
        <w:tabs>
          <w:tab w:val="left" w:pos="567"/>
        </w:tabs>
        <w:spacing w:after="0" w:line="240" w:lineRule="auto"/>
        <w:rPr>
          <w:rFonts w:ascii="Times New Roman" w:eastAsia="Times New Roman" w:hAnsi="Times New Roman"/>
          <w:color w:val="000000"/>
          <w:szCs w:val="20"/>
          <w:lang w:val="da-DK" w:eastAsia="x-none"/>
        </w:rPr>
      </w:pPr>
      <w:r w:rsidRPr="00AA499E">
        <w:rPr>
          <w:rFonts w:ascii="Times New Roman" w:eastAsia="Times New Roman" w:hAnsi="Times New Roman"/>
          <w:color w:val="000000"/>
          <w:szCs w:val="20"/>
          <w:u w:val="single"/>
          <w:lang w:val="da-DK" w:eastAsia="x-none"/>
        </w:rPr>
        <w:t>Kliniske studier ved Ph+ ALL</w:t>
      </w:r>
    </w:p>
    <w:p w14:paraId="25F840EA" w14:textId="77777777" w:rsidR="00962A6F" w:rsidRPr="00AA499E" w:rsidRDefault="00962A6F" w:rsidP="00962A6F">
      <w:pPr>
        <w:widowControl w:val="0"/>
        <w:tabs>
          <w:tab w:val="left" w:pos="567"/>
        </w:tabs>
        <w:spacing w:after="0" w:line="240" w:lineRule="auto"/>
        <w:rPr>
          <w:rFonts w:ascii="Times New Roman" w:eastAsia="Times New Roman" w:hAnsi="Times New Roman"/>
          <w:color w:val="000000"/>
          <w:szCs w:val="20"/>
          <w:lang w:val="da-DK" w:eastAsia="x-none"/>
        </w:rPr>
      </w:pPr>
      <w:r w:rsidRPr="00AA499E">
        <w:rPr>
          <w:rFonts w:ascii="Times New Roman" w:eastAsia="Times New Roman" w:hAnsi="Times New Roman"/>
          <w:i/>
          <w:iCs/>
          <w:color w:val="000000"/>
          <w:szCs w:val="20"/>
          <w:lang w:val="da-DK" w:eastAsia="x-none"/>
        </w:rPr>
        <w:t>Nydiagnostiseret Ph+ ALL</w:t>
      </w:r>
      <w:r w:rsidRPr="00AA499E">
        <w:rPr>
          <w:rFonts w:ascii="Times New Roman" w:eastAsia="Times New Roman" w:hAnsi="Times New Roman"/>
          <w:color w:val="000000"/>
          <w:szCs w:val="20"/>
          <w:lang w:val="da-DK" w:eastAsia="x-none"/>
        </w:rPr>
        <w:t>: I et kontrolleret studie (ADE10) hvor imatinib blev sammenlignet med</w:t>
      </w:r>
    </w:p>
    <w:p w14:paraId="3FDF0AED" w14:textId="77777777" w:rsidR="00962A6F" w:rsidRPr="00AA499E" w:rsidRDefault="00962A6F" w:rsidP="00962A6F">
      <w:pPr>
        <w:widowControl w:val="0"/>
        <w:tabs>
          <w:tab w:val="left" w:pos="567"/>
        </w:tabs>
        <w:spacing w:after="0" w:line="240" w:lineRule="auto"/>
        <w:rPr>
          <w:rFonts w:ascii="Times New Roman" w:eastAsia="Times New Roman" w:hAnsi="Times New Roman"/>
          <w:color w:val="000000"/>
          <w:szCs w:val="20"/>
          <w:lang w:val="da-DK" w:eastAsia="x-none"/>
        </w:rPr>
      </w:pPr>
      <w:r w:rsidRPr="00AA499E">
        <w:rPr>
          <w:rFonts w:ascii="Times New Roman" w:eastAsia="Times New Roman" w:hAnsi="Times New Roman"/>
          <w:color w:val="000000"/>
          <w:szCs w:val="20"/>
          <w:lang w:val="da-DK" w:eastAsia="x-none"/>
        </w:rPr>
        <w:t>kemoterapi-induktion hos 55 nydiagnostiserede patienter i alderen 55 år og derover, gav imatinib</w:t>
      </w:r>
    </w:p>
    <w:p w14:paraId="6AB30F98" w14:textId="77777777" w:rsidR="00962A6F" w:rsidRPr="00AA499E" w:rsidRDefault="00962A6F" w:rsidP="00962A6F">
      <w:pPr>
        <w:widowControl w:val="0"/>
        <w:tabs>
          <w:tab w:val="left" w:pos="567"/>
        </w:tabs>
        <w:spacing w:after="0" w:line="240" w:lineRule="auto"/>
        <w:rPr>
          <w:rFonts w:ascii="Times New Roman" w:eastAsia="Times New Roman" w:hAnsi="Times New Roman"/>
          <w:color w:val="000000"/>
          <w:szCs w:val="20"/>
          <w:lang w:val="da-DK" w:eastAsia="x-none"/>
        </w:rPr>
      </w:pPr>
      <w:r w:rsidRPr="00AA499E">
        <w:rPr>
          <w:rFonts w:ascii="Times New Roman" w:eastAsia="Times New Roman" w:hAnsi="Times New Roman"/>
          <w:color w:val="000000"/>
          <w:szCs w:val="20"/>
          <w:lang w:val="da-DK" w:eastAsia="x-none"/>
        </w:rPr>
        <w:t xml:space="preserve">brugt som monoterapi anledning til en signifikant højere ratio af hæmalogisk respons end kemopterapi (96,3% </w:t>
      </w:r>
      <w:r w:rsidRPr="00AA499E">
        <w:rPr>
          <w:rFonts w:ascii="Times New Roman" w:eastAsia="Times New Roman" w:hAnsi="Times New Roman"/>
          <w:i/>
          <w:iCs/>
          <w:color w:val="000000"/>
          <w:szCs w:val="20"/>
          <w:lang w:val="da-DK" w:eastAsia="x-none"/>
        </w:rPr>
        <w:t xml:space="preserve">vs. </w:t>
      </w:r>
      <w:r w:rsidRPr="00AA499E">
        <w:rPr>
          <w:rFonts w:ascii="Times New Roman" w:eastAsia="Times New Roman" w:hAnsi="Times New Roman"/>
          <w:color w:val="000000"/>
          <w:szCs w:val="20"/>
          <w:lang w:val="da-DK" w:eastAsia="x-none"/>
        </w:rPr>
        <w:t xml:space="preserve">50%, p=0,0001). Da imatinib blev givet som ”salvage therapy” til patienter, som ikke </w:t>
      </w:r>
      <w:r w:rsidRPr="00AA499E">
        <w:rPr>
          <w:rFonts w:ascii="Times New Roman" w:eastAsia="Times New Roman" w:hAnsi="Times New Roman"/>
          <w:color w:val="000000"/>
          <w:szCs w:val="20"/>
          <w:lang w:val="da-DK" w:eastAsia="x-none"/>
        </w:rPr>
        <w:lastRenderedPageBreak/>
        <w:t>responderede eller som responderede dårligt på kemoterapi, opnåedes komplet hæmatologisk respons hos 9 (81,8%) ud af 11 patienter. Denne kliniske effekt var efter 2 ugers behandling forbundet med en højere reduktion i bcr-abl transkriptionen hos de imatinibbehandlede patienter end i kemoterapiarmen (p=0,02). Alle patienter blev efter induktion behandlet med imatinib og standard kemoterapi (se</w:t>
      </w:r>
    </w:p>
    <w:p w14:paraId="726A30D4" w14:textId="77777777" w:rsidR="00962A6F" w:rsidRPr="00AA499E" w:rsidRDefault="00962A6F" w:rsidP="00962A6F">
      <w:pPr>
        <w:widowControl w:val="0"/>
        <w:tabs>
          <w:tab w:val="left" w:pos="567"/>
        </w:tabs>
        <w:spacing w:after="0" w:line="240" w:lineRule="auto"/>
        <w:rPr>
          <w:rFonts w:ascii="Times New Roman" w:eastAsia="Times New Roman" w:hAnsi="Times New Roman"/>
          <w:color w:val="000000"/>
          <w:szCs w:val="20"/>
          <w:lang w:val="da-DK" w:eastAsia="x-none"/>
        </w:rPr>
      </w:pPr>
      <w:r w:rsidRPr="00AA499E">
        <w:rPr>
          <w:rFonts w:ascii="Times New Roman" w:eastAsia="Times New Roman" w:hAnsi="Times New Roman"/>
          <w:color w:val="000000"/>
          <w:szCs w:val="20"/>
          <w:lang w:val="da-DK" w:eastAsia="x-none"/>
        </w:rPr>
        <w:t xml:space="preserve">Tabel </w:t>
      </w:r>
      <w:r w:rsidR="00EA2B7C" w:rsidRPr="00AA499E">
        <w:rPr>
          <w:rFonts w:ascii="Times New Roman" w:eastAsia="Times New Roman" w:hAnsi="Times New Roman"/>
          <w:color w:val="000000"/>
          <w:szCs w:val="20"/>
          <w:lang w:val="da-DK" w:eastAsia="x-none"/>
        </w:rPr>
        <w:t>3</w:t>
      </w:r>
      <w:r w:rsidRPr="00AA499E">
        <w:rPr>
          <w:rFonts w:ascii="Times New Roman" w:eastAsia="Times New Roman" w:hAnsi="Times New Roman"/>
          <w:color w:val="000000"/>
          <w:szCs w:val="20"/>
          <w:lang w:val="da-DK" w:eastAsia="x-none"/>
        </w:rPr>
        <w:t>), og bcr-abl transkriptionerne var identiske i de to arme efter 8 ugers behandling. Som det var forventet på basis af studiedesignet, sås ingen forskel i varighed af remission, sygdomsfri overlevelse</w:t>
      </w:r>
    </w:p>
    <w:p w14:paraId="6EE02375" w14:textId="77777777" w:rsidR="00962A6F" w:rsidRPr="00AA499E" w:rsidRDefault="00962A6F" w:rsidP="00962A6F">
      <w:pPr>
        <w:widowControl w:val="0"/>
        <w:tabs>
          <w:tab w:val="left" w:pos="567"/>
        </w:tabs>
        <w:spacing w:after="0" w:line="240" w:lineRule="auto"/>
        <w:rPr>
          <w:rFonts w:ascii="Times New Roman" w:eastAsia="Times New Roman" w:hAnsi="Times New Roman"/>
          <w:color w:val="000000"/>
          <w:szCs w:val="20"/>
          <w:lang w:val="da-DK" w:eastAsia="x-none"/>
        </w:rPr>
      </w:pPr>
      <w:r w:rsidRPr="00AA499E">
        <w:rPr>
          <w:rFonts w:ascii="Times New Roman" w:eastAsia="Times New Roman" w:hAnsi="Times New Roman"/>
          <w:color w:val="000000"/>
          <w:szCs w:val="20"/>
          <w:lang w:val="da-DK" w:eastAsia="x-none"/>
        </w:rPr>
        <w:t xml:space="preserve">eller generel overlevelse, skønt patienter med komplet molekylær respons og forblivende i minimal residual sygdom havde større udbytte af behandlingen i form af både varighed af remission (p=0,01) og sygdomsfri overlevelse (p=0,02). </w:t>
      </w:r>
    </w:p>
    <w:p w14:paraId="27BD35D1" w14:textId="77777777" w:rsidR="00962A6F" w:rsidRPr="00AA499E" w:rsidRDefault="00962A6F" w:rsidP="00962A6F">
      <w:pPr>
        <w:widowControl w:val="0"/>
        <w:tabs>
          <w:tab w:val="left" w:pos="567"/>
        </w:tabs>
        <w:spacing w:after="0" w:line="240" w:lineRule="auto"/>
        <w:rPr>
          <w:rFonts w:ascii="Times New Roman" w:eastAsia="Times New Roman" w:hAnsi="Times New Roman"/>
          <w:color w:val="000000"/>
          <w:szCs w:val="20"/>
          <w:lang w:val="da-DK" w:eastAsia="x-none"/>
        </w:rPr>
      </w:pPr>
    </w:p>
    <w:p w14:paraId="20C66593" w14:textId="77777777" w:rsidR="00962A6F" w:rsidRPr="00AA499E" w:rsidRDefault="00962A6F" w:rsidP="00962A6F">
      <w:pPr>
        <w:widowControl w:val="0"/>
        <w:spacing w:after="0" w:line="240" w:lineRule="auto"/>
        <w:rPr>
          <w:rFonts w:ascii="Times New Roman" w:eastAsia="Times New Roman" w:hAnsi="Times New Roman"/>
          <w:color w:val="000000"/>
          <w:lang w:val="da-DK" w:eastAsia="x-none"/>
        </w:rPr>
      </w:pPr>
      <w:r w:rsidRPr="00AA499E">
        <w:rPr>
          <w:rFonts w:ascii="Times New Roman" w:eastAsia="Times New Roman" w:hAnsi="Times New Roman"/>
          <w:color w:val="000000"/>
          <w:lang w:val="da-DK" w:eastAsia="x-none"/>
        </w:rPr>
        <w:t xml:space="preserve">Resultaterne, som blev opnået i en population af 211 nydiagnosticerede Ph+ ALL patienter i fire ikke kontrollerede studier (AAU02, ADE04, AJP01 og AUS01), er i overensstemmelse med resultaterne beskrevet ovenfor. Imatinib givet i kombination med kemoterapi-induktion (se Tabel </w:t>
      </w:r>
      <w:r w:rsidR="00EA2B7C" w:rsidRPr="00AA499E">
        <w:rPr>
          <w:rFonts w:ascii="Times New Roman" w:eastAsia="Times New Roman" w:hAnsi="Times New Roman"/>
          <w:color w:val="000000"/>
          <w:lang w:val="da-DK" w:eastAsia="x-none"/>
        </w:rPr>
        <w:t>3</w:t>
      </w:r>
      <w:r w:rsidRPr="00AA499E">
        <w:rPr>
          <w:rFonts w:ascii="Times New Roman" w:eastAsia="Times New Roman" w:hAnsi="Times New Roman"/>
          <w:color w:val="000000"/>
          <w:lang w:val="da-DK" w:eastAsia="x-none"/>
        </w:rPr>
        <w:t>) resulterede i en komplet hæmatologisk responsrate på 93% (147 ud af 158 evaluerbare patienter), og i en væsentlig cytogenetisk responsrate på 90% (19 ud af 21 evaluerbare patienter). Den samlede molekylære responsrate var 48% (49 ud af 102 evaluerbare patienter). Sygdomsfri overlevelse (disease-free survival DFS) og overordnede overlevelse (overall survival OS) var konstant mere end 1 år og var superior til historiske kontroller (DFS p&lt;0,001; OS p&lt;0,0001) i to studier (AJp01 og AUS01).</w:t>
      </w:r>
    </w:p>
    <w:p w14:paraId="7633794A" w14:textId="77777777" w:rsidR="00962A6F" w:rsidRPr="00AA499E" w:rsidRDefault="00962A6F" w:rsidP="00573F2B">
      <w:pPr>
        <w:pStyle w:val="Endnotentext"/>
        <w:tabs>
          <w:tab w:val="clear" w:pos="567"/>
        </w:tabs>
        <w:rPr>
          <w:color w:val="000000"/>
          <w:szCs w:val="22"/>
        </w:rPr>
      </w:pPr>
    </w:p>
    <w:p w14:paraId="2FC0F143" w14:textId="77777777" w:rsidR="00962A6F" w:rsidRPr="00AA499E" w:rsidRDefault="00962A6F" w:rsidP="00962A6F">
      <w:pPr>
        <w:widowControl w:val="0"/>
        <w:spacing w:after="0" w:line="240" w:lineRule="auto"/>
        <w:rPr>
          <w:rFonts w:ascii="Times New Roman" w:eastAsia="Times New Roman" w:hAnsi="Times New Roman"/>
          <w:color w:val="000000"/>
          <w:lang w:val="da-DK" w:eastAsia="x-none"/>
        </w:rPr>
      </w:pPr>
      <w:r w:rsidRPr="00AA499E">
        <w:rPr>
          <w:rFonts w:ascii="Times New Roman" w:eastAsia="Times New Roman" w:hAnsi="Times New Roman"/>
          <w:b/>
          <w:bCs/>
          <w:color w:val="000000"/>
          <w:lang w:val="da-DK" w:eastAsia="x-none"/>
        </w:rPr>
        <w:t>Tabel</w:t>
      </w:r>
      <w:r w:rsidR="00E64EFD" w:rsidRPr="00AA499E">
        <w:rPr>
          <w:rFonts w:ascii="Times New Roman" w:eastAsia="Times New Roman" w:hAnsi="Times New Roman"/>
          <w:b/>
          <w:bCs/>
          <w:color w:val="000000"/>
          <w:lang w:val="da-DK" w:eastAsia="x-none"/>
        </w:rPr>
        <w:t> </w:t>
      </w:r>
      <w:r w:rsidR="00EA2B7C" w:rsidRPr="00AA499E">
        <w:rPr>
          <w:rFonts w:ascii="Times New Roman" w:eastAsia="Times New Roman" w:hAnsi="Times New Roman"/>
          <w:b/>
          <w:bCs/>
          <w:color w:val="000000"/>
          <w:lang w:val="da-DK" w:eastAsia="x-none"/>
        </w:rPr>
        <w:t>3</w:t>
      </w:r>
      <w:r w:rsidRPr="00AA499E">
        <w:rPr>
          <w:rFonts w:ascii="Times New Roman" w:eastAsia="Times New Roman" w:hAnsi="Times New Roman"/>
          <w:b/>
          <w:bCs/>
          <w:color w:val="000000"/>
          <w:lang w:val="da-DK" w:eastAsia="x-none"/>
        </w:rPr>
        <w:t xml:space="preserve"> Kemoterapiregime anvendt i kombination med imatinib</w:t>
      </w:r>
    </w:p>
    <w:p w14:paraId="17F4680A" w14:textId="77777777" w:rsidR="00962A6F" w:rsidRPr="00AA499E" w:rsidRDefault="00962A6F" w:rsidP="00573F2B">
      <w:pPr>
        <w:pStyle w:val="Endnotentext"/>
        <w:tabs>
          <w:tab w:val="clear" w:pos="567"/>
        </w:tabs>
        <w:rPr>
          <w:color w:val="000000"/>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6798"/>
      </w:tblGrid>
      <w:tr w:rsidR="00962A6F" w:rsidRPr="00AA499E" w14:paraId="6613E954" w14:textId="77777777" w:rsidTr="008E117D">
        <w:trPr>
          <w:trHeight w:hRule="exact" w:val="329"/>
        </w:trPr>
        <w:tc>
          <w:tcPr>
            <w:tcW w:w="9033" w:type="dxa"/>
            <w:gridSpan w:val="2"/>
            <w:shd w:val="clear" w:color="auto" w:fill="auto"/>
            <w:tcMar>
              <w:top w:w="57" w:type="dxa"/>
              <w:bottom w:w="57" w:type="dxa"/>
            </w:tcMar>
          </w:tcPr>
          <w:p w14:paraId="1648132A"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ADE10</w:t>
            </w:r>
          </w:p>
        </w:tc>
      </w:tr>
      <w:tr w:rsidR="00962A6F" w:rsidRPr="00AA499E" w14:paraId="6BA9E2E4" w14:textId="77777777" w:rsidTr="008E117D">
        <w:trPr>
          <w:trHeight w:hRule="exact" w:val="765"/>
        </w:trPr>
        <w:tc>
          <w:tcPr>
            <w:tcW w:w="2235" w:type="dxa"/>
            <w:tcBorders>
              <w:right w:val="nil"/>
            </w:tcBorders>
            <w:shd w:val="clear" w:color="auto" w:fill="auto"/>
            <w:tcMar>
              <w:top w:w="57" w:type="dxa"/>
              <w:bottom w:w="57" w:type="dxa"/>
            </w:tcMar>
          </w:tcPr>
          <w:p w14:paraId="24EB28C3"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Præfase </w:t>
            </w:r>
          </w:p>
        </w:tc>
        <w:tc>
          <w:tcPr>
            <w:tcW w:w="6798" w:type="dxa"/>
            <w:tcBorders>
              <w:left w:val="nil"/>
            </w:tcBorders>
            <w:shd w:val="clear" w:color="auto" w:fill="auto"/>
            <w:tcMar>
              <w:top w:w="57" w:type="dxa"/>
              <w:bottom w:w="57" w:type="dxa"/>
            </w:tcMar>
          </w:tcPr>
          <w:p w14:paraId="6C87943C"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DEX 10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1-5; CP 200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3, 4, 5; MTX </w:t>
            </w:r>
          </w:p>
          <w:p w14:paraId="284EA202"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 xml:space="preserve">12 mg intrathecal, dag 1 </w:t>
            </w:r>
          </w:p>
        </w:tc>
      </w:tr>
      <w:tr w:rsidR="00962A6F" w:rsidRPr="00AA499E" w14:paraId="7ABBA99A" w14:textId="77777777" w:rsidTr="008E117D">
        <w:trPr>
          <w:trHeight w:hRule="exact" w:val="1055"/>
        </w:trPr>
        <w:tc>
          <w:tcPr>
            <w:tcW w:w="2235" w:type="dxa"/>
            <w:tcBorders>
              <w:right w:val="nil"/>
            </w:tcBorders>
            <w:shd w:val="clear" w:color="auto" w:fill="auto"/>
            <w:tcMar>
              <w:top w:w="57" w:type="dxa"/>
              <w:bottom w:w="57" w:type="dxa"/>
            </w:tcMar>
          </w:tcPr>
          <w:p w14:paraId="6F723F8F"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Remissionsinduktion </w:t>
            </w:r>
          </w:p>
        </w:tc>
        <w:tc>
          <w:tcPr>
            <w:tcW w:w="6798" w:type="dxa"/>
            <w:tcBorders>
              <w:left w:val="nil"/>
            </w:tcBorders>
            <w:shd w:val="clear" w:color="auto" w:fill="auto"/>
            <w:tcMar>
              <w:top w:w="57" w:type="dxa"/>
              <w:bottom w:w="57" w:type="dxa"/>
            </w:tcMar>
          </w:tcPr>
          <w:p w14:paraId="0CFD3F2C"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DEX 10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6-7, 13-16; VCR 1 mg i.v., dag 7, 14; </w:t>
            </w:r>
          </w:p>
          <w:p w14:paraId="6A6D35F3"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IDA 8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(0,5 time), dag 7, 8, 14, 15; CP 500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i.v.(1 time) dag 1; Ara-C 60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22-25, 29-32 </w:t>
            </w:r>
          </w:p>
        </w:tc>
      </w:tr>
      <w:tr w:rsidR="00962A6F" w:rsidRPr="00AA499E" w14:paraId="52FB2CC8" w14:textId="77777777" w:rsidTr="008E117D">
        <w:trPr>
          <w:trHeight w:hRule="exact" w:val="771"/>
        </w:trPr>
        <w:tc>
          <w:tcPr>
            <w:tcW w:w="2235" w:type="dxa"/>
            <w:tcBorders>
              <w:right w:val="nil"/>
            </w:tcBorders>
            <w:shd w:val="clear" w:color="auto" w:fill="auto"/>
            <w:tcMar>
              <w:top w:w="57" w:type="dxa"/>
              <w:bottom w:w="57" w:type="dxa"/>
            </w:tcMar>
          </w:tcPr>
          <w:p w14:paraId="0C668298"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Konsoliderende behandling I, III, V </w:t>
            </w:r>
          </w:p>
        </w:tc>
        <w:tc>
          <w:tcPr>
            <w:tcW w:w="6798" w:type="dxa"/>
            <w:tcBorders>
              <w:left w:val="nil"/>
            </w:tcBorders>
            <w:shd w:val="clear" w:color="auto" w:fill="auto"/>
            <w:tcMar>
              <w:top w:w="57" w:type="dxa"/>
              <w:bottom w:w="57" w:type="dxa"/>
            </w:tcMar>
          </w:tcPr>
          <w:p w14:paraId="53ACA841"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MTX 500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(24 timer), dag 1, 15; 6-MP 25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w:t>
            </w:r>
          </w:p>
          <w:p w14:paraId="21BFB7CE"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 xml:space="preserve">1-20 </w:t>
            </w:r>
          </w:p>
        </w:tc>
      </w:tr>
      <w:tr w:rsidR="00962A6F" w:rsidRPr="00AA499E" w14:paraId="399E9353" w14:textId="77777777" w:rsidTr="008E117D">
        <w:trPr>
          <w:trHeight w:hRule="exact" w:val="567"/>
        </w:trPr>
        <w:tc>
          <w:tcPr>
            <w:tcW w:w="2235" w:type="dxa"/>
            <w:tcBorders>
              <w:right w:val="nil"/>
            </w:tcBorders>
            <w:shd w:val="clear" w:color="auto" w:fill="auto"/>
            <w:tcMar>
              <w:top w:w="57" w:type="dxa"/>
              <w:bottom w:w="57" w:type="dxa"/>
            </w:tcMar>
          </w:tcPr>
          <w:p w14:paraId="08F1D16C"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Konsoliderende behandling II, IV </w:t>
            </w:r>
          </w:p>
        </w:tc>
        <w:tc>
          <w:tcPr>
            <w:tcW w:w="6798" w:type="dxa"/>
            <w:tcBorders>
              <w:left w:val="nil"/>
            </w:tcBorders>
            <w:shd w:val="clear" w:color="auto" w:fill="auto"/>
            <w:tcMar>
              <w:top w:w="57" w:type="dxa"/>
              <w:bottom w:w="57" w:type="dxa"/>
            </w:tcMar>
          </w:tcPr>
          <w:p w14:paraId="3FFBCAC4"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Ara-C 75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(1 time), dag 1-5; VM26 60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(1 time), dag 1-5 </w:t>
            </w:r>
          </w:p>
        </w:tc>
      </w:tr>
      <w:tr w:rsidR="00962A6F" w:rsidRPr="00AA499E" w14:paraId="31B3CCC6" w14:textId="77777777" w:rsidTr="008E117D">
        <w:trPr>
          <w:trHeight w:hRule="exact" w:val="329"/>
        </w:trPr>
        <w:tc>
          <w:tcPr>
            <w:tcW w:w="9033" w:type="dxa"/>
            <w:gridSpan w:val="2"/>
            <w:shd w:val="clear" w:color="auto" w:fill="auto"/>
            <w:tcMar>
              <w:top w:w="57" w:type="dxa"/>
              <w:bottom w:w="57" w:type="dxa"/>
            </w:tcMar>
          </w:tcPr>
          <w:p w14:paraId="1386B3FE"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AAU02</w:t>
            </w:r>
          </w:p>
        </w:tc>
      </w:tr>
      <w:tr w:rsidR="00962A6F" w:rsidRPr="00AA499E" w14:paraId="3A62A6D3" w14:textId="77777777" w:rsidTr="008E117D">
        <w:trPr>
          <w:trHeight w:hRule="exact" w:val="1491"/>
        </w:trPr>
        <w:tc>
          <w:tcPr>
            <w:tcW w:w="2235" w:type="dxa"/>
            <w:tcBorders>
              <w:right w:val="nil"/>
            </w:tcBorders>
            <w:shd w:val="clear" w:color="auto" w:fill="auto"/>
            <w:tcMar>
              <w:top w:w="57" w:type="dxa"/>
              <w:bottom w:w="57" w:type="dxa"/>
            </w:tcMar>
          </w:tcPr>
          <w:p w14:paraId="59C395EE"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Induktionsbehandling (</w:t>
            </w:r>
            <w:r w:rsidRPr="00AA499E">
              <w:rPr>
                <w:rFonts w:ascii="Times New Roman" w:hAnsi="Times New Roman"/>
                <w:i/>
                <w:iCs/>
                <w:lang w:val="da-DK"/>
              </w:rPr>
              <w:t xml:space="preserve">de novo </w:t>
            </w:r>
            <w:r w:rsidRPr="00AA499E">
              <w:rPr>
                <w:rFonts w:ascii="Times New Roman" w:hAnsi="Times New Roman"/>
                <w:lang w:val="da-DK"/>
              </w:rPr>
              <w:t xml:space="preserve">Ph+ ALL) </w:t>
            </w:r>
          </w:p>
        </w:tc>
        <w:tc>
          <w:tcPr>
            <w:tcW w:w="6798" w:type="dxa"/>
            <w:tcBorders>
              <w:left w:val="nil"/>
            </w:tcBorders>
            <w:shd w:val="clear" w:color="auto" w:fill="auto"/>
            <w:tcMar>
              <w:top w:w="57" w:type="dxa"/>
              <w:bottom w:w="57" w:type="dxa"/>
            </w:tcMar>
          </w:tcPr>
          <w:p w14:paraId="3F5BA8AC"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Daunorubicin 30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1-3, 15-16; VCR 2 mg total dose i.v., dag 1, 8, 15, 22; CP 750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1, 8; Prednison 60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1-7, 15-21; IDA 9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1-28; MTX 15 mg intrathecal, dag 1, 8, 15, 22; Ara-C 40 mg intrathecal, dag 1, 8, 15, 22; Methylprednisolon 40 mg intrathecal, dag 1, 8, 15, 22 </w:t>
            </w:r>
          </w:p>
        </w:tc>
      </w:tr>
      <w:tr w:rsidR="00962A6F" w:rsidRPr="00AA499E" w14:paraId="6C0E193D" w14:textId="77777777" w:rsidTr="008E117D">
        <w:trPr>
          <w:trHeight w:hRule="exact" w:val="850"/>
        </w:trPr>
        <w:tc>
          <w:tcPr>
            <w:tcW w:w="2235" w:type="dxa"/>
            <w:tcBorders>
              <w:right w:val="nil"/>
            </w:tcBorders>
            <w:shd w:val="clear" w:color="auto" w:fill="auto"/>
            <w:tcMar>
              <w:top w:w="57" w:type="dxa"/>
              <w:bottom w:w="57" w:type="dxa"/>
            </w:tcMar>
          </w:tcPr>
          <w:p w14:paraId="75A6CC68"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Konsoliderende behandling (</w:t>
            </w:r>
            <w:r w:rsidRPr="00AA499E">
              <w:rPr>
                <w:rFonts w:ascii="Times New Roman" w:hAnsi="Times New Roman"/>
                <w:i/>
                <w:iCs/>
                <w:lang w:val="da-DK"/>
              </w:rPr>
              <w:t xml:space="preserve">de novo </w:t>
            </w:r>
            <w:r w:rsidRPr="00AA499E">
              <w:rPr>
                <w:rFonts w:ascii="Times New Roman" w:hAnsi="Times New Roman"/>
                <w:lang w:val="da-DK"/>
              </w:rPr>
              <w:t xml:space="preserve">Ph+ ALL) </w:t>
            </w:r>
          </w:p>
        </w:tc>
        <w:tc>
          <w:tcPr>
            <w:tcW w:w="6798" w:type="dxa"/>
            <w:tcBorders>
              <w:left w:val="nil"/>
            </w:tcBorders>
            <w:shd w:val="clear" w:color="auto" w:fill="auto"/>
            <w:tcMar>
              <w:top w:w="57" w:type="dxa"/>
              <w:bottom w:w="57" w:type="dxa"/>
            </w:tcMar>
          </w:tcPr>
          <w:p w14:paraId="1AFCB73B"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Ara-C 1.000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/12 timer i.v.(3 timer), dag 1-4; Mitoxantron 10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3-5; MTX 15 mg intrathecal, dag 1; Methylprednisolon 40 mg intrathecal, dag 1 </w:t>
            </w:r>
          </w:p>
        </w:tc>
      </w:tr>
      <w:tr w:rsidR="00962A6F" w:rsidRPr="00AA499E" w14:paraId="2001ED9C" w14:textId="77777777" w:rsidTr="008E117D">
        <w:trPr>
          <w:trHeight w:hRule="exact" w:val="329"/>
        </w:trPr>
        <w:tc>
          <w:tcPr>
            <w:tcW w:w="9033" w:type="dxa"/>
            <w:gridSpan w:val="2"/>
            <w:tcBorders>
              <w:bottom w:val="single" w:sz="4" w:space="0" w:color="auto"/>
            </w:tcBorders>
            <w:shd w:val="clear" w:color="auto" w:fill="auto"/>
            <w:tcMar>
              <w:top w:w="57" w:type="dxa"/>
              <w:bottom w:w="57" w:type="dxa"/>
            </w:tcMar>
          </w:tcPr>
          <w:p w14:paraId="73EB2BF3"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ADE04</w:t>
            </w:r>
          </w:p>
        </w:tc>
      </w:tr>
      <w:tr w:rsidR="00962A6F" w:rsidRPr="00AA499E" w14:paraId="45626177" w14:textId="77777777" w:rsidTr="008E117D">
        <w:trPr>
          <w:trHeight w:hRule="exact" w:val="567"/>
        </w:trPr>
        <w:tc>
          <w:tcPr>
            <w:tcW w:w="2235" w:type="dxa"/>
            <w:tcBorders>
              <w:right w:val="nil"/>
            </w:tcBorders>
            <w:shd w:val="clear" w:color="auto" w:fill="auto"/>
            <w:tcMar>
              <w:top w:w="57" w:type="dxa"/>
              <w:bottom w:w="57" w:type="dxa"/>
            </w:tcMar>
          </w:tcPr>
          <w:p w14:paraId="0505358B"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 xml:space="preserve">Præfase </w:t>
            </w:r>
          </w:p>
        </w:tc>
        <w:tc>
          <w:tcPr>
            <w:tcW w:w="6798" w:type="dxa"/>
            <w:tcBorders>
              <w:left w:val="nil"/>
            </w:tcBorders>
            <w:shd w:val="clear" w:color="auto" w:fill="auto"/>
            <w:tcMar>
              <w:top w:w="57" w:type="dxa"/>
              <w:bottom w:w="57" w:type="dxa"/>
            </w:tcMar>
          </w:tcPr>
          <w:p w14:paraId="33E3CDFE"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DEX 10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1-5; CP 200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3-5; MTX 15 mg intrathecal, dag 1 </w:t>
            </w:r>
          </w:p>
        </w:tc>
      </w:tr>
      <w:tr w:rsidR="00962A6F" w:rsidRPr="00AA499E" w14:paraId="73D56267" w14:textId="77777777" w:rsidTr="008E117D">
        <w:trPr>
          <w:trHeight w:hRule="exact" w:val="624"/>
        </w:trPr>
        <w:tc>
          <w:tcPr>
            <w:tcW w:w="2235" w:type="dxa"/>
            <w:tcBorders>
              <w:right w:val="nil"/>
            </w:tcBorders>
            <w:shd w:val="clear" w:color="auto" w:fill="auto"/>
            <w:tcMar>
              <w:top w:w="57" w:type="dxa"/>
              <w:bottom w:w="57" w:type="dxa"/>
            </w:tcMar>
          </w:tcPr>
          <w:p w14:paraId="6A41E40D"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Induktionsbehandling I </w:t>
            </w:r>
          </w:p>
        </w:tc>
        <w:tc>
          <w:tcPr>
            <w:tcW w:w="6798" w:type="dxa"/>
            <w:tcBorders>
              <w:left w:val="nil"/>
            </w:tcBorders>
            <w:shd w:val="clear" w:color="auto" w:fill="auto"/>
            <w:tcMar>
              <w:top w:w="57" w:type="dxa"/>
              <w:bottom w:w="57" w:type="dxa"/>
            </w:tcMar>
          </w:tcPr>
          <w:p w14:paraId="7CD6AE0C"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DEX 10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1-5; VCR 2 mg i.v., dag 6, 13, 20; </w:t>
            </w:r>
          </w:p>
          <w:p w14:paraId="52DFEEB4"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Daunorubicin 45 mg/m</w:t>
            </w:r>
            <w:r w:rsidRPr="00AA499E">
              <w:rPr>
                <w:rFonts w:ascii="Times New Roman" w:hAnsi="Times New Roman"/>
                <w:vertAlign w:val="superscript"/>
                <w:lang w:val="da-DK"/>
              </w:rPr>
              <w:t>2</w:t>
            </w:r>
            <w:r w:rsidRPr="00AA499E">
              <w:rPr>
                <w:rFonts w:ascii="Times New Roman" w:hAnsi="Times New Roman"/>
                <w:lang w:val="da-DK"/>
              </w:rPr>
              <w:t xml:space="preserve"> i.v., dag 6-7, 13-14 </w:t>
            </w:r>
          </w:p>
        </w:tc>
      </w:tr>
      <w:tr w:rsidR="00962A6F" w:rsidRPr="00AA499E" w14:paraId="2E5DC5A0" w14:textId="77777777" w:rsidTr="008E117D">
        <w:trPr>
          <w:trHeight w:hRule="exact" w:val="757"/>
        </w:trPr>
        <w:tc>
          <w:tcPr>
            <w:tcW w:w="2235" w:type="dxa"/>
            <w:tcBorders>
              <w:right w:val="nil"/>
            </w:tcBorders>
            <w:shd w:val="clear" w:color="auto" w:fill="auto"/>
            <w:tcMar>
              <w:top w:w="57" w:type="dxa"/>
              <w:bottom w:w="57" w:type="dxa"/>
            </w:tcMar>
          </w:tcPr>
          <w:p w14:paraId="5C2D02A7"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Induktionsbehandling II </w:t>
            </w:r>
          </w:p>
        </w:tc>
        <w:tc>
          <w:tcPr>
            <w:tcW w:w="6798" w:type="dxa"/>
            <w:tcBorders>
              <w:left w:val="nil"/>
            </w:tcBorders>
            <w:shd w:val="clear" w:color="auto" w:fill="auto"/>
            <w:tcMar>
              <w:top w:w="57" w:type="dxa"/>
              <w:bottom w:w="57" w:type="dxa"/>
            </w:tcMar>
          </w:tcPr>
          <w:p w14:paraId="45CB969C"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CP 1 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(1 time), dag 26, 46; Ara-C 75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(1 time), dag 28-31, 35-38, 42-45; 6-MP 60 mg/m</w:t>
            </w:r>
            <w:r w:rsidRPr="00AA499E">
              <w:rPr>
                <w:rFonts w:ascii="Times New Roman" w:hAnsi="Times New Roman"/>
                <w:color w:val="000000"/>
                <w:vertAlign w:val="superscript"/>
                <w:lang w:val="da-DK" w:eastAsia="is-IS"/>
              </w:rPr>
              <w:t xml:space="preserve">2 </w:t>
            </w:r>
            <w:r w:rsidRPr="00AA499E">
              <w:rPr>
                <w:rFonts w:ascii="Times New Roman" w:hAnsi="Times New Roman"/>
                <w:color w:val="000000"/>
                <w:lang w:val="da-DK" w:eastAsia="is-IS"/>
              </w:rPr>
              <w:t xml:space="preserve">oral, dag 26-46 </w:t>
            </w:r>
          </w:p>
        </w:tc>
      </w:tr>
      <w:tr w:rsidR="00962A6F" w:rsidRPr="00AA499E" w14:paraId="51E7E038" w14:textId="77777777" w:rsidTr="008E117D">
        <w:trPr>
          <w:trHeight w:hRule="exact" w:val="1066"/>
        </w:trPr>
        <w:tc>
          <w:tcPr>
            <w:tcW w:w="2235" w:type="dxa"/>
            <w:tcBorders>
              <w:right w:val="nil"/>
            </w:tcBorders>
            <w:shd w:val="clear" w:color="auto" w:fill="auto"/>
            <w:tcMar>
              <w:top w:w="57" w:type="dxa"/>
              <w:bottom w:w="57" w:type="dxa"/>
            </w:tcMar>
          </w:tcPr>
          <w:p w14:paraId="5E7354A1"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Konsoliderende behandling </w:t>
            </w:r>
          </w:p>
        </w:tc>
        <w:tc>
          <w:tcPr>
            <w:tcW w:w="6798" w:type="dxa"/>
            <w:tcBorders>
              <w:left w:val="nil"/>
            </w:tcBorders>
            <w:shd w:val="clear" w:color="auto" w:fill="auto"/>
            <w:tcMar>
              <w:top w:w="57" w:type="dxa"/>
              <w:bottom w:w="57" w:type="dxa"/>
            </w:tcMar>
          </w:tcPr>
          <w:p w14:paraId="09828599"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DEX 10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1-5; Vindesin 3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1; MTX 1,5 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(24 timer), dag 1; Etoposid 250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(1 time) dag 4-5; </w:t>
            </w:r>
          </w:p>
          <w:p w14:paraId="6F4C01A4"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Ara-C 2x 2 g/m</w:t>
            </w:r>
            <w:r w:rsidRPr="00AA499E">
              <w:rPr>
                <w:rFonts w:ascii="Times New Roman" w:hAnsi="Times New Roman"/>
                <w:vertAlign w:val="superscript"/>
                <w:lang w:val="da-DK"/>
              </w:rPr>
              <w:t>2</w:t>
            </w:r>
            <w:r w:rsidRPr="00AA499E">
              <w:rPr>
                <w:rFonts w:ascii="Times New Roman" w:hAnsi="Times New Roman"/>
                <w:lang w:val="da-DK"/>
              </w:rPr>
              <w:t xml:space="preserve"> i.v. (3 timer, q 12 timer), dag 5 </w:t>
            </w:r>
          </w:p>
        </w:tc>
      </w:tr>
      <w:tr w:rsidR="00962A6F" w:rsidRPr="00AA499E" w14:paraId="3C2897CF" w14:textId="77777777" w:rsidTr="008E117D">
        <w:trPr>
          <w:trHeight w:hRule="exact" w:val="329"/>
        </w:trPr>
        <w:tc>
          <w:tcPr>
            <w:tcW w:w="9033" w:type="dxa"/>
            <w:gridSpan w:val="2"/>
            <w:shd w:val="clear" w:color="auto" w:fill="auto"/>
            <w:tcMar>
              <w:top w:w="57" w:type="dxa"/>
              <w:bottom w:w="57" w:type="dxa"/>
            </w:tcMar>
          </w:tcPr>
          <w:p w14:paraId="4791B70F"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AJP01</w:t>
            </w:r>
          </w:p>
        </w:tc>
      </w:tr>
      <w:tr w:rsidR="00962A6F" w:rsidRPr="00AA499E" w14:paraId="02D2AA94" w14:textId="77777777" w:rsidTr="008E117D">
        <w:trPr>
          <w:trHeight w:hRule="exact" w:val="974"/>
        </w:trPr>
        <w:tc>
          <w:tcPr>
            <w:tcW w:w="2235" w:type="dxa"/>
            <w:tcBorders>
              <w:right w:val="nil"/>
            </w:tcBorders>
            <w:shd w:val="clear" w:color="auto" w:fill="auto"/>
            <w:tcMar>
              <w:top w:w="57" w:type="dxa"/>
              <w:bottom w:w="57" w:type="dxa"/>
            </w:tcMar>
          </w:tcPr>
          <w:p w14:paraId="7C54C679"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Induktionsbehandling </w:t>
            </w:r>
          </w:p>
        </w:tc>
        <w:tc>
          <w:tcPr>
            <w:tcW w:w="6798" w:type="dxa"/>
            <w:tcBorders>
              <w:left w:val="nil"/>
            </w:tcBorders>
            <w:shd w:val="clear" w:color="auto" w:fill="auto"/>
            <w:tcMar>
              <w:top w:w="57" w:type="dxa"/>
              <w:bottom w:w="57" w:type="dxa"/>
            </w:tcMar>
          </w:tcPr>
          <w:p w14:paraId="5B4F0DD6"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CP 1,2 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(3 timer), dag 1; Daunorubicin 60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(1 time), dag 1-3; Vinkistin 1,3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1, 8, 15, 21; Prednisolon 60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/dag oral </w:t>
            </w:r>
          </w:p>
        </w:tc>
      </w:tr>
      <w:tr w:rsidR="00962A6F" w:rsidRPr="00AA499E" w14:paraId="1F8701BD" w14:textId="77777777" w:rsidTr="008E117D">
        <w:trPr>
          <w:trHeight w:hRule="exact" w:val="850"/>
        </w:trPr>
        <w:tc>
          <w:tcPr>
            <w:tcW w:w="2235" w:type="dxa"/>
            <w:tcBorders>
              <w:right w:val="nil"/>
            </w:tcBorders>
            <w:shd w:val="clear" w:color="auto" w:fill="auto"/>
            <w:tcMar>
              <w:top w:w="57" w:type="dxa"/>
              <w:bottom w:w="57" w:type="dxa"/>
            </w:tcMar>
          </w:tcPr>
          <w:p w14:paraId="66E6AF74"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Konsoliderende behandling </w:t>
            </w:r>
          </w:p>
        </w:tc>
        <w:tc>
          <w:tcPr>
            <w:tcW w:w="6798" w:type="dxa"/>
            <w:tcBorders>
              <w:left w:val="nil"/>
            </w:tcBorders>
            <w:shd w:val="clear" w:color="auto" w:fill="auto"/>
            <w:tcMar>
              <w:top w:w="57" w:type="dxa"/>
              <w:bottom w:w="57" w:type="dxa"/>
            </w:tcMar>
          </w:tcPr>
          <w:p w14:paraId="3AE5DE1E"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Supplerende kemoterapi omgange: høj-dosis kemoterapi med MTX 1 g/m</w:t>
            </w:r>
            <w:r w:rsidRPr="00AA499E">
              <w:rPr>
                <w:rFonts w:ascii="Times New Roman" w:hAnsi="Times New Roman"/>
                <w:vertAlign w:val="superscript"/>
                <w:lang w:val="da-DK"/>
              </w:rPr>
              <w:t>2</w:t>
            </w:r>
            <w:r w:rsidRPr="00AA499E">
              <w:rPr>
                <w:rFonts w:ascii="Times New Roman" w:hAnsi="Times New Roman"/>
                <w:lang w:val="da-DK"/>
              </w:rPr>
              <w:t xml:space="preserve"> i.v. (24 timer), dag 1, og Ara-C 2 g/m</w:t>
            </w:r>
            <w:r w:rsidRPr="00AA499E">
              <w:rPr>
                <w:rFonts w:ascii="Times New Roman" w:hAnsi="Times New Roman"/>
                <w:vertAlign w:val="superscript"/>
                <w:lang w:val="da-DK"/>
              </w:rPr>
              <w:t>2</w:t>
            </w:r>
            <w:r w:rsidRPr="00AA499E">
              <w:rPr>
                <w:rFonts w:ascii="Times New Roman" w:hAnsi="Times New Roman"/>
                <w:lang w:val="da-DK"/>
              </w:rPr>
              <w:t xml:space="preserve"> i.v. (q 12 timer), dag 2-3, i 4 cyklus </w:t>
            </w:r>
          </w:p>
        </w:tc>
      </w:tr>
      <w:tr w:rsidR="00962A6F" w:rsidRPr="00AA499E" w14:paraId="40876567" w14:textId="77777777" w:rsidTr="008E117D">
        <w:trPr>
          <w:trHeight w:hRule="exact" w:val="489"/>
        </w:trPr>
        <w:tc>
          <w:tcPr>
            <w:tcW w:w="2235" w:type="dxa"/>
            <w:tcBorders>
              <w:right w:val="nil"/>
            </w:tcBorders>
            <w:shd w:val="clear" w:color="auto" w:fill="auto"/>
            <w:tcMar>
              <w:top w:w="57" w:type="dxa"/>
              <w:bottom w:w="57" w:type="dxa"/>
            </w:tcMar>
          </w:tcPr>
          <w:p w14:paraId="195A6529"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Vedligeholdelse </w:t>
            </w:r>
          </w:p>
        </w:tc>
        <w:tc>
          <w:tcPr>
            <w:tcW w:w="6798" w:type="dxa"/>
            <w:tcBorders>
              <w:left w:val="nil"/>
            </w:tcBorders>
            <w:shd w:val="clear" w:color="auto" w:fill="auto"/>
            <w:tcMar>
              <w:top w:w="57" w:type="dxa"/>
              <w:bottom w:w="57" w:type="dxa"/>
            </w:tcMar>
          </w:tcPr>
          <w:p w14:paraId="3BE7A3E5"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VCR 1,3 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dag 1; Prednisolon 60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oral, dag 1-5 </w:t>
            </w:r>
          </w:p>
        </w:tc>
      </w:tr>
      <w:tr w:rsidR="00962A6F" w:rsidRPr="00AA499E" w14:paraId="21D90A3D" w14:textId="77777777" w:rsidTr="008E117D">
        <w:trPr>
          <w:trHeight w:hRule="exact" w:val="340"/>
        </w:trPr>
        <w:tc>
          <w:tcPr>
            <w:tcW w:w="9033" w:type="dxa"/>
            <w:gridSpan w:val="2"/>
            <w:shd w:val="clear" w:color="auto" w:fill="auto"/>
            <w:tcMar>
              <w:top w:w="57" w:type="dxa"/>
              <w:bottom w:w="57" w:type="dxa"/>
            </w:tcMar>
          </w:tcPr>
          <w:p w14:paraId="2549F8C3"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Studie AUS01</w:t>
            </w:r>
          </w:p>
        </w:tc>
      </w:tr>
      <w:tr w:rsidR="00962A6F" w:rsidRPr="00AA499E" w14:paraId="697FE20D" w14:textId="77777777" w:rsidTr="008E117D">
        <w:trPr>
          <w:trHeight w:hRule="exact" w:val="1522"/>
        </w:trPr>
        <w:tc>
          <w:tcPr>
            <w:tcW w:w="2235" w:type="dxa"/>
            <w:tcBorders>
              <w:right w:val="nil"/>
            </w:tcBorders>
            <w:shd w:val="clear" w:color="auto" w:fill="auto"/>
            <w:tcMar>
              <w:top w:w="57" w:type="dxa"/>
              <w:bottom w:w="57" w:type="dxa"/>
            </w:tcMar>
          </w:tcPr>
          <w:p w14:paraId="1E6A7EE2"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Induktions-konsoliderende behandling </w:t>
            </w:r>
          </w:p>
        </w:tc>
        <w:tc>
          <w:tcPr>
            <w:tcW w:w="6798" w:type="dxa"/>
            <w:tcBorders>
              <w:left w:val="nil"/>
            </w:tcBorders>
            <w:shd w:val="clear" w:color="auto" w:fill="auto"/>
            <w:tcMar>
              <w:top w:w="57" w:type="dxa"/>
              <w:bottom w:w="57" w:type="dxa"/>
            </w:tcMar>
          </w:tcPr>
          <w:p w14:paraId="76926AD5"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Hyper-CVAD regimen: CP 300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(3 timer, q 12 timer), dag 1-3; </w:t>
            </w:r>
          </w:p>
          <w:p w14:paraId="6A195933"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Vinkristin 2 mg i.v., dag 4, 11; Doxorubicin 50 mg/m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(24 timer), dag 4; DEX 40 mg/dag på dag 1-4 og 11-14, supplerende med MTX 1 g/m</w:t>
            </w:r>
            <w:r w:rsidRPr="00AA499E">
              <w:rPr>
                <w:rFonts w:ascii="Times New Roman" w:hAnsi="Times New Roman"/>
                <w:color w:val="000000"/>
                <w:vertAlign w:val="superscript"/>
                <w:lang w:val="da-DK" w:eastAsia="is-IS"/>
              </w:rPr>
              <w:t xml:space="preserve">2 </w:t>
            </w:r>
            <w:r w:rsidRPr="00AA499E">
              <w:rPr>
                <w:rFonts w:ascii="Times New Roman" w:hAnsi="Times New Roman"/>
                <w:color w:val="000000"/>
                <w:lang w:val="da-DK" w:eastAsia="is-IS"/>
              </w:rPr>
              <w:t>i.v. (24 timer), dag 1, Ara-C 1 g/m</w:t>
            </w:r>
            <w:r w:rsidRPr="00AA499E">
              <w:rPr>
                <w:rFonts w:ascii="Times New Roman" w:hAnsi="Times New Roman"/>
                <w:color w:val="000000"/>
                <w:vertAlign w:val="superscript"/>
                <w:lang w:val="da-DK" w:eastAsia="is-IS"/>
              </w:rPr>
              <w:t>2</w:t>
            </w:r>
            <w:r w:rsidRPr="00AA499E">
              <w:rPr>
                <w:rFonts w:ascii="Times New Roman" w:hAnsi="Times New Roman"/>
                <w:color w:val="000000"/>
                <w:lang w:val="da-DK" w:eastAsia="is-IS"/>
              </w:rPr>
              <w:t xml:space="preserve"> i.v. (2 timer, q 12 timer), dag 2-3 (total af 8 omgange) </w:t>
            </w:r>
          </w:p>
        </w:tc>
      </w:tr>
      <w:tr w:rsidR="00962A6F" w:rsidRPr="00AA499E" w14:paraId="67B5342D" w14:textId="77777777" w:rsidTr="008E117D">
        <w:trPr>
          <w:trHeight w:hRule="exact" w:val="624"/>
        </w:trPr>
        <w:tc>
          <w:tcPr>
            <w:tcW w:w="2235" w:type="dxa"/>
            <w:tcBorders>
              <w:right w:val="nil"/>
            </w:tcBorders>
            <w:shd w:val="clear" w:color="auto" w:fill="auto"/>
            <w:tcMar>
              <w:top w:w="57" w:type="dxa"/>
              <w:bottom w:w="57" w:type="dxa"/>
            </w:tcMar>
          </w:tcPr>
          <w:p w14:paraId="6A0FF578"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Vedligeholdelse </w:t>
            </w:r>
          </w:p>
        </w:tc>
        <w:tc>
          <w:tcPr>
            <w:tcW w:w="6798" w:type="dxa"/>
            <w:tcBorders>
              <w:left w:val="nil"/>
            </w:tcBorders>
            <w:shd w:val="clear" w:color="auto" w:fill="auto"/>
            <w:tcMar>
              <w:top w:w="57" w:type="dxa"/>
              <w:bottom w:w="57" w:type="dxa"/>
            </w:tcMar>
          </w:tcPr>
          <w:p w14:paraId="0148FA41" w14:textId="77777777" w:rsidR="00962A6F" w:rsidRPr="00AA499E" w:rsidRDefault="00962A6F" w:rsidP="00962A6F">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color w:val="000000"/>
                <w:lang w:val="da-DK" w:eastAsia="is-IS"/>
              </w:rPr>
              <w:t xml:space="preserve">VCR 2 mg i.v. månedligt i 13 måneder; prednisolon 200 mg oral, 5 dag per måned i 13 måneder </w:t>
            </w:r>
          </w:p>
        </w:tc>
      </w:tr>
      <w:tr w:rsidR="00962A6F" w:rsidRPr="00AA499E" w14:paraId="5E1AF027" w14:textId="77777777" w:rsidTr="008E117D">
        <w:trPr>
          <w:trHeight w:hRule="exact" w:val="340"/>
        </w:trPr>
        <w:tc>
          <w:tcPr>
            <w:tcW w:w="9033" w:type="dxa"/>
            <w:gridSpan w:val="2"/>
            <w:shd w:val="clear" w:color="auto" w:fill="auto"/>
            <w:tcMar>
              <w:top w:w="57" w:type="dxa"/>
              <w:bottom w:w="57" w:type="dxa"/>
            </w:tcMar>
          </w:tcPr>
          <w:p w14:paraId="2D9F94C4" w14:textId="77777777" w:rsidR="00962A6F" w:rsidRPr="00AA499E" w:rsidRDefault="00962A6F" w:rsidP="00962A6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Alle behandlingsregimer inkluderer administration af steroider mod CNS profylakse</w:t>
            </w:r>
          </w:p>
        </w:tc>
      </w:tr>
      <w:tr w:rsidR="00962A6F" w:rsidRPr="00AA499E" w14:paraId="10BC3452" w14:textId="77777777" w:rsidTr="008E117D">
        <w:trPr>
          <w:trHeight w:hRule="exact" w:val="687"/>
        </w:trPr>
        <w:tc>
          <w:tcPr>
            <w:tcW w:w="9033" w:type="dxa"/>
            <w:gridSpan w:val="2"/>
            <w:shd w:val="clear" w:color="auto" w:fill="auto"/>
            <w:tcMar>
              <w:top w:w="57" w:type="dxa"/>
              <w:bottom w:w="57" w:type="dxa"/>
            </w:tcMar>
          </w:tcPr>
          <w:p w14:paraId="4A7BF6E9" w14:textId="77777777" w:rsidR="00962A6F" w:rsidRPr="00C76A02" w:rsidRDefault="00962A6F" w:rsidP="00962A6F">
            <w:pPr>
              <w:autoSpaceDE w:val="0"/>
              <w:autoSpaceDN w:val="0"/>
              <w:adjustRightInd w:val="0"/>
              <w:spacing w:after="0" w:line="240" w:lineRule="auto"/>
              <w:rPr>
                <w:rFonts w:ascii="Times New Roman" w:hAnsi="Times New Roman"/>
              </w:rPr>
            </w:pPr>
            <w:r w:rsidRPr="00C76A02">
              <w:rPr>
                <w:rFonts w:ascii="Times New Roman" w:hAnsi="Times New Roman"/>
              </w:rPr>
              <w:t>Ara-C: cytosin arabinosid; CP: cyclophosphamid; DEX: dexamethason; MTX: methotrexat; 6-MP: 6-mercaptopurin; VM26: teniposid; VCR: vinkristin; IDA: idarubicin; i.v.: intravenøs</w:t>
            </w:r>
          </w:p>
        </w:tc>
      </w:tr>
    </w:tbl>
    <w:p w14:paraId="1F2FE1F1" w14:textId="77777777" w:rsidR="00962A6F" w:rsidRPr="00C76A02" w:rsidRDefault="00962A6F" w:rsidP="00573F2B">
      <w:pPr>
        <w:pStyle w:val="Endnotentext"/>
        <w:tabs>
          <w:tab w:val="clear" w:pos="567"/>
        </w:tabs>
        <w:rPr>
          <w:color w:val="000000"/>
          <w:szCs w:val="22"/>
          <w:lang w:val="is-IS"/>
        </w:rPr>
      </w:pPr>
    </w:p>
    <w:p w14:paraId="0AFB9E37" w14:textId="77777777" w:rsidR="00B7422A" w:rsidRPr="00AA499E" w:rsidRDefault="00B7422A" w:rsidP="00B7422A">
      <w:pPr>
        <w:pStyle w:val="Endnotentext"/>
        <w:rPr>
          <w:color w:val="000000"/>
          <w:szCs w:val="22"/>
        </w:rPr>
      </w:pPr>
      <w:r w:rsidRPr="00AA499E">
        <w:rPr>
          <w:i/>
          <w:color w:val="000000"/>
          <w:szCs w:val="22"/>
        </w:rPr>
        <w:t>Børn</w:t>
      </w:r>
      <w:r w:rsidR="000E26B2" w:rsidRPr="00AA499E">
        <w:rPr>
          <w:color w:val="000000"/>
          <w:szCs w:val="22"/>
        </w:rPr>
        <w:t>: I studie </w:t>
      </w:r>
      <w:r w:rsidRPr="00AA499E">
        <w:rPr>
          <w:color w:val="000000"/>
          <w:szCs w:val="22"/>
        </w:rPr>
        <w:t>I23</w:t>
      </w:r>
      <w:r w:rsidR="000E26B2" w:rsidRPr="00AA499E">
        <w:rPr>
          <w:color w:val="000000"/>
          <w:szCs w:val="22"/>
        </w:rPr>
        <w:t>01 blev der inkluderet i alt 93 </w:t>
      </w:r>
      <w:r w:rsidRPr="00AA499E">
        <w:rPr>
          <w:color w:val="000000"/>
          <w:szCs w:val="22"/>
        </w:rPr>
        <w:t>børn, unge og yngre voksne (fra 1 til 22 år) med Ph+ ALL i et åbent, multicenter, ikke-ra</w:t>
      </w:r>
      <w:r w:rsidR="00657927" w:rsidRPr="00AA499E">
        <w:rPr>
          <w:color w:val="000000"/>
          <w:szCs w:val="22"/>
        </w:rPr>
        <w:t>n</w:t>
      </w:r>
      <w:r w:rsidRPr="00AA499E">
        <w:rPr>
          <w:color w:val="000000"/>
          <w:szCs w:val="22"/>
        </w:rPr>
        <w:t>domiseret fase III sekventielt kohorte-forsøg. Patienterne blev behandlet med imatinib (340 mg/m</w:t>
      </w:r>
      <w:r w:rsidRPr="00AA499E">
        <w:rPr>
          <w:color w:val="000000"/>
          <w:szCs w:val="22"/>
          <w:vertAlign w:val="superscript"/>
        </w:rPr>
        <w:t>2</w:t>
      </w:r>
      <w:r w:rsidRPr="00AA499E">
        <w:rPr>
          <w:color w:val="000000"/>
          <w:szCs w:val="22"/>
        </w:rPr>
        <w:t>/dag) i kombination med intensiv kemoterapi efter induktionsbehandling. Imatinib blev admi</w:t>
      </w:r>
      <w:r w:rsidR="000E26B2" w:rsidRPr="00AA499E">
        <w:rPr>
          <w:color w:val="000000"/>
          <w:szCs w:val="22"/>
        </w:rPr>
        <w:t>nistreret periodisk i kohorte 1</w:t>
      </w:r>
      <w:r w:rsidR="000E26B2" w:rsidRPr="00AA499E">
        <w:rPr>
          <w:color w:val="000000"/>
          <w:szCs w:val="22"/>
        </w:rPr>
        <w:noBreakHyphen/>
      </w:r>
      <w:r w:rsidRPr="00AA499E">
        <w:rPr>
          <w:color w:val="000000"/>
          <w:szCs w:val="22"/>
        </w:rPr>
        <w:t xml:space="preserve">5 med stigende varighed og tidligere start med imatinib fra kohorte til kohorte; kohorte 1 fik den mindst intensive imatinib-behandling og kohorte 5 den mest intensive (længste varighed i dage med kontinuerlig, daglig imatinib-dosering i de første kemobehandlingsforløb). Kontinuerlig daglig eksponering for imatinib tidligt i behandlingsforløbet i kombination med kemoterapi hos kohorte 5-patienter (n=50) forbedrede den 4-årige hændelsesfri overlevelse (EFS) sammenlignet med en historisk kontrolgruppe (n=120), der fik standard-kemoterapi uden imatinib (hhv. 69,6 % </w:t>
      </w:r>
      <w:r w:rsidRPr="00AA499E">
        <w:rPr>
          <w:i/>
          <w:color w:val="000000"/>
          <w:szCs w:val="22"/>
        </w:rPr>
        <w:t>vs.</w:t>
      </w:r>
      <w:r w:rsidRPr="00AA499E">
        <w:rPr>
          <w:color w:val="000000"/>
          <w:szCs w:val="22"/>
        </w:rPr>
        <w:t xml:space="preserve"> 31,6 %</w:t>
      </w:r>
      <w:r w:rsidR="000E26B2" w:rsidRPr="00AA499E">
        <w:rPr>
          <w:color w:val="000000"/>
          <w:szCs w:val="22"/>
        </w:rPr>
        <w:t>). Den estimerede 4</w:t>
      </w:r>
      <w:r w:rsidR="000E26B2" w:rsidRPr="00AA499E">
        <w:rPr>
          <w:color w:val="000000"/>
          <w:szCs w:val="22"/>
        </w:rPr>
        <w:noBreakHyphen/>
        <w:t>års OS hos kohorte 5</w:t>
      </w:r>
      <w:r w:rsidR="000E26B2" w:rsidRPr="00AA499E">
        <w:rPr>
          <w:color w:val="000000"/>
          <w:szCs w:val="22"/>
        </w:rPr>
        <w:noBreakHyphen/>
      </w:r>
      <w:r w:rsidRPr="00AA499E">
        <w:rPr>
          <w:color w:val="000000"/>
          <w:szCs w:val="22"/>
        </w:rPr>
        <w:t xml:space="preserve">patienter var 83,6 % </w:t>
      </w:r>
      <w:r w:rsidRPr="00AA499E">
        <w:rPr>
          <w:color w:val="000000"/>
          <w:szCs w:val="22"/>
        </w:rPr>
        <w:lastRenderedPageBreak/>
        <w:t>sammenlignet med 44,8 % i den historiske kontrolgruppe. 20 ud af 50 (40 %</w:t>
      </w:r>
      <w:r w:rsidR="000E26B2" w:rsidRPr="00AA499E">
        <w:rPr>
          <w:color w:val="000000"/>
          <w:szCs w:val="22"/>
        </w:rPr>
        <w:t>) patienter i kohorte </w:t>
      </w:r>
      <w:r w:rsidRPr="00AA499E">
        <w:rPr>
          <w:color w:val="000000"/>
          <w:szCs w:val="22"/>
        </w:rPr>
        <w:t>5 fik hæmatopoietisk stamcelletransplantation.</w:t>
      </w:r>
    </w:p>
    <w:p w14:paraId="71F15847" w14:textId="77777777" w:rsidR="00B7422A" w:rsidRPr="00AA499E" w:rsidRDefault="00B7422A" w:rsidP="00B7422A">
      <w:pPr>
        <w:pStyle w:val="Endnotentext"/>
        <w:rPr>
          <w:color w:val="000000"/>
          <w:szCs w:val="22"/>
        </w:rPr>
      </w:pPr>
    </w:p>
    <w:p w14:paraId="52D493C1" w14:textId="77777777" w:rsidR="00B7422A" w:rsidRPr="00AA499E" w:rsidRDefault="00B7422A" w:rsidP="000E26B2">
      <w:pPr>
        <w:pStyle w:val="Endnotentext"/>
        <w:keepNext/>
        <w:widowControl/>
        <w:tabs>
          <w:tab w:val="clear" w:pos="567"/>
        </w:tabs>
        <w:ind w:left="1134" w:hanging="1134"/>
        <w:rPr>
          <w:b/>
          <w:color w:val="000000"/>
        </w:rPr>
      </w:pPr>
      <w:r w:rsidRPr="00AA499E">
        <w:rPr>
          <w:b/>
          <w:color w:val="000000"/>
        </w:rPr>
        <w:t>Tabel </w:t>
      </w:r>
      <w:r w:rsidR="009320DE" w:rsidRPr="00AA499E">
        <w:rPr>
          <w:b/>
          <w:color w:val="000000"/>
        </w:rPr>
        <w:t>4</w:t>
      </w:r>
      <w:r w:rsidRPr="00AA499E">
        <w:rPr>
          <w:b/>
          <w:color w:val="000000"/>
        </w:rPr>
        <w:tab/>
        <w:t>Kemoterapi-regime anvendt i ko</w:t>
      </w:r>
      <w:r w:rsidR="000E26B2" w:rsidRPr="00AA499E">
        <w:rPr>
          <w:b/>
          <w:color w:val="000000"/>
        </w:rPr>
        <w:t>mbination med imatinib i studie </w:t>
      </w:r>
      <w:r w:rsidRPr="00AA499E">
        <w:rPr>
          <w:b/>
          <w:color w:val="000000"/>
        </w:rPr>
        <w:t>I2301</w:t>
      </w:r>
    </w:p>
    <w:p w14:paraId="4035259C" w14:textId="77777777" w:rsidR="00B7422A" w:rsidRPr="00AA499E" w:rsidRDefault="00B7422A" w:rsidP="000E26B2">
      <w:pPr>
        <w:pStyle w:val="Endnotentext"/>
        <w:keepNext/>
        <w:widowControl/>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6924"/>
      </w:tblGrid>
      <w:tr w:rsidR="00B7422A" w:rsidRPr="00AA499E" w14:paraId="5A1DE13A" w14:textId="77777777" w:rsidTr="00B7422A">
        <w:tc>
          <w:tcPr>
            <w:tcW w:w="2357" w:type="dxa"/>
            <w:shd w:val="clear" w:color="auto" w:fill="auto"/>
          </w:tcPr>
          <w:p w14:paraId="51F0AAFC" w14:textId="77777777" w:rsidR="00B7422A" w:rsidRPr="00AA499E" w:rsidRDefault="00B7422A" w:rsidP="00B7422A">
            <w:pPr>
              <w:pStyle w:val="Endnotentext"/>
              <w:rPr>
                <w:color w:val="000000"/>
              </w:rPr>
            </w:pPr>
            <w:r w:rsidRPr="00AA499E">
              <w:rPr>
                <w:color w:val="000000"/>
              </w:rPr>
              <w:t>Konsolidering blok 1</w:t>
            </w:r>
          </w:p>
          <w:p w14:paraId="18DC732B" w14:textId="77777777" w:rsidR="00B7422A" w:rsidRPr="00AA499E" w:rsidRDefault="00B7422A" w:rsidP="00B7422A">
            <w:pPr>
              <w:pStyle w:val="Endnotentext"/>
              <w:rPr>
                <w:color w:val="000000"/>
              </w:rPr>
            </w:pPr>
            <w:r w:rsidRPr="00AA499E">
              <w:rPr>
                <w:color w:val="000000"/>
              </w:rPr>
              <w:t>(3 uger)</w:t>
            </w:r>
          </w:p>
        </w:tc>
        <w:tc>
          <w:tcPr>
            <w:tcW w:w="6924" w:type="dxa"/>
            <w:shd w:val="clear" w:color="auto" w:fill="auto"/>
          </w:tcPr>
          <w:p w14:paraId="5C3B087E" w14:textId="77777777" w:rsidR="00B7422A" w:rsidRPr="00AA499E" w:rsidRDefault="00B7422A" w:rsidP="00B7422A">
            <w:pPr>
              <w:pStyle w:val="Endnotentext"/>
              <w:rPr>
                <w:color w:val="000000"/>
              </w:rPr>
            </w:pPr>
            <w:r w:rsidRPr="00AA499E">
              <w:rPr>
                <w:color w:val="000000"/>
              </w:rPr>
              <w:t>VP-16 (100 mg/m</w:t>
            </w:r>
            <w:r w:rsidRPr="00AA499E">
              <w:rPr>
                <w:color w:val="000000"/>
                <w:vertAlign w:val="superscript"/>
              </w:rPr>
              <w:t>2</w:t>
            </w:r>
            <w:r w:rsidRPr="00AA499E">
              <w:rPr>
                <w:color w:val="000000"/>
              </w:rPr>
              <w:t>/dag, i.v.): dag 1</w:t>
            </w:r>
            <w:r w:rsidRPr="00AA499E">
              <w:rPr>
                <w:color w:val="000000"/>
              </w:rPr>
              <w:noBreakHyphen/>
              <w:t>5</w:t>
            </w:r>
          </w:p>
          <w:p w14:paraId="5FC1BBBD" w14:textId="77777777" w:rsidR="00B7422A" w:rsidRPr="00AA499E" w:rsidRDefault="00B7422A" w:rsidP="00B7422A">
            <w:pPr>
              <w:pStyle w:val="Endnotentext"/>
              <w:rPr>
                <w:color w:val="000000"/>
              </w:rPr>
            </w:pPr>
            <w:r w:rsidRPr="00AA499E">
              <w:rPr>
                <w:color w:val="000000"/>
              </w:rPr>
              <w:t>Ifosfamid (1,8 g/m</w:t>
            </w:r>
            <w:r w:rsidRPr="00AA499E">
              <w:rPr>
                <w:color w:val="000000"/>
                <w:vertAlign w:val="superscript"/>
              </w:rPr>
              <w:t>2</w:t>
            </w:r>
            <w:r w:rsidRPr="00AA499E">
              <w:rPr>
                <w:color w:val="000000"/>
              </w:rPr>
              <w:t>/dag, i.v.): dag 1</w:t>
            </w:r>
            <w:r w:rsidRPr="00AA499E">
              <w:rPr>
                <w:color w:val="000000"/>
              </w:rPr>
              <w:noBreakHyphen/>
              <w:t>5</w:t>
            </w:r>
          </w:p>
          <w:p w14:paraId="264C2611" w14:textId="77777777" w:rsidR="00B7422A" w:rsidRPr="00AA499E" w:rsidRDefault="00B7422A" w:rsidP="00B7422A">
            <w:pPr>
              <w:pStyle w:val="Endnotentext"/>
              <w:rPr>
                <w:color w:val="000000"/>
              </w:rPr>
            </w:pPr>
            <w:r w:rsidRPr="00AA499E">
              <w:rPr>
                <w:color w:val="000000"/>
              </w:rPr>
              <w:t>MESNA (360 mg/m</w:t>
            </w:r>
            <w:r w:rsidRPr="00AA499E">
              <w:rPr>
                <w:color w:val="000000"/>
                <w:vertAlign w:val="superscript"/>
              </w:rPr>
              <w:t>2</w:t>
            </w:r>
            <w:r w:rsidRPr="00AA499E">
              <w:rPr>
                <w:color w:val="000000"/>
              </w:rPr>
              <w:t>/dosis hver 3 time, x 8 doser/dag, i.v.): dag 1</w:t>
            </w:r>
            <w:r w:rsidRPr="00AA499E">
              <w:rPr>
                <w:color w:val="000000"/>
              </w:rPr>
              <w:noBreakHyphen/>
              <w:t>5</w:t>
            </w:r>
          </w:p>
          <w:p w14:paraId="525D1CF0" w14:textId="77777777" w:rsidR="00B7422A" w:rsidRPr="00AA499E" w:rsidRDefault="00B7422A" w:rsidP="00B7422A">
            <w:pPr>
              <w:pStyle w:val="Endnotentext"/>
              <w:rPr>
                <w:color w:val="000000"/>
              </w:rPr>
            </w:pPr>
            <w:r w:rsidRPr="00AA499E">
              <w:rPr>
                <w:color w:val="000000"/>
              </w:rPr>
              <w:t>G-CSF (5 μg/kg, s.c.): dag 6</w:t>
            </w:r>
            <w:r w:rsidRPr="00AA499E">
              <w:rPr>
                <w:color w:val="000000"/>
              </w:rPr>
              <w:noBreakHyphen/>
              <w:t>15, eller indtil ANC &gt; 1500 post nadir</w:t>
            </w:r>
          </w:p>
          <w:p w14:paraId="592BF6F5" w14:textId="77777777" w:rsidR="00B7422A" w:rsidRPr="00AA499E" w:rsidRDefault="00B7422A" w:rsidP="00B7422A">
            <w:pPr>
              <w:pStyle w:val="Endnotentext"/>
              <w:rPr>
                <w:color w:val="000000"/>
              </w:rPr>
            </w:pPr>
            <w:r w:rsidRPr="00AA499E">
              <w:rPr>
                <w:color w:val="000000"/>
              </w:rPr>
              <w:t>I.t. methotrexat (aldersjusteret): KUN dag 1</w:t>
            </w:r>
          </w:p>
          <w:p w14:paraId="06ADF1B2" w14:textId="77777777" w:rsidR="00B7422A" w:rsidRPr="00AA499E" w:rsidRDefault="00B7422A" w:rsidP="00B7422A">
            <w:pPr>
              <w:pStyle w:val="Endnotentext"/>
              <w:rPr>
                <w:color w:val="000000"/>
              </w:rPr>
            </w:pPr>
            <w:r w:rsidRPr="00AA499E">
              <w:rPr>
                <w:color w:val="000000"/>
              </w:rPr>
              <w:t>Tredobbelt i.t.-terapi (aldersjusteret): dag 8, 15</w:t>
            </w:r>
          </w:p>
        </w:tc>
      </w:tr>
      <w:tr w:rsidR="00B7422A" w:rsidRPr="00AA499E" w14:paraId="06C48E37" w14:textId="77777777" w:rsidTr="00B7422A">
        <w:tc>
          <w:tcPr>
            <w:tcW w:w="2357" w:type="dxa"/>
            <w:shd w:val="clear" w:color="auto" w:fill="auto"/>
          </w:tcPr>
          <w:p w14:paraId="47564450" w14:textId="77777777" w:rsidR="00B7422A" w:rsidRPr="00AA499E" w:rsidRDefault="00B7422A" w:rsidP="00B7422A">
            <w:pPr>
              <w:pStyle w:val="Endnotentext"/>
              <w:rPr>
                <w:color w:val="000000"/>
              </w:rPr>
            </w:pPr>
            <w:r w:rsidRPr="00AA499E">
              <w:rPr>
                <w:color w:val="000000"/>
              </w:rPr>
              <w:t>Konsolidering blok 2</w:t>
            </w:r>
          </w:p>
          <w:p w14:paraId="53878D86" w14:textId="77777777" w:rsidR="00B7422A" w:rsidRPr="00AA499E" w:rsidRDefault="00B7422A" w:rsidP="00B7422A">
            <w:pPr>
              <w:pStyle w:val="Endnotentext"/>
              <w:rPr>
                <w:color w:val="000000"/>
              </w:rPr>
            </w:pPr>
            <w:r w:rsidRPr="00AA499E">
              <w:rPr>
                <w:color w:val="000000"/>
              </w:rPr>
              <w:t>(3 uger)</w:t>
            </w:r>
          </w:p>
        </w:tc>
        <w:tc>
          <w:tcPr>
            <w:tcW w:w="6924" w:type="dxa"/>
            <w:shd w:val="clear" w:color="auto" w:fill="auto"/>
          </w:tcPr>
          <w:p w14:paraId="124D2D11" w14:textId="77777777" w:rsidR="00B7422A" w:rsidRPr="00AA499E" w:rsidRDefault="00B7422A" w:rsidP="00B7422A">
            <w:pPr>
              <w:pStyle w:val="Endnotentext"/>
              <w:rPr>
                <w:color w:val="000000"/>
              </w:rPr>
            </w:pPr>
            <w:r w:rsidRPr="00AA499E">
              <w:rPr>
                <w:color w:val="000000"/>
              </w:rPr>
              <w:t>Methotrexat (5 g/m</w:t>
            </w:r>
            <w:r w:rsidRPr="00AA499E">
              <w:rPr>
                <w:color w:val="000000"/>
                <w:vertAlign w:val="superscript"/>
              </w:rPr>
              <w:t>2</w:t>
            </w:r>
            <w:r w:rsidRPr="00AA499E">
              <w:rPr>
                <w:color w:val="000000"/>
              </w:rPr>
              <w:t xml:space="preserve"> over 24 timer, i.v.): dag 1</w:t>
            </w:r>
          </w:p>
          <w:p w14:paraId="35C6A16B" w14:textId="77777777" w:rsidR="00B7422A" w:rsidRPr="00AA499E" w:rsidRDefault="00B7422A" w:rsidP="00B7422A">
            <w:pPr>
              <w:pStyle w:val="Endnotentext"/>
              <w:rPr>
                <w:color w:val="000000"/>
              </w:rPr>
            </w:pPr>
            <w:r w:rsidRPr="00AA499E">
              <w:rPr>
                <w:color w:val="000000"/>
              </w:rPr>
              <w:t>Leucovorin (75 mg/m</w:t>
            </w:r>
            <w:r w:rsidRPr="00AA499E">
              <w:rPr>
                <w:color w:val="000000"/>
                <w:vertAlign w:val="superscript"/>
              </w:rPr>
              <w:t>2</w:t>
            </w:r>
            <w:r w:rsidRPr="00AA499E">
              <w:rPr>
                <w:color w:val="000000"/>
              </w:rPr>
              <w:t xml:space="preserve"> i time 36, i.v.; 15 mg/m</w:t>
            </w:r>
            <w:r w:rsidRPr="00AA499E">
              <w:rPr>
                <w:color w:val="000000"/>
                <w:vertAlign w:val="superscript"/>
              </w:rPr>
              <w:t>2</w:t>
            </w:r>
            <w:r w:rsidRPr="00AA499E">
              <w:rPr>
                <w:color w:val="000000"/>
              </w:rPr>
              <w:t xml:space="preserve"> i.v. eller p.o. q6h x 6 doser)iii: dag 2 og 3</w:t>
            </w:r>
          </w:p>
          <w:p w14:paraId="202B6136" w14:textId="77777777" w:rsidR="00B7422A" w:rsidRPr="00AA499E" w:rsidRDefault="00B7422A" w:rsidP="00B7422A">
            <w:pPr>
              <w:pStyle w:val="Endnotentext"/>
              <w:rPr>
                <w:color w:val="000000"/>
              </w:rPr>
            </w:pPr>
            <w:r w:rsidRPr="00AA499E">
              <w:rPr>
                <w:color w:val="000000"/>
              </w:rPr>
              <w:t>Tredobbelt i.t.-terapi (aldersjusteret): dag 1</w:t>
            </w:r>
          </w:p>
          <w:p w14:paraId="3B3D1834" w14:textId="77777777" w:rsidR="00B7422A" w:rsidRPr="00AA499E" w:rsidRDefault="00B7422A" w:rsidP="00B7422A">
            <w:pPr>
              <w:pStyle w:val="Endnotentext"/>
              <w:rPr>
                <w:color w:val="000000"/>
              </w:rPr>
            </w:pPr>
            <w:r w:rsidRPr="00AA499E">
              <w:rPr>
                <w:color w:val="000000"/>
              </w:rPr>
              <w:t>ARA-C (3 g/m</w:t>
            </w:r>
            <w:r w:rsidRPr="00AA499E">
              <w:rPr>
                <w:color w:val="000000"/>
                <w:vertAlign w:val="superscript"/>
              </w:rPr>
              <w:t>2</w:t>
            </w:r>
            <w:r w:rsidRPr="00AA499E">
              <w:rPr>
                <w:color w:val="000000"/>
              </w:rPr>
              <w:t>/dosis q 12 h x 4, i.v.): dag 2 og 3</w:t>
            </w:r>
          </w:p>
          <w:p w14:paraId="31D65696" w14:textId="77777777" w:rsidR="00B7422A" w:rsidRPr="00AA499E" w:rsidRDefault="00B7422A" w:rsidP="00B7422A">
            <w:pPr>
              <w:pStyle w:val="Endnotentext"/>
              <w:rPr>
                <w:color w:val="000000"/>
              </w:rPr>
            </w:pPr>
            <w:r w:rsidRPr="00AA499E">
              <w:rPr>
                <w:color w:val="000000"/>
              </w:rPr>
              <w:t>G-CSF (5 μg/kg, s.c.): dag 4-13, eller indtil ANC &gt;1500 post nadir</w:t>
            </w:r>
          </w:p>
        </w:tc>
      </w:tr>
      <w:tr w:rsidR="00B7422A" w:rsidRPr="00AA499E" w14:paraId="3714E26C" w14:textId="77777777" w:rsidTr="00B7422A">
        <w:tc>
          <w:tcPr>
            <w:tcW w:w="2357" w:type="dxa"/>
            <w:shd w:val="clear" w:color="auto" w:fill="auto"/>
          </w:tcPr>
          <w:p w14:paraId="3D907FAA" w14:textId="77777777" w:rsidR="00B7422A" w:rsidRPr="00AA499E" w:rsidRDefault="00B7422A" w:rsidP="00B7422A">
            <w:pPr>
              <w:pStyle w:val="Endnotentext"/>
              <w:rPr>
                <w:color w:val="000000"/>
              </w:rPr>
            </w:pPr>
            <w:r w:rsidRPr="00AA499E">
              <w:rPr>
                <w:color w:val="000000"/>
              </w:rPr>
              <w:t>Reinduktion blok 1</w:t>
            </w:r>
          </w:p>
          <w:p w14:paraId="6B7E72A0" w14:textId="77777777" w:rsidR="00B7422A" w:rsidRPr="00AA499E" w:rsidRDefault="00B7422A" w:rsidP="00B7422A">
            <w:pPr>
              <w:pStyle w:val="Endnotentext"/>
              <w:rPr>
                <w:color w:val="000000"/>
              </w:rPr>
            </w:pPr>
            <w:r w:rsidRPr="00AA499E">
              <w:rPr>
                <w:color w:val="000000"/>
              </w:rPr>
              <w:t>(3 uger)</w:t>
            </w:r>
          </w:p>
        </w:tc>
        <w:tc>
          <w:tcPr>
            <w:tcW w:w="6924" w:type="dxa"/>
            <w:shd w:val="clear" w:color="auto" w:fill="auto"/>
          </w:tcPr>
          <w:p w14:paraId="6D00441B" w14:textId="77777777" w:rsidR="00B7422A" w:rsidRPr="00AA499E" w:rsidRDefault="00B7422A" w:rsidP="00B7422A">
            <w:pPr>
              <w:pStyle w:val="Endnotentext"/>
              <w:rPr>
                <w:color w:val="000000"/>
              </w:rPr>
            </w:pPr>
            <w:r w:rsidRPr="00AA499E">
              <w:rPr>
                <w:color w:val="000000"/>
              </w:rPr>
              <w:t>VCR (1,5 mg/m</w:t>
            </w:r>
            <w:r w:rsidRPr="00AA499E">
              <w:rPr>
                <w:color w:val="000000"/>
                <w:vertAlign w:val="superscript"/>
              </w:rPr>
              <w:t>2</w:t>
            </w:r>
            <w:r w:rsidRPr="00AA499E">
              <w:rPr>
                <w:color w:val="000000"/>
              </w:rPr>
              <w:t>/dag, i.v.): dag 1, 8, og 15</w:t>
            </w:r>
          </w:p>
          <w:p w14:paraId="3E41B3DF" w14:textId="77777777" w:rsidR="00B7422A" w:rsidRPr="00AA499E" w:rsidRDefault="00B7422A" w:rsidP="00B7422A">
            <w:pPr>
              <w:pStyle w:val="Endnotentext"/>
              <w:rPr>
                <w:color w:val="000000"/>
              </w:rPr>
            </w:pPr>
            <w:r w:rsidRPr="00AA499E">
              <w:rPr>
                <w:color w:val="000000"/>
              </w:rPr>
              <w:t>DAUN (45 mg/m</w:t>
            </w:r>
            <w:r w:rsidRPr="00AA499E">
              <w:rPr>
                <w:color w:val="000000"/>
                <w:vertAlign w:val="superscript"/>
              </w:rPr>
              <w:t>2</w:t>
            </w:r>
            <w:r w:rsidRPr="00AA499E">
              <w:rPr>
                <w:color w:val="000000"/>
              </w:rPr>
              <w:t>/dag bolus, i.v.): dag 1 og 2</w:t>
            </w:r>
          </w:p>
          <w:p w14:paraId="799E59C9" w14:textId="77777777" w:rsidR="00B7422A" w:rsidRPr="00AA499E" w:rsidRDefault="00B7422A" w:rsidP="00B7422A">
            <w:pPr>
              <w:pStyle w:val="Endnotentext"/>
              <w:rPr>
                <w:color w:val="000000"/>
              </w:rPr>
            </w:pPr>
            <w:r w:rsidRPr="00AA499E">
              <w:rPr>
                <w:color w:val="000000"/>
              </w:rPr>
              <w:t>CPM (250 mg/m</w:t>
            </w:r>
            <w:r w:rsidRPr="00AA499E">
              <w:rPr>
                <w:color w:val="000000"/>
                <w:vertAlign w:val="superscript"/>
              </w:rPr>
              <w:t>2</w:t>
            </w:r>
            <w:r w:rsidRPr="00AA499E">
              <w:rPr>
                <w:color w:val="000000"/>
              </w:rPr>
              <w:t>/dosis q12h x 4 doser, i.v.): dag 3 og 4</w:t>
            </w:r>
          </w:p>
          <w:p w14:paraId="4AE763D0" w14:textId="77777777" w:rsidR="00B7422A" w:rsidRPr="00AA499E" w:rsidRDefault="00B7422A" w:rsidP="00B7422A">
            <w:pPr>
              <w:pStyle w:val="Endnotentext"/>
              <w:rPr>
                <w:color w:val="000000"/>
              </w:rPr>
            </w:pPr>
            <w:r w:rsidRPr="00AA499E">
              <w:rPr>
                <w:color w:val="000000"/>
              </w:rPr>
              <w:t>PEG-ASP (2.500 IE/m</w:t>
            </w:r>
            <w:r w:rsidRPr="00AA499E">
              <w:rPr>
                <w:color w:val="000000"/>
                <w:vertAlign w:val="superscript"/>
              </w:rPr>
              <w:t>2</w:t>
            </w:r>
            <w:r w:rsidRPr="00AA499E">
              <w:rPr>
                <w:color w:val="000000"/>
              </w:rPr>
              <w:t>, i.m.): dag 4</w:t>
            </w:r>
          </w:p>
          <w:p w14:paraId="29ECFCB4" w14:textId="77777777" w:rsidR="00B7422A" w:rsidRPr="00AA499E" w:rsidRDefault="00B7422A" w:rsidP="00B7422A">
            <w:pPr>
              <w:pStyle w:val="Endnotentext"/>
              <w:rPr>
                <w:color w:val="000000"/>
              </w:rPr>
            </w:pPr>
            <w:r w:rsidRPr="00AA499E">
              <w:rPr>
                <w:color w:val="000000"/>
              </w:rPr>
              <w:t>G-CSF (5 μg/kg, s.c.): dag 5</w:t>
            </w:r>
            <w:r w:rsidRPr="00AA499E">
              <w:rPr>
                <w:color w:val="000000"/>
              </w:rPr>
              <w:noBreakHyphen/>
              <w:t>14, eller indtil ANC &gt;1500 post nadir</w:t>
            </w:r>
          </w:p>
          <w:p w14:paraId="03A74C94" w14:textId="77777777" w:rsidR="00B7422A" w:rsidRPr="00AA499E" w:rsidRDefault="00B7422A" w:rsidP="00B7422A">
            <w:pPr>
              <w:pStyle w:val="Endnotentext"/>
              <w:rPr>
                <w:color w:val="000000"/>
              </w:rPr>
            </w:pPr>
            <w:r w:rsidRPr="00AA499E">
              <w:rPr>
                <w:color w:val="000000"/>
              </w:rPr>
              <w:t>Tredobbelt i.t.-terapi (aldersjusteret): dag 1 og 15</w:t>
            </w:r>
          </w:p>
          <w:p w14:paraId="44316C4F" w14:textId="77777777" w:rsidR="00B7422A" w:rsidRPr="00AA499E" w:rsidRDefault="00B7422A" w:rsidP="00B7422A">
            <w:pPr>
              <w:pStyle w:val="Endnotentext"/>
              <w:rPr>
                <w:color w:val="000000"/>
              </w:rPr>
            </w:pPr>
            <w:r w:rsidRPr="00AA499E">
              <w:rPr>
                <w:color w:val="000000"/>
              </w:rPr>
              <w:t>DEX (6 mg/m</w:t>
            </w:r>
            <w:r w:rsidRPr="00AA499E">
              <w:rPr>
                <w:color w:val="000000"/>
                <w:vertAlign w:val="superscript"/>
              </w:rPr>
              <w:t>2</w:t>
            </w:r>
            <w:r w:rsidRPr="00AA499E">
              <w:rPr>
                <w:color w:val="000000"/>
              </w:rPr>
              <w:t>/dag,p.o.): dag 1</w:t>
            </w:r>
            <w:r w:rsidRPr="00AA499E">
              <w:rPr>
                <w:color w:val="000000"/>
              </w:rPr>
              <w:noBreakHyphen/>
              <w:t>7 og 15</w:t>
            </w:r>
            <w:r w:rsidRPr="00AA499E">
              <w:rPr>
                <w:color w:val="000000"/>
              </w:rPr>
              <w:noBreakHyphen/>
              <w:t>21</w:t>
            </w:r>
          </w:p>
        </w:tc>
      </w:tr>
      <w:tr w:rsidR="00B7422A" w:rsidRPr="00AA499E" w14:paraId="75549D50" w14:textId="77777777" w:rsidTr="00B7422A">
        <w:tc>
          <w:tcPr>
            <w:tcW w:w="2357" w:type="dxa"/>
            <w:shd w:val="clear" w:color="auto" w:fill="auto"/>
          </w:tcPr>
          <w:p w14:paraId="373F2D44" w14:textId="77777777" w:rsidR="00B7422A" w:rsidRPr="00AA499E" w:rsidRDefault="00B7422A" w:rsidP="00B7422A">
            <w:pPr>
              <w:pStyle w:val="Endnotentext"/>
              <w:rPr>
                <w:color w:val="000000"/>
              </w:rPr>
            </w:pPr>
            <w:r w:rsidRPr="00AA499E">
              <w:rPr>
                <w:color w:val="000000"/>
              </w:rPr>
              <w:t>Intensivering blok 1</w:t>
            </w:r>
          </w:p>
          <w:p w14:paraId="0DB84FFD" w14:textId="77777777" w:rsidR="00B7422A" w:rsidRPr="00AA499E" w:rsidRDefault="00B7422A" w:rsidP="00B7422A">
            <w:pPr>
              <w:pStyle w:val="Endnotentext"/>
              <w:rPr>
                <w:color w:val="000000"/>
              </w:rPr>
            </w:pPr>
            <w:r w:rsidRPr="00AA499E">
              <w:rPr>
                <w:color w:val="000000"/>
              </w:rPr>
              <w:t>(9 uger)</w:t>
            </w:r>
          </w:p>
        </w:tc>
        <w:tc>
          <w:tcPr>
            <w:tcW w:w="6924" w:type="dxa"/>
            <w:shd w:val="clear" w:color="auto" w:fill="auto"/>
          </w:tcPr>
          <w:p w14:paraId="72E15EEB" w14:textId="77777777" w:rsidR="00B7422A" w:rsidRPr="00AA499E" w:rsidRDefault="00B7422A" w:rsidP="00B7422A">
            <w:pPr>
              <w:pStyle w:val="Endnotentext"/>
              <w:rPr>
                <w:color w:val="000000"/>
              </w:rPr>
            </w:pPr>
            <w:r w:rsidRPr="00AA499E">
              <w:rPr>
                <w:color w:val="000000"/>
              </w:rPr>
              <w:t>Methotrexat (5 g/m</w:t>
            </w:r>
            <w:r w:rsidRPr="00AA499E">
              <w:rPr>
                <w:color w:val="000000"/>
                <w:vertAlign w:val="superscript"/>
              </w:rPr>
              <w:t>2</w:t>
            </w:r>
            <w:r w:rsidRPr="00AA499E">
              <w:rPr>
                <w:color w:val="000000"/>
              </w:rPr>
              <w:t xml:space="preserve"> over 24 timer, i.v.): dag 1 og 15</w:t>
            </w:r>
          </w:p>
          <w:p w14:paraId="4B035E8C" w14:textId="77777777" w:rsidR="00B7422A" w:rsidRPr="00AA499E" w:rsidRDefault="00B7422A" w:rsidP="00B7422A">
            <w:pPr>
              <w:pStyle w:val="Endnotentext"/>
              <w:rPr>
                <w:color w:val="000000"/>
              </w:rPr>
            </w:pPr>
            <w:r w:rsidRPr="00AA499E">
              <w:rPr>
                <w:color w:val="000000"/>
              </w:rPr>
              <w:t>Leucovorin (75 mg/m</w:t>
            </w:r>
            <w:r w:rsidRPr="00AA499E">
              <w:rPr>
                <w:color w:val="000000"/>
                <w:vertAlign w:val="superscript"/>
              </w:rPr>
              <w:t>2</w:t>
            </w:r>
            <w:r w:rsidRPr="00AA499E">
              <w:rPr>
                <w:color w:val="000000"/>
              </w:rPr>
              <w:t xml:space="preserve"> i time 36, i.v.; 15 mg/m</w:t>
            </w:r>
            <w:r w:rsidRPr="00AA499E">
              <w:rPr>
                <w:color w:val="000000"/>
                <w:vertAlign w:val="superscript"/>
              </w:rPr>
              <w:t>2</w:t>
            </w:r>
            <w:r w:rsidRPr="00AA499E">
              <w:rPr>
                <w:color w:val="000000"/>
              </w:rPr>
              <w:t xml:space="preserve"> i.v. eller p.o. q6h x 6 doser)iii: dag 2, 3, 16, og 17</w:t>
            </w:r>
          </w:p>
          <w:p w14:paraId="5B4F0064" w14:textId="77777777" w:rsidR="00B7422A" w:rsidRPr="00AA499E" w:rsidRDefault="00B7422A" w:rsidP="00B7422A">
            <w:pPr>
              <w:pStyle w:val="Endnotentext"/>
              <w:rPr>
                <w:color w:val="000000"/>
              </w:rPr>
            </w:pPr>
            <w:r w:rsidRPr="00AA499E">
              <w:rPr>
                <w:color w:val="000000"/>
              </w:rPr>
              <w:t>Tredobbelt i.t.-terapi (aldersjusteret): dag 1 og 22</w:t>
            </w:r>
          </w:p>
          <w:p w14:paraId="00CEECE0" w14:textId="77777777" w:rsidR="00B7422A" w:rsidRPr="00AA499E" w:rsidRDefault="00B7422A" w:rsidP="00B7422A">
            <w:pPr>
              <w:pStyle w:val="Endnotentext"/>
              <w:rPr>
                <w:color w:val="000000"/>
              </w:rPr>
            </w:pPr>
            <w:r w:rsidRPr="00AA499E">
              <w:rPr>
                <w:color w:val="000000"/>
              </w:rPr>
              <w:t>VP-16 (100 mg/m</w:t>
            </w:r>
            <w:r w:rsidRPr="00AA499E">
              <w:rPr>
                <w:color w:val="000000"/>
                <w:vertAlign w:val="superscript"/>
              </w:rPr>
              <w:t>2</w:t>
            </w:r>
            <w:r w:rsidRPr="00AA499E">
              <w:rPr>
                <w:color w:val="000000"/>
              </w:rPr>
              <w:t>/dag, i.v.): dag 22</w:t>
            </w:r>
            <w:r w:rsidRPr="00AA499E">
              <w:rPr>
                <w:color w:val="000000"/>
              </w:rPr>
              <w:noBreakHyphen/>
              <w:t>26</w:t>
            </w:r>
          </w:p>
          <w:p w14:paraId="1D61FA1C" w14:textId="77777777" w:rsidR="00B7422A" w:rsidRPr="00AA499E" w:rsidRDefault="00B7422A" w:rsidP="00B7422A">
            <w:pPr>
              <w:pStyle w:val="Endnotentext"/>
              <w:rPr>
                <w:color w:val="000000"/>
              </w:rPr>
            </w:pPr>
            <w:r w:rsidRPr="00AA499E">
              <w:rPr>
                <w:color w:val="000000"/>
              </w:rPr>
              <w:t>CPM (300 mg/m</w:t>
            </w:r>
            <w:r w:rsidRPr="00AA499E">
              <w:rPr>
                <w:color w:val="000000"/>
                <w:vertAlign w:val="superscript"/>
              </w:rPr>
              <w:t>2</w:t>
            </w:r>
            <w:r w:rsidRPr="00AA499E">
              <w:rPr>
                <w:color w:val="000000"/>
              </w:rPr>
              <w:t>/dag, i.v.): dag 22</w:t>
            </w:r>
            <w:r w:rsidRPr="00AA499E">
              <w:rPr>
                <w:color w:val="000000"/>
              </w:rPr>
              <w:noBreakHyphen/>
              <w:t>26</w:t>
            </w:r>
          </w:p>
          <w:p w14:paraId="52C4C882" w14:textId="77777777" w:rsidR="00B7422A" w:rsidRPr="00AA499E" w:rsidRDefault="00B7422A" w:rsidP="00B7422A">
            <w:pPr>
              <w:pStyle w:val="Endnotentext"/>
              <w:rPr>
                <w:color w:val="000000"/>
              </w:rPr>
            </w:pPr>
            <w:r w:rsidRPr="00AA499E">
              <w:rPr>
                <w:color w:val="000000"/>
              </w:rPr>
              <w:t>MESNA (150 mg/m</w:t>
            </w:r>
            <w:r w:rsidRPr="00AA499E">
              <w:rPr>
                <w:color w:val="000000"/>
                <w:vertAlign w:val="superscript"/>
              </w:rPr>
              <w:t>2</w:t>
            </w:r>
            <w:r w:rsidRPr="00AA499E">
              <w:rPr>
                <w:color w:val="000000"/>
              </w:rPr>
              <w:t>/dag, i.v.): dag 22</w:t>
            </w:r>
            <w:r w:rsidRPr="00AA499E">
              <w:rPr>
                <w:color w:val="000000"/>
              </w:rPr>
              <w:noBreakHyphen/>
              <w:t>26</w:t>
            </w:r>
          </w:p>
          <w:p w14:paraId="624CFB61" w14:textId="77777777" w:rsidR="00B7422A" w:rsidRPr="00AA499E" w:rsidRDefault="00B7422A" w:rsidP="00B7422A">
            <w:pPr>
              <w:pStyle w:val="Endnotentext"/>
              <w:rPr>
                <w:color w:val="000000"/>
              </w:rPr>
            </w:pPr>
            <w:r w:rsidRPr="00AA499E">
              <w:rPr>
                <w:color w:val="000000"/>
              </w:rPr>
              <w:t>G-CSF (5 μg/kg, s.c.): dag 27-36, eller indtil ANC &gt;1500 post nadir</w:t>
            </w:r>
          </w:p>
          <w:p w14:paraId="3E5499CC" w14:textId="77777777" w:rsidR="00B7422A" w:rsidRPr="00C76A02" w:rsidRDefault="00B7422A" w:rsidP="00B7422A">
            <w:pPr>
              <w:pStyle w:val="Endnotentext"/>
              <w:rPr>
                <w:color w:val="000000"/>
                <w:lang w:val="pt-PT"/>
              </w:rPr>
            </w:pPr>
            <w:r w:rsidRPr="00C76A02">
              <w:rPr>
                <w:color w:val="000000"/>
                <w:lang w:val="pt-PT"/>
              </w:rPr>
              <w:t>ARA-C (3 g/m</w:t>
            </w:r>
            <w:r w:rsidRPr="00C76A02">
              <w:rPr>
                <w:color w:val="000000"/>
                <w:vertAlign w:val="superscript"/>
                <w:lang w:val="pt-PT"/>
              </w:rPr>
              <w:t>2</w:t>
            </w:r>
            <w:r w:rsidRPr="00C76A02">
              <w:rPr>
                <w:color w:val="000000"/>
                <w:lang w:val="pt-PT"/>
              </w:rPr>
              <w:t>, q12h, i.v.): dag 43, 44</w:t>
            </w:r>
          </w:p>
          <w:p w14:paraId="4E9CED9E" w14:textId="77777777" w:rsidR="00B7422A" w:rsidRPr="00C76A02" w:rsidRDefault="00B7422A" w:rsidP="00B7422A">
            <w:pPr>
              <w:pStyle w:val="Endnotentext"/>
              <w:rPr>
                <w:color w:val="000000"/>
                <w:lang w:val="sv-SE"/>
              </w:rPr>
            </w:pPr>
            <w:r w:rsidRPr="00C76A02">
              <w:rPr>
                <w:color w:val="000000"/>
                <w:lang w:val="sv-SE"/>
              </w:rPr>
              <w:t>L-ASP (6.000 IE/m</w:t>
            </w:r>
            <w:r w:rsidRPr="00C76A02">
              <w:rPr>
                <w:color w:val="000000"/>
                <w:vertAlign w:val="superscript"/>
                <w:lang w:val="sv-SE"/>
              </w:rPr>
              <w:t>2</w:t>
            </w:r>
            <w:r w:rsidRPr="00C76A02">
              <w:rPr>
                <w:color w:val="000000"/>
                <w:lang w:val="sv-SE"/>
              </w:rPr>
              <w:t>, i.m.): dag 44</w:t>
            </w:r>
          </w:p>
        </w:tc>
      </w:tr>
      <w:tr w:rsidR="00B7422A" w:rsidRPr="00AA499E" w14:paraId="2F35416A" w14:textId="77777777" w:rsidTr="00B7422A">
        <w:tc>
          <w:tcPr>
            <w:tcW w:w="2357" w:type="dxa"/>
            <w:shd w:val="clear" w:color="auto" w:fill="auto"/>
          </w:tcPr>
          <w:p w14:paraId="4A23FAE0" w14:textId="77777777" w:rsidR="00B7422A" w:rsidRPr="00AA499E" w:rsidRDefault="00B7422A" w:rsidP="00B7422A">
            <w:pPr>
              <w:pStyle w:val="Endnotentext"/>
              <w:rPr>
                <w:color w:val="000000"/>
              </w:rPr>
            </w:pPr>
            <w:r w:rsidRPr="00AA499E">
              <w:rPr>
                <w:color w:val="000000"/>
              </w:rPr>
              <w:t>Reinduktion blok 2</w:t>
            </w:r>
          </w:p>
          <w:p w14:paraId="615C441B" w14:textId="77777777" w:rsidR="00B7422A" w:rsidRPr="00AA499E" w:rsidRDefault="00B7422A" w:rsidP="00B7422A">
            <w:pPr>
              <w:pStyle w:val="Endnotentext"/>
              <w:rPr>
                <w:color w:val="000000"/>
              </w:rPr>
            </w:pPr>
            <w:r w:rsidRPr="00AA499E">
              <w:rPr>
                <w:color w:val="000000"/>
              </w:rPr>
              <w:t>(3 uger)</w:t>
            </w:r>
          </w:p>
        </w:tc>
        <w:tc>
          <w:tcPr>
            <w:tcW w:w="6924" w:type="dxa"/>
            <w:shd w:val="clear" w:color="auto" w:fill="auto"/>
          </w:tcPr>
          <w:p w14:paraId="2BADACC2" w14:textId="77777777" w:rsidR="00B7422A" w:rsidRPr="00AA499E" w:rsidRDefault="00B7422A" w:rsidP="00B7422A">
            <w:pPr>
              <w:pStyle w:val="Endnotentext"/>
              <w:rPr>
                <w:color w:val="000000"/>
              </w:rPr>
            </w:pPr>
            <w:r w:rsidRPr="00AA499E">
              <w:rPr>
                <w:color w:val="000000"/>
              </w:rPr>
              <w:t>VCR (1,5 mg/m</w:t>
            </w:r>
            <w:r w:rsidRPr="00AA499E">
              <w:rPr>
                <w:color w:val="000000"/>
                <w:vertAlign w:val="superscript"/>
              </w:rPr>
              <w:t>2</w:t>
            </w:r>
            <w:r w:rsidRPr="00AA499E">
              <w:rPr>
                <w:color w:val="000000"/>
              </w:rPr>
              <w:t>/dag, i.v.): dag 1, 8 og 15</w:t>
            </w:r>
          </w:p>
          <w:p w14:paraId="40C94600" w14:textId="77777777" w:rsidR="00B7422A" w:rsidRPr="00AA499E" w:rsidRDefault="00B7422A" w:rsidP="00B7422A">
            <w:pPr>
              <w:pStyle w:val="Endnotentext"/>
              <w:rPr>
                <w:color w:val="000000"/>
              </w:rPr>
            </w:pPr>
            <w:r w:rsidRPr="00AA499E">
              <w:rPr>
                <w:color w:val="000000"/>
              </w:rPr>
              <w:t>DAUN (45 mg/m</w:t>
            </w:r>
            <w:r w:rsidRPr="00AA499E">
              <w:rPr>
                <w:color w:val="000000"/>
                <w:vertAlign w:val="superscript"/>
              </w:rPr>
              <w:t>2</w:t>
            </w:r>
            <w:r w:rsidRPr="00AA499E">
              <w:rPr>
                <w:color w:val="000000"/>
              </w:rPr>
              <w:t>/dag bolus, i.v.): dag 1 og 2</w:t>
            </w:r>
          </w:p>
          <w:p w14:paraId="048F3855" w14:textId="77777777" w:rsidR="00B7422A" w:rsidRPr="00AA499E" w:rsidRDefault="00B7422A" w:rsidP="00B7422A">
            <w:pPr>
              <w:pStyle w:val="Endnotentext"/>
              <w:rPr>
                <w:color w:val="000000"/>
              </w:rPr>
            </w:pPr>
            <w:r w:rsidRPr="00AA499E">
              <w:rPr>
                <w:color w:val="000000"/>
              </w:rPr>
              <w:t>CPM (250 mg/m</w:t>
            </w:r>
            <w:r w:rsidRPr="00AA499E">
              <w:rPr>
                <w:color w:val="000000"/>
                <w:vertAlign w:val="superscript"/>
              </w:rPr>
              <w:t>2</w:t>
            </w:r>
            <w:r w:rsidRPr="00AA499E">
              <w:rPr>
                <w:color w:val="000000"/>
              </w:rPr>
              <w:t>/dosis q12h x 4 doser, i.v.): dag 3 og 4</w:t>
            </w:r>
          </w:p>
          <w:p w14:paraId="0570CF8D" w14:textId="77777777" w:rsidR="00B7422A" w:rsidRPr="00AA499E" w:rsidRDefault="00B7422A" w:rsidP="00B7422A">
            <w:pPr>
              <w:pStyle w:val="Endnotentext"/>
              <w:rPr>
                <w:color w:val="000000"/>
              </w:rPr>
            </w:pPr>
            <w:r w:rsidRPr="00AA499E">
              <w:rPr>
                <w:color w:val="000000"/>
              </w:rPr>
              <w:t>PEG-ASP (2.500 IE/m</w:t>
            </w:r>
            <w:r w:rsidRPr="00AA499E">
              <w:rPr>
                <w:color w:val="000000"/>
                <w:vertAlign w:val="superscript"/>
              </w:rPr>
              <w:t>2</w:t>
            </w:r>
            <w:r w:rsidRPr="00AA499E">
              <w:rPr>
                <w:color w:val="000000"/>
              </w:rPr>
              <w:t>, i.m.): dag 4</w:t>
            </w:r>
          </w:p>
          <w:p w14:paraId="53D71050" w14:textId="77777777" w:rsidR="00B7422A" w:rsidRPr="00AA499E" w:rsidRDefault="000E26B2" w:rsidP="00B7422A">
            <w:pPr>
              <w:pStyle w:val="Endnotentext"/>
              <w:rPr>
                <w:color w:val="000000"/>
              </w:rPr>
            </w:pPr>
            <w:r w:rsidRPr="00AA499E">
              <w:rPr>
                <w:color w:val="000000"/>
              </w:rPr>
              <w:t>G-CSF (5 μg/kg, s.c.): dag 5</w:t>
            </w:r>
            <w:r w:rsidRPr="00AA499E">
              <w:rPr>
                <w:color w:val="000000"/>
              </w:rPr>
              <w:noBreakHyphen/>
            </w:r>
            <w:r w:rsidR="00B7422A" w:rsidRPr="00AA499E">
              <w:rPr>
                <w:color w:val="000000"/>
              </w:rPr>
              <w:t>14, eller indtil ANC &gt;1500 post nadir</w:t>
            </w:r>
          </w:p>
          <w:p w14:paraId="7C99C0D3" w14:textId="77777777" w:rsidR="00B7422A" w:rsidRPr="00AA499E" w:rsidRDefault="00B7422A" w:rsidP="00B7422A">
            <w:pPr>
              <w:pStyle w:val="Endnotentext"/>
              <w:rPr>
                <w:color w:val="000000"/>
              </w:rPr>
            </w:pPr>
            <w:r w:rsidRPr="00AA499E">
              <w:rPr>
                <w:color w:val="000000"/>
              </w:rPr>
              <w:t>Tredobbelt i.t.-terapi (aldersjusteret): dag 1 og 15</w:t>
            </w:r>
          </w:p>
          <w:p w14:paraId="318750D8" w14:textId="77777777" w:rsidR="00B7422A" w:rsidRPr="00AA499E" w:rsidRDefault="00B7422A" w:rsidP="00B7422A">
            <w:pPr>
              <w:pStyle w:val="Endnotentext"/>
              <w:rPr>
                <w:color w:val="000000"/>
              </w:rPr>
            </w:pPr>
            <w:r w:rsidRPr="00AA499E">
              <w:rPr>
                <w:color w:val="000000"/>
              </w:rPr>
              <w:t>DEX (6 mg/m</w:t>
            </w:r>
            <w:r w:rsidRPr="00AA499E">
              <w:rPr>
                <w:color w:val="000000"/>
                <w:vertAlign w:val="superscript"/>
              </w:rPr>
              <w:t>2</w:t>
            </w:r>
            <w:r w:rsidRPr="00AA499E">
              <w:rPr>
                <w:color w:val="000000"/>
              </w:rPr>
              <w:t>/dag, p.o.): dag 1</w:t>
            </w:r>
            <w:r w:rsidRPr="00AA499E">
              <w:rPr>
                <w:color w:val="000000"/>
              </w:rPr>
              <w:noBreakHyphen/>
              <w:t>7 og 15</w:t>
            </w:r>
            <w:r w:rsidRPr="00AA499E">
              <w:rPr>
                <w:color w:val="000000"/>
              </w:rPr>
              <w:noBreakHyphen/>
              <w:t>21</w:t>
            </w:r>
          </w:p>
        </w:tc>
      </w:tr>
      <w:tr w:rsidR="00B7422A" w:rsidRPr="00AA499E" w14:paraId="35C35284" w14:textId="77777777" w:rsidTr="00B7422A">
        <w:tc>
          <w:tcPr>
            <w:tcW w:w="2357" w:type="dxa"/>
            <w:shd w:val="clear" w:color="auto" w:fill="auto"/>
          </w:tcPr>
          <w:p w14:paraId="291B5C45" w14:textId="77777777" w:rsidR="00B7422A" w:rsidRPr="00AA499E" w:rsidRDefault="00B7422A" w:rsidP="00B7422A">
            <w:pPr>
              <w:pStyle w:val="Endnotentext"/>
              <w:rPr>
                <w:color w:val="000000"/>
              </w:rPr>
            </w:pPr>
            <w:r w:rsidRPr="00AA499E">
              <w:rPr>
                <w:color w:val="000000"/>
              </w:rPr>
              <w:t>Intensivering blok 2</w:t>
            </w:r>
          </w:p>
          <w:p w14:paraId="19AF97F6" w14:textId="77777777" w:rsidR="00B7422A" w:rsidRPr="00AA499E" w:rsidRDefault="00B7422A" w:rsidP="00B7422A">
            <w:pPr>
              <w:pStyle w:val="Endnotentext"/>
              <w:rPr>
                <w:color w:val="000000"/>
              </w:rPr>
            </w:pPr>
            <w:r w:rsidRPr="00AA499E">
              <w:rPr>
                <w:color w:val="000000"/>
              </w:rPr>
              <w:t>(9 uger)</w:t>
            </w:r>
          </w:p>
        </w:tc>
        <w:tc>
          <w:tcPr>
            <w:tcW w:w="6924" w:type="dxa"/>
            <w:shd w:val="clear" w:color="auto" w:fill="auto"/>
          </w:tcPr>
          <w:p w14:paraId="00658A7E" w14:textId="77777777" w:rsidR="00B7422A" w:rsidRPr="00AA499E" w:rsidRDefault="00B7422A" w:rsidP="00B7422A">
            <w:pPr>
              <w:pStyle w:val="Endnotentext"/>
              <w:rPr>
                <w:color w:val="000000"/>
              </w:rPr>
            </w:pPr>
            <w:r w:rsidRPr="00AA499E">
              <w:rPr>
                <w:color w:val="000000"/>
              </w:rPr>
              <w:t>Methotrexat (5 g/m</w:t>
            </w:r>
            <w:r w:rsidRPr="00AA499E">
              <w:rPr>
                <w:color w:val="000000"/>
                <w:vertAlign w:val="superscript"/>
              </w:rPr>
              <w:t>2</w:t>
            </w:r>
            <w:r w:rsidRPr="00AA499E">
              <w:rPr>
                <w:color w:val="000000"/>
              </w:rPr>
              <w:t xml:space="preserve"> over 24 timer, i.v.): dag 1 og 15</w:t>
            </w:r>
          </w:p>
          <w:p w14:paraId="527EBA3F" w14:textId="77777777" w:rsidR="00B7422A" w:rsidRPr="00AA499E" w:rsidRDefault="00B7422A" w:rsidP="00B7422A">
            <w:pPr>
              <w:pStyle w:val="Endnotentext"/>
              <w:rPr>
                <w:color w:val="000000"/>
              </w:rPr>
            </w:pPr>
            <w:r w:rsidRPr="00AA499E">
              <w:rPr>
                <w:color w:val="000000"/>
              </w:rPr>
              <w:t>Leucovorin (75 mg/m</w:t>
            </w:r>
            <w:r w:rsidRPr="00AA499E">
              <w:rPr>
                <w:color w:val="000000"/>
                <w:vertAlign w:val="superscript"/>
              </w:rPr>
              <w:t>2</w:t>
            </w:r>
            <w:r w:rsidRPr="00AA499E">
              <w:rPr>
                <w:color w:val="000000"/>
              </w:rPr>
              <w:t xml:space="preserve"> i time 36, i.v.; 15 mg/m</w:t>
            </w:r>
            <w:r w:rsidRPr="00AA499E">
              <w:rPr>
                <w:color w:val="000000"/>
                <w:vertAlign w:val="superscript"/>
              </w:rPr>
              <w:t>2</w:t>
            </w:r>
            <w:r w:rsidRPr="00AA499E">
              <w:rPr>
                <w:color w:val="000000"/>
              </w:rPr>
              <w:t xml:space="preserve"> i.v. eller p.o. q6h x 6 doser)iii: dag 2, 3, 16, og 17</w:t>
            </w:r>
          </w:p>
          <w:p w14:paraId="62BBDEC0" w14:textId="77777777" w:rsidR="00B7422A" w:rsidRPr="00AA499E" w:rsidRDefault="00B7422A" w:rsidP="00B7422A">
            <w:pPr>
              <w:pStyle w:val="Endnotentext"/>
              <w:rPr>
                <w:color w:val="000000"/>
              </w:rPr>
            </w:pPr>
            <w:r w:rsidRPr="00AA499E">
              <w:rPr>
                <w:color w:val="000000"/>
              </w:rPr>
              <w:t>Tredobbelt i.t.-terapi (aldersjusteret): dag 1 og 22</w:t>
            </w:r>
          </w:p>
          <w:p w14:paraId="5C5D4823" w14:textId="77777777" w:rsidR="00B7422A" w:rsidRPr="00AA499E" w:rsidRDefault="00B7422A" w:rsidP="00B7422A">
            <w:pPr>
              <w:pStyle w:val="Endnotentext"/>
              <w:rPr>
                <w:color w:val="000000"/>
              </w:rPr>
            </w:pPr>
            <w:r w:rsidRPr="00AA499E">
              <w:rPr>
                <w:color w:val="000000"/>
              </w:rPr>
              <w:t>VP-16 (100 mg/m</w:t>
            </w:r>
            <w:r w:rsidRPr="00AA499E">
              <w:rPr>
                <w:color w:val="000000"/>
                <w:vertAlign w:val="superscript"/>
              </w:rPr>
              <w:t>2</w:t>
            </w:r>
            <w:r w:rsidRPr="00AA499E">
              <w:rPr>
                <w:color w:val="000000"/>
              </w:rPr>
              <w:t>/dag, i.v.): dag 22</w:t>
            </w:r>
            <w:r w:rsidRPr="00AA499E">
              <w:rPr>
                <w:color w:val="000000"/>
              </w:rPr>
              <w:noBreakHyphen/>
              <w:t>26</w:t>
            </w:r>
          </w:p>
          <w:p w14:paraId="01A53F22" w14:textId="77777777" w:rsidR="00B7422A" w:rsidRPr="00AA499E" w:rsidRDefault="00B7422A" w:rsidP="00B7422A">
            <w:pPr>
              <w:pStyle w:val="Endnotentext"/>
              <w:rPr>
                <w:color w:val="000000"/>
              </w:rPr>
            </w:pPr>
            <w:r w:rsidRPr="00AA499E">
              <w:rPr>
                <w:color w:val="000000"/>
              </w:rPr>
              <w:t>CPM (300 mg/m</w:t>
            </w:r>
            <w:r w:rsidRPr="00AA499E">
              <w:rPr>
                <w:color w:val="000000"/>
                <w:vertAlign w:val="superscript"/>
              </w:rPr>
              <w:t>2</w:t>
            </w:r>
            <w:r w:rsidRPr="00AA499E">
              <w:rPr>
                <w:color w:val="000000"/>
              </w:rPr>
              <w:t>/dag, i.v.): dag 22</w:t>
            </w:r>
            <w:r w:rsidRPr="00AA499E">
              <w:rPr>
                <w:color w:val="000000"/>
              </w:rPr>
              <w:noBreakHyphen/>
              <w:t>26</w:t>
            </w:r>
          </w:p>
          <w:p w14:paraId="3B73BBB7" w14:textId="77777777" w:rsidR="00B7422A" w:rsidRPr="00AA499E" w:rsidRDefault="00B7422A" w:rsidP="00B7422A">
            <w:pPr>
              <w:pStyle w:val="Endnotentext"/>
              <w:rPr>
                <w:color w:val="000000"/>
              </w:rPr>
            </w:pPr>
            <w:r w:rsidRPr="00AA499E">
              <w:rPr>
                <w:color w:val="000000"/>
              </w:rPr>
              <w:t>MESNA (150 mg/m</w:t>
            </w:r>
            <w:r w:rsidRPr="00AA499E">
              <w:rPr>
                <w:color w:val="000000"/>
                <w:vertAlign w:val="superscript"/>
              </w:rPr>
              <w:t>2</w:t>
            </w:r>
            <w:r w:rsidRPr="00AA499E">
              <w:rPr>
                <w:color w:val="000000"/>
              </w:rPr>
              <w:t>/dag, i.v.): dag 22</w:t>
            </w:r>
            <w:r w:rsidRPr="00AA499E">
              <w:rPr>
                <w:color w:val="000000"/>
              </w:rPr>
              <w:noBreakHyphen/>
              <w:t>26</w:t>
            </w:r>
          </w:p>
          <w:p w14:paraId="61F53671" w14:textId="77777777" w:rsidR="00B7422A" w:rsidRPr="00AA499E" w:rsidRDefault="00B7422A" w:rsidP="00B7422A">
            <w:pPr>
              <w:pStyle w:val="Endnotentext"/>
              <w:rPr>
                <w:color w:val="000000"/>
              </w:rPr>
            </w:pPr>
            <w:r w:rsidRPr="00AA499E">
              <w:rPr>
                <w:color w:val="000000"/>
              </w:rPr>
              <w:t>G-CSF (5 μg/kg, s.c.): dag 27</w:t>
            </w:r>
            <w:r w:rsidRPr="00AA499E">
              <w:rPr>
                <w:color w:val="000000"/>
              </w:rPr>
              <w:noBreakHyphen/>
              <w:t>36, eller indtil ANC &gt;1500 post nadir</w:t>
            </w:r>
          </w:p>
          <w:p w14:paraId="173685FD" w14:textId="77777777" w:rsidR="00B7422A" w:rsidRPr="00C76A02" w:rsidRDefault="00B7422A" w:rsidP="00B7422A">
            <w:pPr>
              <w:pStyle w:val="Endnotentext"/>
              <w:rPr>
                <w:color w:val="000000"/>
                <w:lang w:val="pt-PT"/>
              </w:rPr>
            </w:pPr>
            <w:r w:rsidRPr="00C76A02">
              <w:rPr>
                <w:color w:val="000000"/>
                <w:lang w:val="pt-PT"/>
              </w:rPr>
              <w:t>ARA-C (3 g/m</w:t>
            </w:r>
            <w:r w:rsidRPr="00C76A02">
              <w:rPr>
                <w:color w:val="000000"/>
                <w:vertAlign w:val="superscript"/>
                <w:lang w:val="pt-PT"/>
              </w:rPr>
              <w:t>2</w:t>
            </w:r>
            <w:r w:rsidRPr="00C76A02">
              <w:rPr>
                <w:color w:val="000000"/>
                <w:lang w:val="pt-PT"/>
              </w:rPr>
              <w:t>, q12h, i.v.): dag 43, 44</w:t>
            </w:r>
          </w:p>
          <w:p w14:paraId="21BEF4D5" w14:textId="77777777" w:rsidR="00B7422A" w:rsidRPr="00C76A02" w:rsidRDefault="00B7422A" w:rsidP="00B7422A">
            <w:pPr>
              <w:pStyle w:val="Endnotentext"/>
              <w:rPr>
                <w:color w:val="000000"/>
                <w:lang w:val="sv-SE"/>
              </w:rPr>
            </w:pPr>
            <w:r w:rsidRPr="00C76A02">
              <w:rPr>
                <w:color w:val="000000"/>
                <w:lang w:val="sv-SE"/>
              </w:rPr>
              <w:lastRenderedPageBreak/>
              <w:t>L-ASP (6000 IE/m</w:t>
            </w:r>
            <w:r w:rsidRPr="00C76A02">
              <w:rPr>
                <w:color w:val="000000"/>
                <w:vertAlign w:val="superscript"/>
                <w:lang w:val="sv-SE"/>
              </w:rPr>
              <w:t>2</w:t>
            </w:r>
            <w:r w:rsidRPr="00C76A02">
              <w:rPr>
                <w:color w:val="000000"/>
                <w:lang w:val="sv-SE"/>
              </w:rPr>
              <w:t>,i.m.): dag 44</w:t>
            </w:r>
          </w:p>
        </w:tc>
      </w:tr>
      <w:tr w:rsidR="00B7422A" w:rsidRPr="00AA499E" w14:paraId="5BEE17F1" w14:textId="77777777" w:rsidTr="00B7422A">
        <w:tc>
          <w:tcPr>
            <w:tcW w:w="2357" w:type="dxa"/>
            <w:shd w:val="clear" w:color="auto" w:fill="auto"/>
          </w:tcPr>
          <w:p w14:paraId="21416234" w14:textId="77777777" w:rsidR="00B7422A" w:rsidRPr="00AA499E" w:rsidRDefault="00B7422A" w:rsidP="00B7422A">
            <w:pPr>
              <w:pStyle w:val="Endnotentext"/>
              <w:rPr>
                <w:color w:val="000000"/>
              </w:rPr>
            </w:pPr>
            <w:r w:rsidRPr="00AA499E">
              <w:rPr>
                <w:color w:val="000000"/>
              </w:rPr>
              <w:lastRenderedPageBreak/>
              <w:t>Vedligeholdelse</w:t>
            </w:r>
          </w:p>
          <w:p w14:paraId="64612CF8" w14:textId="77777777" w:rsidR="00B7422A" w:rsidRPr="00AA499E" w:rsidRDefault="00B7422A" w:rsidP="00B7422A">
            <w:pPr>
              <w:pStyle w:val="Endnotentext"/>
              <w:rPr>
                <w:color w:val="000000"/>
              </w:rPr>
            </w:pPr>
            <w:r w:rsidRPr="00AA499E">
              <w:rPr>
                <w:color w:val="000000"/>
              </w:rPr>
              <w:t>(8-ugers cykler)</w:t>
            </w:r>
          </w:p>
          <w:p w14:paraId="7F071C41" w14:textId="77777777" w:rsidR="00B7422A" w:rsidRPr="00AA499E" w:rsidRDefault="00B7422A" w:rsidP="00B7422A">
            <w:pPr>
              <w:pStyle w:val="Endnotentext"/>
              <w:rPr>
                <w:color w:val="000000"/>
              </w:rPr>
            </w:pPr>
            <w:r w:rsidRPr="00AA499E">
              <w:rPr>
                <w:color w:val="000000"/>
              </w:rPr>
              <w:t>Cyklus 1–4</w:t>
            </w:r>
          </w:p>
        </w:tc>
        <w:tc>
          <w:tcPr>
            <w:tcW w:w="6924" w:type="dxa"/>
            <w:shd w:val="clear" w:color="auto" w:fill="auto"/>
          </w:tcPr>
          <w:p w14:paraId="4ED3D49C" w14:textId="77777777" w:rsidR="00B7422A" w:rsidRPr="00AA499E" w:rsidRDefault="00B7422A" w:rsidP="00B7422A">
            <w:pPr>
              <w:pStyle w:val="Endnotentext"/>
              <w:rPr>
                <w:color w:val="000000"/>
              </w:rPr>
            </w:pPr>
            <w:r w:rsidRPr="00AA499E">
              <w:rPr>
                <w:color w:val="000000"/>
              </w:rPr>
              <w:t>Methotrexat (5 g/m</w:t>
            </w:r>
            <w:r w:rsidRPr="00AA499E">
              <w:rPr>
                <w:color w:val="000000"/>
                <w:vertAlign w:val="superscript"/>
              </w:rPr>
              <w:t>2</w:t>
            </w:r>
            <w:r w:rsidRPr="00AA499E">
              <w:rPr>
                <w:color w:val="000000"/>
              </w:rPr>
              <w:t xml:space="preserve"> over 24 timer, i.v.): dag 1</w:t>
            </w:r>
          </w:p>
          <w:p w14:paraId="2F904D33" w14:textId="77777777" w:rsidR="00B7422A" w:rsidRPr="00AA499E" w:rsidRDefault="00B7422A" w:rsidP="00B7422A">
            <w:pPr>
              <w:pStyle w:val="Endnotentext"/>
              <w:rPr>
                <w:color w:val="000000"/>
              </w:rPr>
            </w:pPr>
            <w:r w:rsidRPr="00AA499E">
              <w:rPr>
                <w:color w:val="000000"/>
              </w:rPr>
              <w:t>Leucovorin (75 mg/m</w:t>
            </w:r>
            <w:r w:rsidRPr="00AA499E">
              <w:rPr>
                <w:color w:val="000000"/>
                <w:vertAlign w:val="superscript"/>
              </w:rPr>
              <w:t>2</w:t>
            </w:r>
            <w:r w:rsidRPr="00AA499E">
              <w:rPr>
                <w:color w:val="000000"/>
              </w:rPr>
              <w:t xml:space="preserve"> i time 36, i.v.; 15 mg/m</w:t>
            </w:r>
            <w:r w:rsidRPr="00AA499E">
              <w:rPr>
                <w:color w:val="000000"/>
                <w:vertAlign w:val="superscript"/>
              </w:rPr>
              <w:t>2</w:t>
            </w:r>
            <w:r w:rsidRPr="00AA499E">
              <w:rPr>
                <w:color w:val="000000"/>
              </w:rPr>
              <w:t xml:space="preserve"> i.v. eller p.o. q6h x 6 doses)iii: dag 2 og 3</w:t>
            </w:r>
          </w:p>
          <w:p w14:paraId="4DEE5FEA" w14:textId="77777777" w:rsidR="00B7422A" w:rsidRPr="00AA499E" w:rsidRDefault="00B7422A" w:rsidP="00B7422A">
            <w:pPr>
              <w:pStyle w:val="Endnotentext"/>
              <w:rPr>
                <w:color w:val="000000"/>
              </w:rPr>
            </w:pPr>
            <w:r w:rsidRPr="00AA499E">
              <w:rPr>
                <w:color w:val="000000"/>
              </w:rPr>
              <w:t>Tredobbelt i.t.-terapi (aldersjusteret): dag 1, 29</w:t>
            </w:r>
          </w:p>
          <w:p w14:paraId="4CE26B4C" w14:textId="77777777" w:rsidR="00B7422A" w:rsidRPr="00AA499E" w:rsidRDefault="00B7422A" w:rsidP="00B7422A">
            <w:pPr>
              <w:pStyle w:val="Endnotentext"/>
              <w:rPr>
                <w:color w:val="000000"/>
              </w:rPr>
            </w:pPr>
            <w:r w:rsidRPr="00AA499E">
              <w:rPr>
                <w:color w:val="000000"/>
              </w:rPr>
              <w:t>VCR (1,5 mg/m</w:t>
            </w:r>
            <w:r w:rsidRPr="00AA499E">
              <w:rPr>
                <w:color w:val="000000"/>
                <w:vertAlign w:val="superscript"/>
              </w:rPr>
              <w:t>2</w:t>
            </w:r>
            <w:r w:rsidRPr="00AA499E">
              <w:rPr>
                <w:color w:val="000000"/>
              </w:rPr>
              <w:t>, i.v.): dag 1, 29</w:t>
            </w:r>
          </w:p>
          <w:p w14:paraId="253B33E7" w14:textId="77777777" w:rsidR="00B7422A" w:rsidRPr="00AA499E" w:rsidRDefault="00B7422A" w:rsidP="00B7422A">
            <w:pPr>
              <w:pStyle w:val="Endnotentext"/>
              <w:rPr>
                <w:color w:val="000000"/>
              </w:rPr>
            </w:pPr>
            <w:r w:rsidRPr="00AA499E">
              <w:rPr>
                <w:color w:val="000000"/>
              </w:rPr>
              <w:t>DEX (6 mg/m</w:t>
            </w:r>
            <w:r w:rsidRPr="00AA499E">
              <w:rPr>
                <w:color w:val="000000"/>
                <w:vertAlign w:val="superscript"/>
              </w:rPr>
              <w:t>2</w:t>
            </w:r>
            <w:r w:rsidRPr="00AA499E">
              <w:rPr>
                <w:color w:val="000000"/>
              </w:rPr>
              <w:t>/dag p.o.): dag 1</w:t>
            </w:r>
            <w:r w:rsidRPr="00AA499E">
              <w:rPr>
                <w:color w:val="000000"/>
              </w:rPr>
              <w:noBreakHyphen/>
              <w:t>5; 29</w:t>
            </w:r>
            <w:r w:rsidRPr="00AA499E">
              <w:rPr>
                <w:color w:val="000000"/>
              </w:rPr>
              <w:noBreakHyphen/>
              <w:t>33</w:t>
            </w:r>
          </w:p>
          <w:p w14:paraId="6B42F0F8" w14:textId="77777777" w:rsidR="00B7422A" w:rsidRPr="00AA499E" w:rsidRDefault="00B7422A" w:rsidP="00B7422A">
            <w:pPr>
              <w:pStyle w:val="Endnotentext"/>
              <w:rPr>
                <w:color w:val="000000"/>
              </w:rPr>
            </w:pPr>
            <w:r w:rsidRPr="00AA499E">
              <w:rPr>
                <w:color w:val="000000"/>
              </w:rPr>
              <w:t>6-MP (75 mg/m</w:t>
            </w:r>
            <w:r w:rsidRPr="00AA499E">
              <w:rPr>
                <w:color w:val="000000"/>
                <w:vertAlign w:val="superscript"/>
              </w:rPr>
              <w:t>2</w:t>
            </w:r>
            <w:r w:rsidRPr="00AA499E">
              <w:rPr>
                <w:color w:val="000000"/>
              </w:rPr>
              <w:t xml:space="preserve">/dag, p.o.): dag 8-28  </w:t>
            </w:r>
          </w:p>
          <w:p w14:paraId="022341F3" w14:textId="77777777" w:rsidR="00B7422A" w:rsidRPr="00AA499E" w:rsidRDefault="00B7422A" w:rsidP="00B7422A">
            <w:pPr>
              <w:pStyle w:val="Endnotentext"/>
              <w:rPr>
                <w:color w:val="000000"/>
              </w:rPr>
            </w:pPr>
            <w:r w:rsidRPr="00AA499E">
              <w:rPr>
                <w:color w:val="000000"/>
              </w:rPr>
              <w:t>Methotrexat (20 mg/m</w:t>
            </w:r>
            <w:r w:rsidRPr="00AA499E">
              <w:rPr>
                <w:color w:val="000000"/>
                <w:vertAlign w:val="superscript"/>
              </w:rPr>
              <w:t>2</w:t>
            </w:r>
            <w:r w:rsidRPr="00AA499E">
              <w:rPr>
                <w:color w:val="000000"/>
              </w:rPr>
              <w:t>/uge, p.o.): dag 8, 15, 22</w:t>
            </w:r>
          </w:p>
          <w:p w14:paraId="1DA5B177" w14:textId="77777777" w:rsidR="00B7422A" w:rsidRPr="00AA499E" w:rsidRDefault="00B7422A" w:rsidP="00B7422A">
            <w:pPr>
              <w:pStyle w:val="Endnotentext"/>
              <w:rPr>
                <w:color w:val="000000"/>
              </w:rPr>
            </w:pPr>
            <w:r w:rsidRPr="00AA499E">
              <w:rPr>
                <w:color w:val="000000"/>
              </w:rPr>
              <w:t>VP-16 (100 mg/m</w:t>
            </w:r>
            <w:r w:rsidRPr="00AA499E">
              <w:rPr>
                <w:color w:val="000000"/>
                <w:vertAlign w:val="superscript"/>
              </w:rPr>
              <w:t>2</w:t>
            </w:r>
            <w:r w:rsidRPr="00AA499E">
              <w:rPr>
                <w:color w:val="000000"/>
              </w:rPr>
              <w:t>, i.v.): dag 29</w:t>
            </w:r>
            <w:r w:rsidRPr="00AA499E">
              <w:rPr>
                <w:color w:val="000000"/>
              </w:rPr>
              <w:noBreakHyphen/>
              <w:t>33</w:t>
            </w:r>
          </w:p>
          <w:p w14:paraId="7895DFD2" w14:textId="77777777" w:rsidR="00B7422A" w:rsidRPr="00AA499E" w:rsidRDefault="00B7422A" w:rsidP="00B7422A">
            <w:pPr>
              <w:pStyle w:val="Endnotentext"/>
              <w:rPr>
                <w:color w:val="000000"/>
              </w:rPr>
            </w:pPr>
            <w:r w:rsidRPr="00AA499E">
              <w:rPr>
                <w:color w:val="000000"/>
              </w:rPr>
              <w:t>CPM (300 mg/m</w:t>
            </w:r>
            <w:r w:rsidRPr="00AA499E">
              <w:rPr>
                <w:color w:val="000000"/>
                <w:vertAlign w:val="superscript"/>
              </w:rPr>
              <w:t>2</w:t>
            </w:r>
            <w:r w:rsidRPr="00AA499E">
              <w:rPr>
                <w:color w:val="000000"/>
              </w:rPr>
              <w:t>, i.v.): dag 29</w:t>
            </w:r>
            <w:r w:rsidRPr="00AA499E">
              <w:rPr>
                <w:color w:val="000000"/>
              </w:rPr>
              <w:noBreakHyphen/>
              <w:t>33</w:t>
            </w:r>
          </w:p>
          <w:p w14:paraId="28B877F9" w14:textId="77777777" w:rsidR="00B7422A" w:rsidRPr="00AA499E" w:rsidRDefault="00B7422A" w:rsidP="00B7422A">
            <w:pPr>
              <w:pStyle w:val="Endnotentext"/>
              <w:rPr>
                <w:color w:val="000000"/>
              </w:rPr>
            </w:pPr>
            <w:r w:rsidRPr="00AA499E">
              <w:rPr>
                <w:color w:val="000000"/>
              </w:rPr>
              <w:t>MESNA i.v.: dag 29</w:t>
            </w:r>
            <w:r w:rsidRPr="00AA499E">
              <w:rPr>
                <w:color w:val="000000"/>
              </w:rPr>
              <w:noBreakHyphen/>
              <w:t>33</w:t>
            </w:r>
          </w:p>
          <w:p w14:paraId="47DF4886" w14:textId="77777777" w:rsidR="00B7422A" w:rsidRPr="00AA499E" w:rsidRDefault="00B7422A" w:rsidP="00B7422A">
            <w:pPr>
              <w:pStyle w:val="Endnotentext"/>
              <w:rPr>
                <w:color w:val="000000"/>
              </w:rPr>
            </w:pPr>
            <w:r w:rsidRPr="00AA499E">
              <w:rPr>
                <w:color w:val="000000"/>
              </w:rPr>
              <w:t>G-CSF (5 μg/kg, s.c.): dag 34</w:t>
            </w:r>
            <w:r w:rsidRPr="00AA499E">
              <w:rPr>
                <w:color w:val="000000"/>
              </w:rPr>
              <w:noBreakHyphen/>
              <w:t>43</w:t>
            </w:r>
          </w:p>
        </w:tc>
      </w:tr>
      <w:tr w:rsidR="00B7422A" w:rsidRPr="00AA499E" w14:paraId="7F3C1CC5" w14:textId="77777777" w:rsidTr="00B7422A">
        <w:tc>
          <w:tcPr>
            <w:tcW w:w="2357" w:type="dxa"/>
            <w:shd w:val="clear" w:color="auto" w:fill="auto"/>
          </w:tcPr>
          <w:p w14:paraId="58195B88" w14:textId="77777777" w:rsidR="00B7422A" w:rsidRPr="00AA499E" w:rsidRDefault="00B7422A" w:rsidP="00B7422A">
            <w:pPr>
              <w:pStyle w:val="Endnotentext"/>
              <w:rPr>
                <w:color w:val="000000"/>
              </w:rPr>
            </w:pPr>
            <w:r w:rsidRPr="00AA499E">
              <w:rPr>
                <w:color w:val="000000"/>
              </w:rPr>
              <w:t>Vedligeholdelse</w:t>
            </w:r>
          </w:p>
          <w:p w14:paraId="5FD94838" w14:textId="77777777" w:rsidR="00B7422A" w:rsidRPr="00AA499E" w:rsidRDefault="00B7422A" w:rsidP="00B7422A">
            <w:pPr>
              <w:pStyle w:val="Endnotentext"/>
              <w:rPr>
                <w:color w:val="000000"/>
              </w:rPr>
            </w:pPr>
            <w:r w:rsidRPr="00AA499E">
              <w:rPr>
                <w:color w:val="000000"/>
              </w:rPr>
              <w:t>(8-ugers cykler)</w:t>
            </w:r>
          </w:p>
          <w:p w14:paraId="2DB4880D" w14:textId="77777777" w:rsidR="00B7422A" w:rsidRPr="00AA499E" w:rsidRDefault="00B7422A" w:rsidP="00B7422A">
            <w:pPr>
              <w:pStyle w:val="Endnotentext"/>
              <w:rPr>
                <w:color w:val="000000"/>
              </w:rPr>
            </w:pPr>
            <w:r w:rsidRPr="00AA499E">
              <w:rPr>
                <w:color w:val="000000"/>
              </w:rPr>
              <w:t>Cyklus 5</w:t>
            </w:r>
          </w:p>
        </w:tc>
        <w:tc>
          <w:tcPr>
            <w:tcW w:w="6924" w:type="dxa"/>
            <w:shd w:val="clear" w:color="auto" w:fill="auto"/>
          </w:tcPr>
          <w:p w14:paraId="01D4304B" w14:textId="77777777" w:rsidR="00B7422A" w:rsidRPr="00AA499E" w:rsidRDefault="00B7422A" w:rsidP="00B7422A">
            <w:pPr>
              <w:pStyle w:val="Endnotentext"/>
              <w:rPr>
                <w:color w:val="000000"/>
              </w:rPr>
            </w:pPr>
            <w:r w:rsidRPr="00AA499E">
              <w:rPr>
                <w:color w:val="000000"/>
              </w:rPr>
              <w:t>Kraniebestråling (kun blok 5)</w:t>
            </w:r>
          </w:p>
          <w:p w14:paraId="444D715B" w14:textId="77777777" w:rsidR="00B7422A" w:rsidRPr="00AA499E" w:rsidRDefault="00B7422A" w:rsidP="00B7422A">
            <w:pPr>
              <w:pStyle w:val="Endnotentext"/>
              <w:rPr>
                <w:color w:val="000000"/>
              </w:rPr>
            </w:pPr>
            <w:r w:rsidRPr="00AA499E">
              <w:rPr>
                <w:color w:val="000000"/>
              </w:rPr>
              <w:t>12 Gy i 8 fraktioner for alle patienter, som er CNS1 og CNS2 ved diagnosticering</w:t>
            </w:r>
          </w:p>
          <w:p w14:paraId="6A028E2B" w14:textId="77777777" w:rsidR="00B7422A" w:rsidRPr="00AA499E" w:rsidRDefault="00B7422A" w:rsidP="00B7422A">
            <w:pPr>
              <w:pStyle w:val="Endnotentext"/>
              <w:rPr>
                <w:color w:val="000000"/>
              </w:rPr>
            </w:pPr>
            <w:r w:rsidRPr="00AA499E">
              <w:rPr>
                <w:color w:val="000000"/>
              </w:rPr>
              <w:t>18 Gy i 10 fraktioner for patienter, som er CNS3 ved diagnosticering</w:t>
            </w:r>
          </w:p>
          <w:p w14:paraId="7F14FDDB" w14:textId="77777777" w:rsidR="00B7422A" w:rsidRPr="00AA499E" w:rsidRDefault="00B7422A" w:rsidP="00B7422A">
            <w:pPr>
              <w:pStyle w:val="Endnotentext"/>
              <w:rPr>
                <w:color w:val="000000"/>
              </w:rPr>
            </w:pPr>
            <w:r w:rsidRPr="00AA499E">
              <w:rPr>
                <w:color w:val="000000"/>
              </w:rPr>
              <w:t>VCR (1,5 mg/m</w:t>
            </w:r>
            <w:r w:rsidRPr="00AA499E">
              <w:rPr>
                <w:color w:val="000000"/>
                <w:vertAlign w:val="superscript"/>
              </w:rPr>
              <w:t>2</w:t>
            </w:r>
            <w:r w:rsidRPr="00AA499E">
              <w:rPr>
                <w:color w:val="000000"/>
              </w:rPr>
              <w:t>/dag, i.v.): dag 1, 29</w:t>
            </w:r>
          </w:p>
          <w:p w14:paraId="635BAC86" w14:textId="77777777" w:rsidR="00B7422A" w:rsidRPr="00AA499E" w:rsidRDefault="00B7422A" w:rsidP="00B7422A">
            <w:pPr>
              <w:pStyle w:val="Endnotentext"/>
              <w:rPr>
                <w:color w:val="000000"/>
              </w:rPr>
            </w:pPr>
            <w:r w:rsidRPr="00AA499E">
              <w:rPr>
                <w:color w:val="000000"/>
              </w:rPr>
              <w:t>DEX (6 mg/m</w:t>
            </w:r>
            <w:r w:rsidRPr="00AA499E">
              <w:rPr>
                <w:color w:val="000000"/>
                <w:vertAlign w:val="superscript"/>
              </w:rPr>
              <w:t>2</w:t>
            </w:r>
            <w:r w:rsidRPr="00AA499E">
              <w:rPr>
                <w:color w:val="000000"/>
              </w:rPr>
              <w:t>/dag, p.o.): dag 1</w:t>
            </w:r>
            <w:r w:rsidRPr="00AA499E">
              <w:rPr>
                <w:color w:val="000000"/>
              </w:rPr>
              <w:noBreakHyphen/>
              <w:t>5; 29</w:t>
            </w:r>
            <w:r w:rsidRPr="00AA499E">
              <w:rPr>
                <w:color w:val="000000"/>
              </w:rPr>
              <w:noBreakHyphen/>
              <w:t>33</w:t>
            </w:r>
          </w:p>
          <w:p w14:paraId="4EF67528" w14:textId="77777777" w:rsidR="00B7422A" w:rsidRPr="00AA499E" w:rsidRDefault="00B7422A" w:rsidP="00B7422A">
            <w:pPr>
              <w:pStyle w:val="Endnotentext"/>
              <w:rPr>
                <w:color w:val="000000"/>
              </w:rPr>
            </w:pPr>
            <w:r w:rsidRPr="00AA499E">
              <w:rPr>
                <w:color w:val="000000"/>
              </w:rPr>
              <w:t>6-MP (75 mg/m</w:t>
            </w:r>
            <w:r w:rsidRPr="00AA499E">
              <w:rPr>
                <w:color w:val="000000"/>
                <w:vertAlign w:val="superscript"/>
              </w:rPr>
              <w:t>2</w:t>
            </w:r>
            <w:r w:rsidRPr="00AA499E">
              <w:rPr>
                <w:color w:val="000000"/>
              </w:rPr>
              <w:t>/dag, p.o.): dag 11</w:t>
            </w:r>
            <w:r w:rsidRPr="00AA499E">
              <w:rPr>
                <w:color w:val="000000"/>
              </w:rPr>
              <w:noBreakHyphen/>
              <w:t>56 (tilbagehold 6-MP i de 6</w:t>
            </w:r>
            <w:r w:rsidRPr="00AA499E">
              <w:rPr>
                <w:color w:val="000000"/>
              </w:rPr>
              <w:noBreakHyphen/>
              <w:t>10 dage  med kraniebestråling med start dag 1 i cyklus 5. Start 6-MP den første dag efter gennemført kraniebestråling.)</w:t>
            </w:r>
          </w:p>
          <w:p w14:paraId="5FF96F9F" w14:textId="77777777" w:rsidR="00B7422A" w:rsidRPr="00AA499E" w:rsidRDefault="00B7422A" w:rsidP="00B7422A">
            <w:pPr>
              <w:pStyle w:val="Endnotentext"/>
              <w:rPr>
                <w:color w:val="000000"/>
              </w:rPr>
            </w:pPr>
            <w:r w:rsidRPr="00AA499E">
              <w:rPr>
                <w:color w:val="000000"/>
              </w:rPr>
              <w:t>Methotrexat (20 mg/m</w:t>
            </w:r>
            <w:r w:rsidRPr="00AA499E">
              <w:rPr>
                <w:color w:val="000000"/>
                <w:vertAlign w:val="superscript"/>
              </w:rPr>
              <w:t>2</w:t>
            </w:r>
            <w:r w:rsidRPr="00AA499E">
              <w:rPr>
                <w:color w:val="000000"/>
              </w:rPr>
              <w:t>/uge, p.o.): dag  8, 15, 22, 29, 36, 43, 50</w:t>
            </w:r>
          </w:p>
        </w:tc>
      </w:tr>
      <w:tr w:rsidR="00B7422A" w:rsidRPr="00AA499E" w14:paraId="3AAFC84F" w14:textId="77777777" w:rsidTr="00B7422A">
        <w:tc>
          <w:tcPr>
            <w:tcW w:w="2357" w:type="dxa"/>
            <w:shd w:val="clear" w:color="auto" w:fill="auto"/>
          </w:tcPr>
          <w:p w14:paraId="4028B4FE" w14:textId="77777777" w:rsidR="00B7422A" w:rsidRPr="00AA499E" w:rsidRDefault="00B7422A" w:rsidP="00B7422A">
            <w:pPr>
              <w:pStyle w:val="Endnotentext"/>
              <w:rPr>
                <w:color w:val="000000"/>
              </w:rPr>
            </w:pPr>
            <w:r w:rsidRPr="00AA499E">
              <w:rPr>
                <w:color w:val="000000"/>
              </w:rPr>
              <w:t>Vedligeholdelse</w:t>
            </w:r>
          </w:p>
          <w:p w14:paraId="74B43ED3" w14:textId="77777777" w:rsidR="00B7422A" w:rsidRPr="00AA499E" w:rsidRDefault="00B7422A" w:rsidP="00B7422A">
            <w:pPr>
              <w:pStyle w:val="Endnotentext"/>
              <w:rPr>
                <w:color w:val="000000"/>
              </w:rPr>
            </w:pPr>
            <w:r w:rsidRPr="00AA499E">
              <w:rPr>
                <w:color w:val="000000"/>
              </w:rPr>
              <w:t>(8-ugers cykler)</w:t>
            </w:r>
          </w:p>
          <w:p w14:paraId="41DB1A97" w14:textId="77777777" w:rsidR="00B7422A" w:rsidRPr="00AA499E" w:rsidRDefault="00B7422A" w:rsidP="00B7422A">
            <w:pPr>
              <w:pStyle w:val="Endnotentext"/>
              <w:rPr>
                <w:color w:val="000000"/>
              </w:rPr>
            </w:pPr>
            <w:r w:rsidRPr="00AA499E">
              <w:rPr>
                <w:color w:val="000000"/>
              </w:rPr>
              <w:t>Cyklus 6</w:t>
            </w:r>
            <w:r w:rsidRPr="00AA499E">
              <w:rPr>
                <w:color w:val="000000"/>
              </w:rPr>
              <w:noBreakHyphen/>
              <w:t>12</w:t>
            </w:r>
          </w:p>
        </w:tc>
        <w:tc>
          <w:tcPr>
            <w:tcW w:w="6924" w:type="dxa"/>
            <w:shd w:val="clear" w:color="auto" w:fill="auto"/>
          </w:tcPr>
          <w:p w14:paraId="0D97E91A" w14:textId="77777777" w:rsidR="00B7422A" w:rsidRPr="00AA499E" w:rsidRDefault="00B7422A" w:rsidP="00B7422A">
            <w:pPr>
              <w:pStyle w:val="Endnotentext"/>
              <w:rPr>
                <w:color w:val="000000"/>
              </w:rPr>
            </w:pPr>
            <w:r w:rsidRPr="00AA499E">
              <w:rPr>
                <w:color w:val="000000"/>
              </w:rPr>
              <w:t>VCR (1,5 mg/m</w:t>
            </w:r>
            <w:r w:rsidRPr="00AA499E">
              <w:rPr>
                <w:color w:val="000000"/>
                <w:vertAlign w:val="superscript"/>
              </w:rPr>
              <w:t>2</w:t>
            </w:r>
            <w:r w:rsidRPr="00AA499E">
              <w:rPr>
                <w:color w:val="000000"/>
              </w:rPr>
              <w:t>/dag, i.v.: dag 1, 29</w:t>
            </w:r>
          </w:p>
          <w:p w14:paraId="17D6408C" w14:textId="77777777" w:rsidR="00B7422A" w:rsidRPr="00AA499E" w:rsidRDefault="00B7422A" w:rsidP="00B7422A">
            <w:pPr>
              <w:pStyle w:val="Endnotentext"/>
              <w:rPr>
                <w:color w:val="000000"/>
              </w:rPr>
            </w:pPr>
            <w:r w:rsidRPr="00AA499E">
              <w:rPr>
                <w:color w:val="000000"/>
              </w:rPr>
              <w:t>DEX (6 mg/m</w:t>
            </w:r>
            <w:r w:rsidRPr="00AA499E">
              <w:rPr>
                <w:color w:val="000000"/>
                <w:vertAlign w:val="superscript"/>
              </w:rPr>
              <w:t>2</w:t>
            </w:r>
            <w:r w:rsidRPr="00AA499E">
              <w:rPr>
                <w:color w:val="000000"/>
              </w:rPr>
              <w:t>/dag, p.o.): dag 1</w:t>
            </w:r>
            <w:r w:rsidRPr="00AA499E">
              <w:rPr>
                <w:color w:val="000000"/>
              </w:rPr>
              <w:noBreakHyphen/>
              <w:t>5; 29</w:t>
            </w:r>
            <w:r w:rsidRPr="00AA499E">
              <w:rPr>
                <w:color w:val="000000"/>
              </w:rPr>
              <w:noBreakHyphen/>
              <w:t>33</w:t>
            </w:r>
          </w:p>
          <w:p w14:paraId="1176F3E2" w14:textId="77777777" w:rsidR="00B7422A" w:rsidRPr="00AA499E" w:rsidRDefault="00B7422A" w:rsidP="00B7422A">
            <w:pPr>
              <w:pStyle w:val="Endnotentext"/>
              <w:rPr>
                <w:color w:val="000000"/>
              </w:rPr>
            </w:pPr>
            <w:r w:rsidRPr="00AA499E">
              <w:rPr>
                <w:color w:val="000000"/>
              </w:rPr>
              <w:t>6-MP (75 mg/m</w:t>
            </w:r>
            <w:r w:rsidRPr="00AA499E">
              <w:rPr>
                <w:color w:val="000000"/>
                <w:vertAlign w:val="superscript"/>
              </w:rPr>
              <w:t>2</w:t>
            </w:r>
            <w:r w:rsidRPr="00AA499E">
              <w:rPr>
                <w:color w:val="000000"/>
              </w:rPr>
              <w:t>/dag, p.o.): dag 1</w:t>
            </w:r>
            <w:r w:rsidRPr="00AA499E">
              <w:rPr>
                <w:color w:val="000000"/>
              </w:rPr>
              <w:noBreakHyphen/>
              <w:t>56</w:t>
            </w:r>
          </w:p>
          <w:p w14:paraId="1B76E159" w14:textId="77777777" w:rsidR="00B7422A" w:rsidRPr="00AA499E" w:rsidRDefault="00B7422A" w:rsidP="00B7422A">
            <w:pPr>
              <w:pStyle w:val="Endnotentext"/>
              <w:rPr>
                <w:color w:val="000000"/>
              </w:rPr>
            </w:pPr>
            <w:r w:rsidRPr="00AA499E">
              <w:rPr>
                <w:color w:val="000000"/>
              </w:rPr>
              <w:t>Methotrexat (20 mg/m</w:t>
            </w:r>
            <w:r w:rsidRPr="00AA499E">
              <w:rPr>
                <w:color w:val="000000"/>
                <w:vertAlign w:val="superscript"/>
              </w:rPr>
              <w:t>2</w:t>
            </w:r>
            <w:r w:rsidRPr="00AA499E">
              <w:rPr>
                <w:color w:val="000000"/>
              </w:rPr>
              <w:t xml:space="preserve">/uge, p.o.): dag 1, 8, 15, 22, 29, 36, 43, 50 </w:t>
            </w:r>
          </w:p>
        </w:tc>
      </w:tr>
    </w:tbl>
    <w:p w14:paraId="04A4424A" w14:textId="77777777" w:rsidR="00B7422A" w:rsidRPr="00C76A02" w:rsidRDefault="00B7422A" w:rsidP="00B7422A">
      <w:pPr>
        <w:pStyle w:val="Endnotentext"/>
        <w:rPr>
          <w:color w:val="000000"/>
          <w:szCs w:val="22"/>
          <w:lang w:val="is-IS"/>
        </w:rPr>
      </w:pPr>
      <w:r w:rsidRPr="00C76A02">
        <w:rPr>
          <w:color w:val="000000"/>
          <w:szCs w:val="22"/>
          <w:lang w:val="is-IS"/>
        </w:rPr>
        <w:t xml:space="preserve">G-CSF = granulocyt-koloni-stimulerende faktor, VP-16 = etoposid, MTX = methotrexat, i.v. = intravenøs, s.c. = subkutan, i.t. = intratekal, p.o. = oral, i.m. = intramuskulær, ARA-C = cytarabin, CPM = cyclophosphamid, VCR = vinkristin, DEX = dexamethason, DAUN = daunorubicin, 6-MP = 6-mercaptopurin, </w:t>
      </w:r>
      <w:r w:rsidRPr="00C76A02">
        <w:rPr>
          <w:i/>
          <w:color w:val="000000"/>
          <w:szCs w:val="22"/>
          <w:lang w:val="is-IS"/>
        </w:rPr>
        <w:t>E.Coli</w:t>
      </w:r>
      <w:r w:rsidRPr="00C76A02">
        <w:rPr>
          <w:color w:val="000000"/>
          <w:szCs w:val="22"/>
          <w:lang w:val="is-IS"/>
        </w:rPr>
        <w:t xml:space="preserve"> L-ASP = L-asparaginase, PEG-ASP = PEG asparaginase, MESNA= 2-mercaptoethan-natriumsulfonat, iii= eller indtil MTX-niveauet er &lt;0,1 µM, Gy= Gray</w:t>
      </w:r>
    </w:p>
    <w:p w14:paraId="2C8FBE37" w14:textId="77777777" w:rsidR="00B7422A" w:rsidRPr="00C76A02" w:rsidRDefault="00B7422A" w:rsidP="00B7422A">
      <w:pPr>
        <w:pStyle w:val="Endnotentext"/>
        <w:rPr>
          <w:color w:val="000000"/>
          <w:szCs w:val="22"/>
          <w:lang w:val="is-IS"/>
        </w:rPr>
      </w:pPr>
    </w:p>
    <w:p w14:paraId="218119B3" w14:textId="77777777" w:rsidR="00B7422A" w:rsidRPr="00AA499E" w:rsidRDefault="00B7422A" w:rsidP="00B7422A">
      <w:pPr>
        <w:pStyle w:val="Endnotentext"/>
        <w:rPr>
          <w:color w:val="000000"/>
          <w:szCs w:val="22"/>
        </w:rPr>
      </w:pPr>
      <w:r w:rsidRPr="00AA499E">
        <w:rPr>
          <w:color w:val="000000"/>
          <w:szCs w:val="22"/>
        </w:rPr>
        <w:t>Studie AIT07 var et multicenter, åbent, randomiseret, fase II/III-studie, der inkluderede 128 patienter (1 til &lt;18 år), som fik behandling med imatinib i kombination med kemoterapi. Sikkerhedsdata fra dette studie synes at være i overensstemmelse med sikkersprofilen for imatinib hos Ph+ ALL-patienter.</w:t>
      </w:r>
    </w:p>
    <w:p w14:paraId="70C3BA12" w14:textId="77777777" w:rsidR="00B7422A" w:rsidRPr="00AA499E" w:rsidRDefault="00B7422A" w:rsidP="001A1B94">
      <w:pPr>
        <w:autoSpaceDE w:val="0"/>
        <w:autoSpaceDN w:val="0"/>
        <w:adjustRightInd w:val="0"/>
        <w:spacing w:after="0" w:line="240" w:lineRule="auto"/>
        <w:rPr>
          <w:rFonts w:ascii="Times New Roman" w:hAnsi="Times New Roman"/>
          <w:i/>
          <w:iCs/>
          <w:lang w:val="da-DK"/>
        </w:rPr>
      </w:pPr>
    </w:p>
    <w:p w14:paraId="1FC640C6"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 xml:space="preserve">Recidiverendet/refraktær Ph+ ALL: </w:t>
      </w:r>
      <w:r w:rsidRPr="00AA499E">
        <w:rPr>
          <w:rFonts w:ascii="Times New Roman" w:hAnsi="Times New Roman"/>
          <w:lang w:val="da-DK"/>
        </w:rPr>
        <w:t>Da imatinib blev brugt som enkeltstofbehandling ved recidiverende/refraktær Ph+ ALL var resultatet hos 53 ud af 411 evaluerbare patienter en hæmatologisk responsrate på 30% (9% komplet) og en væsentlig cytogenetisk responsrate på 23%. (Det skal bemærkes, at af de 411 patienter blev 353 behandlet i et program med udvidet adgang til behandling uden indsamling af primære responsdata). Mediantid før progression varierede i den samlede population af 411 patienter med recidiverende/refraktær Ph+ ALL fra 2,6 til 3,1 måned, og median for samlet overlevelse hos de 401 evaluerbare patienter varierede fra 4,9 til 9 måneder. Der blev opnået samme data ved reanalyse med inklusion kun af patienter i en alder af over 55 år.</w:t>
      </w:r>
    </w:p>
    <w:p w14:paraId="13AFA5B4" w14:textId="77777777" w:rsidR="001A1B94" w:rsidRPr="00AA499E" w:rsidRDefault="001A1B94" w:rsidP="001A1B94">
      <w:pPr>
        <w:autoSpaceDE w:val="0"/>
        <w:autoSpaceDN w:val="0"/>
        <w:adjustRightInd w:val="0"/>
        <w:spacing w:after="0" w:line="240" w:lineRule="auto"/>
        <w:rPr>
          <w:rFonts w:ascii="Times New Roman" w:hAnsi="Times New Roman"/>
          <w:lang w:val="da-DK"/>
        </w:rPr>
      </w:pPr>
    </w:p>
    <w:p w14:paraId="54749F97" w14:textId="77777777" w:rsidR="001A1B94" w:rsidRPr="00AA499E" w:rsidRDefault="001A1B94" w:rsidP="001A1B94">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Kliniske undersøgelser vedrørende MDS/MPD </w:t>
      </w:r>
    </w:p>
    <w:p w14:paraId="191B3C59" w14:textId="77777777" w:rsidR="00D92452"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Der er meget begrænset erfaring med imatinib ved denne indikation, og den er baseret på hæmatologiske og cytogenetiske responsrater. Der er ingen kontrollerede undersøgelser, der påviser klinisk gavn eller øget overlevelse. Der er udført et åbent multicenter, klinisk fase II-studie (studie B2225) med henblik på </w:t>
      </w:r>
      <w:r w:rsidRPr="00AA499E">
        <w:rPr>
          <w:rFonts w:ascii="Times New Roman" w:hAnsi="Times New Roman"/>
          <w:lang w:val="da-DK"/>
        </w:rPr>
        <w:lastRenderedPageBreak/>
        <w:t xml:space="preserve">vurdering af imatinib i en blandet patientpopulation med livstruende sygdomme forbundet med Abl, Kit eller PDGFR protein-tyrosinkinaser. I dette studie indgik 7 patienter med MDS/MPD, som blev behandlet med 400 mg imatinib daglig. Tre patienter viste komplet hæmatologisk respons (CHR) og en patient viste partiel hæmatologisk respons (PHR). På tidspunktet for den oprindelige analyse, havde 3 af 4 patienter med konstateret PDGFR-omlejring opnået hæmatologisk respons (2 CHR og 1 PHR). Disse patienters alder varierede fra 20 til 72 år. </w:t>
      </w:r>
    </w:p>
    <w:p w14:paraId="44E6E9AA" w14:textId="77777777" w:rsidR="00D92452" w:rsidRPr="00AA499E" w:rsidRDefault="00D92452" w:rsidP="001A1B94">
      <w:pPr>
        <w:autoSpaceDE w:val="0"/>
        <w:autoSpaceDN w:val="0"/>
        <w:adjustRightInd w:val="0"/>
        <w:spacing w:after="0" w:line="240" w:lineRule="auto"/>
        <w:rPr>
          <w:rFonts w:ascii="Times New Roman" w:hAnsi="Times New Roman"/>
          <w:lang w:val="da-DK"/>
        </w:rPr>
      </w:pPr>
    </w:p>
    <w:p w14:paraId="699EF599" w14:textId="77777777" w:rsidR="00D92452" w:rsidRPr="00AA499E" w:rsidRDefault="00D92452"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Et observationelt registerstudie (studie L2401) blev udført for at indsamle langsigtede sikkerheds- og effektdata for patienter, som lider af myeloproliferative neoplasier med PDGFR- β rearrangement og som blev behandlet med imatinib. De 23 patienter som var inkluderet i registerstudiet, fik imatinib med en daglig mediandosis på 264 mg (dosisområde: 100 til 400 mg) med en median varighed på 7,2 år (behandlingstid 0,1 til 12,7 år). På grund af studiets observationelle karakter var data for hæmatologisk, cytogenetisk og molekylær vurdering tilgængelige for henholdvis 22, 9 og 17 af de 23 inkluderede patienter. Ved en konservativ antagelse af at patienter med manglende data er ikke-respondenter, blev CHR observeret hos 20/23 (87 %), CCyR hos 9/23 (39,1 %) og MR hos 11/23 (47,8 %) af patienterne. Hvis responsraten beregnes ud fra patienter med mindst en valid parametervurdering er reponsraten for CHR, CCyr og MR henholdvis 20/22 (90,9 %), 9/9 (100 %) og 11/17 (64,7 %).</w:t>
      </w:r>
    </w:p>
    <w:p w14:paraId="1240DC6E" w14:textId="77777777" w:rsidR="00D92452" w:rsidRPr="00AA499E" w:rsidRDefault="00D92452" w:rsidP="001A1B94">
      <w:pPr>
        <w:autoSpaceDE w:val="0"/>
        <w:autoSpaceDN w:val="0"/>
        <w:adjustRightInd w:val="0"/>
        <w:spacing w:after="0" w:line="240" w:lineRule="auto"/>
        <w:rPr>
          <w:rFonts w:ascii="Times New Roman" w:hAnsi="Times New Roman"/>
          <w:lang w:val="da-DK"/>
        </w:rPr>
      </w:pPr>
    </w:p>
    <w:p w14:paraId="5D552660"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Derudover er yderligere 24 patienter med MDS/MPD beskrevet i 13 publikationer. 21 patienter blev behandlet med 400 mg imatinib daglig, mens 3 patienter fik en lavere dosis. Der blev set PDGFR-omlejring hos 11 patienter, 9 af disse opnåede CHR og 1 PHR. Alderen hos disse patienter varierede fra 2 til 79 år. Opdaterede oplysninger om 6 af disse 11 patienter, som er publiceret for nylig, viste, at alle disse patienter forblev i cytogenetisk remission ( 32-38 måneder). Der var i samme publikation oplysning om længere varende opfølgningsdata fra 12 MDS/MPD-patienter med PDGFR-omlejring (5 patienter fra studie B2225). Disse patienter fik imatinib i en periode varierende mellem 24 dage og 60 måneder (median 47 måneder). Seks af disse patienter er nu fulgt i mere end 4 år. Elleve patienter opnåede hurtig CHR; hos 10 patienter var cytogenetiske abnormaliteter svundet fuldstændig og der sås mindskning eller forsvinden af fusion-transcripts målt med RT-PCR. Hæmatologisk og cytogenetisk respons er bibeholdt i en periode varende fra henholdsvis 19-60 måneder (median 49 måneder) og 16-59 måneder (median 47 måneder). Den generelle overlevelse er 65 måneder, når diagnosen er stillet (varierende mellem 25-234 måneder. Der ses generelt ingen bedring ved indgift af imatinib til patienter uden genetisk translokation.</w:t>
      </w:r>
    </w:p>
    <w:p w14:paraId="26AE167B" w14:textId="77777777" w:rsidR="001A1B94" w:rsidRPr="00AA499E" w:rsidRDefault="001A1B94" w:rsidP="001A1B94">
      <w:pPr>
        <w:autoSpaceDE w:val="0"/>
        <w:autoSpaceDN w:val="0"/>
        <w:adjustRightInd w:val="0"/>
        <w:spacing w:after="0" w:line="240" w:lineRule="auto"/>
        <w:rPr>
          <w:rFonts w:ascii="Times New Roman" w:hAnsi="Times New Roman"/>
          <w:lang w:val="da-DK"/>
        </w:rPr>
      </w:pPr>
    </w:p>
    <w:p w14:paraId="7FA12BD8"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ingen kontrollerede forsøg med pædiatriske patienter med MDS/MPD. I fire publikationer var der rapporteret om fem (5) patienter med MDS/MPD forbundet med PDGFR-omlejring. Alderen på disse patienter rangerede fra 3 måneder til 4 år, og imatinib blev givet i en dosis på 50 mg dagligt eller doser, der lå i intervallet fra 92,5 til 340 mg/m2 dagligt. Alle patienter opnåede komplet hæmatologisk respons, cytogenetisk repons og/eller klinisk respons.</w:t>
      </w:r>
    </w:p>
    <w:p w14:paraId="651C0264" w14:textId="77777777" w:rsidR="00573F2B" w:rsidRPr="00AA499E" w:rsidRDefault="00573F2B">
      <w:pPr>
        <w:autoSpaceDE w:val="0"/>
        <w:autoSpaceDN w:val="0"/>
        <w:adjustRightInd w:val="0"/>
        <w:spacing w:after="0" w:line="240" w:lineRule="auto"/>
        <w:rPr>
          <w:rFonts w:ascii="Times New Roman" w:hAnsi="Times New Roman"/>
          <w:lang w:val="da-DK"/>
        </w:rPr>
      </w:pPr>
    </w:p>
    <w:p w14:paraId="7E949928" w14:textId="77777777" w:rsidR="001A1B94" w:rsidRPr="00AA499E" w:rsidRDefault="001A1B94" w:rsidP="001A1B94">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Kliniske undersøgelser vedrørende HES/CEL </w:t>
      </w:r>
    </w:p>
    <w:p w14:paraId="25C483C7"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Der er udført en åben, multicenter fase II-undersøgelse (studie B2225) med henblik på at vurdere imatinib hos en blandet patientpopulation med livstruende sygdomme forbundet med Abl-, Kit- eller PDGFR-proteintyrosinkinaser. I dette studie blev 14 patienter med HES/CEL behandlet med 100 mg - 1.000 mg imatinib daglig. Yderligere er 162 patienter med HES/CEL i alderen 11 til 78 år omtalt i 35 publicerede kasuistikker og behandlingsserier. De blev behandlet med imatinib i doser fra 75 mg til 800 mg daglig. Cytogenetiske abnormiteter blev evalueret hos 117 af hele populationen på 176 behandlede patienter. Af disse 117 patienter var 61 positive for FIP1L1-PDGFRα fusionkinase. Yderligere 4 HES patienter blev fundet FIP1L1-PDGFRα positive i 3 andre publicerede kasuistikker. Alle 65 FIP1L1-PDGFRα fusionkinase-positive patienter opnåede CHR, som vedvarede i måneder (varighed fra 1+ til 44+ måneder censureret på opgørelsestidpunktet). Som beskrevet i en nylig publikation opnåede 21 af disse 65 patienter også komplet molekylær remission med en median opfølgningstid på 28 måneder (varierende fra 13-67 </w:t>
      </w:r>
      <w:r w:rsidRPr="00AA499E">
        <w:rPr>
          <w:rFonts w:ascii="Times New Roman" w:hAnsi="Times New Roman"/>
          <w:lang w:val="da-DK"/>
        </w:rPr>
        <w:lastRenderedPageBreak/>
        <w:t>måneder). Patienternes alder varierede fra 25 til 72 år. Derudover angav investigatorene symptomatisk bedring af andre organdysfunktioner i kasuistikkerne. Bedring blev rapportert for: hjerte, nervesystem, hud/subkutant væv, respiratoriske/ thorakale/ mediastinale, muskuloskeletale/bindevævs/kar og gastroentestinale organsystemer.</w:t>
      </w:r>
    </w:p>
    <w:p w14:paraId="7F0020A9" w14:textId="77777777" w:rsidR="001A1B94" w:rsidRPr="00AA499E" w:rsidRDefault="001A1B94" w:rsidP="001A1B94">
      <w:pPr>
        <w:autoSpaceDE w:val="0"/>
        <w:autoSpaceDN w:val="0"/>
        <w:adjustRightInd w:val="0"/>
        <w:spacing w:after="0" w:line="240" w:lineRule="auto"/>
        <w:rPr>
          <w:rFonts w:ascii="Times New Roman" w:hAnsi="Times New Roman"/>
          <w:lang w:val="da-DK"/>
        </w:rPr>
      </w:pPr>
    </w:p>
    <w:p w14:paraId="42F1FC83"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ingen kontrollerede forsøg med pædiatriske patienter med HES/CEL. I tre publikationer var der rapporteret om tre (3) patienter med HES og CEL forbundet med PDGFR-omlejring. Alderen på disse patienter rangerede fra 2 til 16 år, og imatinib blev givet i en dosis på 300 mg/m</w:t>
      </w:r>
      <w:r w:rsidRPr="00AA499E">
        <w:rPr>
          <w:rFonts w:ascii="Times New Roman" w:hAnsi="Times New Roman"/>
          <w:vertAlign w:val="superscript"/>
          <w:lang w:val="da-DK"/>
        </w:rPr>
        <w:t>2</w:t>
      </w:r>
      <w:r w:rsidRPr="00AA499E">
        <w:rPr>
          <w:rFonts w:ascii="Times New Roman" w:hAnsi="Times New Roman"/>
          <w:lang w:val="da-DK"/>
        </w:rPr>
        <w:t xml:space="preserve"> dagligt eller doser, der lå i intervallet fra 200 til 400 mg dagligt. Alle patienter opnåede komplet hæmatologisk respons, komplet cytogenetisk repons og/eller komplet molekylært respons.</w:t>
      </w:r>
    </w:p>
    <w:p w14:paraId="58711703" w14:textId="77777777" w:rsidR="001A1B94" w:rsidRPr="00AA499E" w:rsidRDefault="001A1B94" w:rsidP="001A1B94">
      <w:pPr>
        <w:autoSpaceDE w:val="0"/>
        <w:autoSpaceDN w:val="0"/>
        <w:adjustRightInd w:val="0"/>
        <w:spacing w:after="0" w:line="240" w:lineRule="auto"/>
        <w:rPr>
          <w:rFonts w:ascii="Times New Roman" w:hAnsi="Times New Roman"/>
          <w:lang w:val="da-DK"/>
        </w:rPr>
      </w:pPr>
    </w:p>
    <w:p w14:paraId="058CBDBD" w14:textId="77777777" w:rsidR="001A1B94" w:rsidRPr="00AA499E" w:rsidRDefault="001A1B94" w:rsidP="001A1B94">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Kliniske studier ved DFSP </w:t>
      </w:r>
    </w:p>
    <w:p w14:paraId="0357A181"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Der er udført et åbent multicenter fase II-klinisk forsøg (studie B2225) med inklusion af 12 patienter med DFSP, som blev behandlet med imatinib 800 mg daglig. Alderen hos patienterne med DFSP varierede fra 23 til 75 år; DFSP var på tidspunktet for inklusion i studiet metastaseret, recidiveret lokalt efter initial resektionskirurgi og vurderet som ikke modtagelig for yderligere resekterende kirurgi. Det primære bevis for effekt var baseret på onjektive responsrater. Af de 12 inkluderede patienter responderede 9, en komplet og 8 partielt. Tre af de partielt responderende blev sygdomsfri efter kirurgi. Den mediane varighed af behandlingen i studie B2225 var 6,2 måneder med en maksimum varighed på 24,3 måneder. Yderligere seks patienter, behandlet med imatinib, er blevet beskrevet i 5 publicerede kasuistikker, alderen varierede fra 18 måneder til 49 år. De voksne patienter, som er beskrevet i publiceret litteratur blev behandlet med enten 400 mg (fire tilfælde) eller 800 mg (et tilfælde) imatinib daglig. Fem (5) patienter responderede, 3 komplet og 2 partielt. Den mediane behandlingsvarighed i publiceret litteratur varierede mellem 4 uger og mere end 20 måneder. Translokationen t(17:22) [(q22:q13)], eller dets gen-produkt, var til stede i næsten alle respons på imatinib-behandling. </w:t>
      </w:r>
    </w:p>
    <w:p w14:paraId="53DB7AEC" w14:textId="77777777" w:rsidR="001A1B94" w:rsidRPr="00AA499E" w:rsidRDefault="001A1B94" w:rsidP="001A1B94">
      <w:pPr>
        <w:autoSpaceDE w:val="0"/>
        <w:autoSpaceDN w:val="0"/>
        <w:adjustRightInd w:val="0"/>
        <w:spacing w:after="0" w:line="240" w:lineRule="auto"/>
        <w:rPr>
          <w:rFonts w:ascii="Times New Roman" w:hAnsi="Times New Roman"/>
          <w:lang w:val="da-DK"/>
        </w:rPr>
      </w:pPr>
    </w:p>
    <w:p w14:paraId="26079E41"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er ingen kontrollerede forsøg med pædiatriske patienter med DFSP. I tre publikationer var der rapporteret om fem (5) patienter med DFSP og PDGFR-omlejringer. Alderen på disse patienter rangerede fra nyfødt til 14 år, og imatinib blev givet i en dosis på 50 mg dagligt eller doser, der lå i intervallet fra 400 til 520 mg/m</w:t>
      </w:r>
      <w:r w:rsidRPr="00AA499E">
        <w:rPr>
          <w:rFonts w:ascii="Times New Roman" w:hAnsi="Times New Roman"/>
          <w:vertAlign w:val="superscript"/>
          <w:lang w:val="da-DK"/>
        </w:rPr>
        <w:t>2</w:t>
      </w:r>
      <w:r w:rsidRPr="00AA499E">
        <w:rPr>
          <w:rFonts w:ascii="Times New Roman" w:hAnsi="Times New Roman"/>
          <w:lang w:val="da-DK"/>
        </w:rPr>
        <w:t xml:space="preserve"> dagligt. Alle patienter opnåede delvist og/eller komplet respons.</w:t>
      </w:r>
    </w:p>
    <w:p w14:paraId="0D4EFA62" w14:textId="77777777" w:rsidR="006478AD" w:rsidRPr="00AA499E" w:rsidRDefault="006478AD">
      <w:pPr>
        <w:autoSpaceDE w:val="0"/>
        <w:autoSpaceDN w:val="0"/>
        <w:adjustRightInd w:val="0"/>
        <w:spacing w:after="0" w:line="240" w:lineRule="auto"/>
        <w:rPr>
          <w:rFonts w:ascii="Times New Roman" w:hAnsi="Times New Roman"/>
          <w:lang w:val="da-DK"/>
        </w:rPr>
      </w:pPr>
    </w:p>
    <w:p w14:paraId="29E8421E"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5.2</w:t>
      </w:r>
      <w:r w:rsidRPr="00AA499E">
        <w:rPr>
          <w:rFonts w:ascii="Times New Roman" w:hAnsi="Times New Roman"/>
          <w:b/>
          <w:bCs/>
          <w:lang w:val="da-DK"/>
        </w:rPr>
        <w:tab/>
        <w:t>Farmakokinetiske egenskaber</w:t>
      </w:r>
    </w:p>
    <w:p w14:paraId="4E3D3B6F" w14:textId="77777777" w:rsidR="006478AD" w:rsidRPr="00AA499E" w:rsidRDefault="006478AD">
      <w:pPr>
        <w:autoSpaceDE w:val="0"/>
        <w:autoSpaceDN w:val="0"/>
        <w:adjustRightInd w:val="0"/>
        <w:spacing w:after="0" w:line="240" w:lineRule="auto"/>
        <w:rPr>
          <w:rFonts w:ascii="Times New Roman" w:hAnsi="Times New Roman"/>
          <w:lang w:val="da-DK"/>
        </w:rPr>
      </w:pPr>
    </w:p>
    <w:p w14:paraId="1E1DF68E"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Imatinibs farmakokinetik</w:t>
      </w:r>
    </w:p>
    <w:p w14:paraId="7E88684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farmakokinetik er evalueret i dosisintervallet: 25–1.000 mg. Plasmafarmakokinetiske profiler blev analyseret på dag 1 og på enten dag 7 eller dag 28, hvor plasmakoncentrationerne havde nået steady-state.</w:t>
      </w:r>
    </w:p>
    <w:p w14:paraId="5215123B" w14:textId="77777777" w:rsidR="006478AD" w:rsidRPr="00AA499E" w:rsidRDefault="006478AD">
      <w:pPr>
        <w:autoSpaceDE w:val="0"/>
        <w:autoSpaceDN w:val="0"/>
        <w:adjustRightInd w:val="0"/>
        <w:spacing w:after="0" w:line="240" w:lineRule="auto"/>
        <w:rPr>
          <w:rFonts w:ascii="Times New Roman" w:hAnsi="Times New Roman"/>
          <w:lang w:val="da-DK"/>
        </w:rPr>
      </w:pPr>
    </w:p>
    <w:p w14:paraId="0D694252"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Absorption</w:t>
      </w:r>
    </w:p>
    <w:p w14:paraId="1A21F1F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Den gennemsnitlige absolutte biotilgængelighed for kapselformuleringen er 98 %. Der var stor variabilitet patienterne i mellem i plasmaimatinib AUC efter en oral dosis. Når imatinib indtages i forbindelse med et måltid med høj fedtprocent, reduceres absorptionen af imatinib minimalt (11 %’s fald i C</w:t>
      </w:r>
      <w:r w:rsidRPr="00AA499E">
        <w:rPr>
          <w:rFonts w:ascii="Times New Roman" w:hAnsi="Times New Roman"/>
          <w:vertAlign w:val="subscript"/>
          <w:lang w:val="da-DK"/>
        </w:rPr>
        <w:t>max</w:t>
      </w:r>
      <w:r w:rsidRPr="00AA499E">
        <w:rPr>
          <w:rFonts w:ascii="Times New Roman" w:hAnsi="Times New Roman"/>
          <w:lang w:val="da-DK"/>
        </w:rPr>
        <w:t xml:space="preserve"> og forlængelse af t</w:t>
      </w:r>
      <w:r w:rsidRPr="00AA499E">
        <w:rPr>
          <w:rFonts w:ascii="Times New Roman" w:hAnsi="Times New Roman"/>
          <w:vertAlign w:val="subscript"/>
          <w:lang w:val="da-DK"/>
        </w:rPr>
        <w:t>max</w:t>
      </w:r>
      <w:r w:rsidRPr="00AA499E">
        <w:rPr>
          <w:rFonts w:ascii="Times New Roman" w:hAnsi="Times New Roman"/>
          <w:lang w:val="da-DK"/>
        </w:rPr>
        <w:t xml:space="preserve"> med 1,5 time), med et lille fald i AUC (7,4 %) sammenlignet med fastende. Tidligere gastrointestinale indgrebs påvirkning af lægemiddelabsorptionen er ikke undersøgt.</w:t>
      </w:r>
    </w:p>
    <w:p w14:paraId="234BA68F" w14:textId="77777777" w:rsidR="006478AD" w:rsidRPr="00AA499E" w:rsidRDefault="006478AD">
      <w:pPr>
        <w:autoSpaceDE w:val="0"/>
        <w:autoSpaceDN w:val="0"/>
        <w:adjustRightInd w:val="0"/>
        <w:spacing w:after="0" w:line="240" w:lineRule="auto"/>
        <w:rPr>
          <w:rFonts w:ascii="Times New Roman" w:hAnsi="Times New Roman"/>
          <w:lang w:val="da-DK"/>
        </w:rPr>
      </w:pPr>
    </w:p>
    <w:p w14:paraId="28418707" w14:textId="77777777" w:rsidR="006478AD" w:rsidRPr="00AA499E" w:rsidRDefault="00992498">
      <w:pPr>
        <w:autoSpaceDE w:val="0"/>
        <w:autoSpaceDN w:val="0"/>
        <w:adjustRightInd w:val="0"/>
        <w:spacing w:after="0" w:line="240" w:lineRule="auto"/>
        <w:rPr>
          <w:rFonts w:ascii="Times New Roman" w:hAnsi="Times New Roman"/>
          <w:lang w:val="da-DK"/>
        </w:rPr>
      </w:pPr>
      <w:r w:rsidRPr="00AA499E">
        <w:rPr>
          <w:rFonts w:ascii="Times New Roman" w:hAnsi="Times New Roman"/>
          <w:u w:val="single"/>
          <w:lang w:val="da-DK"/>
        </w:rPr>
        <w:t>Fordeling</w:t>
      </w:r>
      <w:r w:rsidRPr="00AA499E" w:rsidDel="00992498">
        <w:rPr>
          <w:rFonts w:ascii="Times New Roman" w:hAnsi="Times New Roman"/>
          <w:u w:val="single"/>
          <w:lang w:val="da-DK"/>
        </w:rPr>
        <w:t xml:space="preserve"> </w:t>
      </w:r>
      <w:r w:rsidR="00616F3C" w:rsidRPr="00AA499E">
        <w:rPr>
          <w:rFonts w:ascii="Times New Roman" w:hAnsi="Times New Roman"/>
          <w:lang w:val="da-DK"/>
        </w:rPr>
        <w:t xml:space="preserve">Baseret på </w:t>
      </w:r>
      <w:r w:rsidR="00616F3C" w:rsidRPr="00AA499E">
        <w:rPr>
          <w:rFonts w:ascii="Times New Roman" w:hAnsi="Times New Roman"/>
          <w:i/>
          <w:iCs/>
          <w:lang w:val="da-DK"/>
        </w:rPr>
        <w:t xml:space="preserve">in vitro </w:t>
      </w:r>
      <w:r w:rsidR="00616F3C" w:rsidRPr="00AA499E">
        <w:rPr>
          <w:rFonts w:ascii="Times New Roman" w:hAnsi="Times New Roman"/>
          <w:lang w:val="da-DK"/>
        </w:rPr>
        <w:t>undersøgelser, bindes, ved kliniske relevante koncentrationer af imatinib, ca. 95 % til plasmaproteiner, hovedsagelig albumin og alfa-syre-glycoprotein, med en mindre binding til lipoproteiner.</w:t>
      </w:r>
    </w:p>
    <w:p w14:paraId="74E5F187" w14:textId="77777777" w:rsidR="006478AD" w:rsidRPr="00AA499E" w:rsidRDefault="006478AD">
      <w:pPr>
        <w:autoSpaceDE w:val="0"/>
        <w:autoSpaceDN w:val="0"/>
        <w:adjustRightInd w:val="0"/>
        <w:spacing w:after="0" w:line="240" w:lineRule="auto"/>
        <w:rPr>
          <w:rFonts w:ascii="Times New Roman" w:hAnsi="Times New Roman"/>
          <w:lang w:val="da-DK"/>
        </w:rPr>
      </w:pPr>
    </w:p>
    <w:p w14:paraId="346FCE04"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Biotransformation</w:t>
      </w:r>
    </w:p>
    <w:p w14:paraId="403F409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 xml:space="preserve">Den cirkulerende hovedmetabolit i mennesker er N-demethyl-piperazinderivatet, som udviser samme potens </w:t>
      </w:r>
      <w:r w:rsidRPr="00AA499E">
        <w:rPr>
          <w:rFonts w:ascii="Times New Roman" w:hAnsi="Times New Roman"/>
          <w:i/>
          <w:iCs/>
          <w:lang w:val="da-DK"/>
        </w:rPr>
        <w:t xml:space="preserve">in vitro </w:t>
      </w:r>
      <w:r w:rsidRPr="00AA499E">
        <w:rPr>
          <w:rFonts w:ascii="Times New Roman" w:hAnsi="Times New Roman"/>
          <w:lang w:val="da-DK"/>
        </w:rPr>
        <w:t>som det stof, den er afledt af. Plasma AUC for denne metabolit blev kun fundet at være 16 % af AUC for imatinib. Plasmaproteinbindingen af den N-demethylerede metabolit er sammenlignlig med den for hovedkomponenten.</w:t>
      </w:r>
    </w:p>
    <w:p w14:paraId="559E22EB" w14:textId="77777777" w:rsidR="006478AD" w:rsidRPr="00AA499E" w:rsidRDefault="006478AD">
      <w:pPr>
        <w:autoSpaceDE w:val="0"/>
        <w:autoSpaceDN w:val="0"/>
        <w:adjustRightInd w:val="0"/>
        <w:spacing w:after="0" w:line="240" w:lineRule="auto"/>
        <w:rPr>
          <w:rFonts w:ascii="Times New Roman" w:hAnsi="Times New Roman"/>
          <w:lang w:val="da-DK"/>
        </w:rPr>
      </w:pPr>
    </w:p>
    <w:p w14:paraId="2EAE7C7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og N-demethylmetabolitten udgjorde tilsammen ca. 65 % af den cirkulerende radioaktivitet (AUC</w:t>
      </w:r>
      <w:r w:rsidRPr="00AA499E">
        <w:rPr>
          <w:rFonts w:ascii="Times New Roman" w:hAnsi="Times New Roman"/>
          <w:vertAlign w:val="subscript"/>
          <w:lang w:val="da-DK"/>
        </w:rPr>
        <w:t>(0-48h)</w:t>
      </w:r>
      <w:r w:rsidRPr="00AA499E">
        <w:rPr>
          <w:rFonts w:ascii="Times New Roman" w:hAnsi="Times New Roman"/>
          <w:lang w:val="da-DK"/>
        </w:rPr>
        <w:t>). Den resterende cirkulerende radioaktivitet bestod af en række mindre metabolitter.</w:t>
      </w:r>
    </w:p>
    <w:p w14:paraId="76E8EA8B" w14:textId="77777777" w:rsidR="006478AD" w:rsidRPr="00AA499E" w:rsidRDefault="006478AD">
      <w:pPr>
        <w:autoSpaceDE w:val="0"/>
        <w:autoSpaceDN w:val="0"/>
        <w:adjustRightInd w:val="0"/>
        <w:spacing w:after="0" w:line="240" w:lineRule="auto"/>
        <w:rPr>
          <w:rFonts w:ascii="Times New Roman" w:hAnsi="Times New Roman"/>
          <w:lang w:val="da-DK"/>
        </w:rPr>
      </w:pPr>
    </w:p>
    <w:p w14:paraId="607ABB2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i/>
          <w:iCs/>
          <w:lang w:val="da-DK"/>
        </w:rPr>
        <w:t xml:space="preserve">In vitro </w:t>
      </w:r>
      <w:r w:rsidRPr="00AA499E">
        <w:rPr>
          <w:rFonts w:ascii="Times New Roman" w:hAnsi="Times New Roman"/>
          <w:lang w:val="da-DK"/>
        </w:rPr>
        <w:t>resultater viste, at CYP3A4 var det primære P450 enzym i katalyseringen af biotransformationen af imatinib. Af en række potentielle samtidigt administrerede lægemidler (acetaminophen, acicolvir, allopurinol, amphotericin, cytarabin, erythromycin, fluconazole, hydroxyurea, norfloxacin, penicillin V) viste kun erythromycin (IC</w:t>
      </w:r>
      <w:r w:rsidRPr="00AA499E">
        <w:rPr>
          <w:rFonts w:ascii="Times New Roman" w:hAnsi="Times New Roman"/>
          <w:vertAlign w:val="subscript"/>
          <w:lang w:val="da-DK"/>
        </w:rPr>
        <w:t>50</w:t>
      </w:r>
      <w:r w:rsidRPr="00AA499E">
        <w:rPr>
          <w:rFonts w:ascii="Times New Roman" w:hAnsi="Times New Roman"/>
          <w:lang w:val="da-DK"/>
        </w:rPr>
        <w:t xml:space="preserve"> 50 µM) og fluconazol (IC</w:t>
      </w:r>
      <w:r w:rsidRPr="00AA499E">
        <w:rPr>
          <w:rFonts w:ascii="Times New Roman" w:hAnsi="Times New Roman"/>
          <w:vertAlign w:val="subscript"/>
          <w:lang w:val="da-DK"/>
        </w:rPr>
        <w:t>50</w:t>
      </w:r>
      <w:r w:rsidRPr="00AA499E">
        <w:rPr>
          <w:rFonts w:ascii="Times New Roman" w:hAnsi="Times New Roman"/>
          <w:lang w:val="da-DK"/>
        </w:rPr>
        <w:t> 118 μm) hæmning af imatinib-metabolismen i et omfang der kunne have klinisk betydning.</w:t>
      </w:r>
    </w:p>
    <w:p w14:paraId="5F69925D" w14:textId="77777777" w:rsidR="006478AD" w:rsidRPr="00AA499E" w:rsidRDefault="006478AD">
      <w:pPr>
        <w:autoSpaceDE w:val="0"/>
        <w:autoSpaceDN w:val="0"/>
        <w:adjustRightInd w:val="0"/>
        <w:spacing w:after="0" w:line="240" w:lineRule="auto"/>
        <w:rPr>
          <w:rFonts w:ascii="Times New Roman" w:hAnsi="Times New Roman"/>
          <w:lang w:val="da-DK"/>
        </w:rPr>
      </w:pPr>
    </w:p>
    <w:p w14:paraId="7020EE8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 blev </w:t>
      </w:r>
      <w:r w:rsidRPr="00AA499E">
        <w:rPr>
          <w:rFonts w:ascii="Times New Roman" w:hAnsi="Times New Roman"/>
          <w:i/>
          <w:iCs/>
          <w:lang w:val="da-DK"/>
        </w:rPr>
        <w:t xml:space="preserve">in vitro </w:t>
      </w:r>
      <w:r w:rsidRPr="00AA499E">
        <w:rPr>
          <w:rFonts w:ascii="Times New Roman" w:hAnsi="Times New Roman"/>
          <w:lang w:val="da-DK"/>
        </w:rPr>
        <w:t>vist at være en kompetitiv hæmmer af markørsubstrater for CYP2C9, CYP2D6 og CYP3A4/5. K</w:t>
      </w:r>
      <w:r w:rsidRPr="00AA499E">
        <w:rPr>
          <w:rFonts w:ascii="Times New Roman" w:hAnsi="Times New Roman"/>
          <w:vertAlign w:val="subscript"/>
          <w:lang w:val="da-DK"/>
        </w:rPr>
        <w:t>i</w:t>
      </w:r>
      <w:r w:rsidRPr="00AA499E">
        <w:rPr>
          <w:rFonts w:ascii="Times New Roman" w:hAnsi="Times New Roman"/>
          <w:lang w:val="da-DK"/>
        </w:rPr>
        <w:t xml:space="preserve"> værdier i humane levermikrosomer var henholdsvis 27; 7,5 og 7,9 μmol/l. Maksimale plasmakoncentrationer af imatinib er hos patienter 2–4 μmol/l, og hæmning af CYP2D6 og/eller CYP3A4/5-medieret metabolisme af samtidigt administrerede lægemidler er derfor mulig. Imatinib interfererede ikke med biotransformationen af 5-fluorouracil, men hæmmede paclitaxelmetabolismen på grund af kompetitiv hæmning af CYP2C8 ((K</w:t>
      </w:r>
      <w:r w:rsidRPr="00AA499E">
        <w:rPr>
          <w:rFonts w:ascii="Times New Roman" w:hAnsi="Times New Roman"/>
          <w:vertAlign w:val="subscript"/>
          <w:lang w:val="da-DK"/>
        </w:rPr>
        <w:t>i</w:t>
      </w:r>
      <w:r w:rsidRPr="00AA499E">
        <w:rPr>
          <w:rFonts w:ascii="Times New Roman" w:hAnsi="Times New Roman"/>
          <w:lang w:val="da-DK"/>
        </w:rPr>
        <w:t>  34,7 μm). Denne K</w:t>
      </w:r>
      <w:r w:rsidRPr="00AA499E">
        <w:rPr>
          <w:rFonts w:ascii="Times New Roman" w:hAnsi="Times New Roman"/>
          <w:vertAlign w:val="subscript"/>
          <w:lang w:val="da-DK"/>
        </w:rPr>
        <w:t>i</w:t>
      </w:r>
      <w:r w:rsidRPr="00AA499E">
        <w:rPr>
          <w:rFonts w:ascii="Times New Roman" w:hAnsi="Times New Roman"/>
          <w:lang w:val="da-DK"/>
        </w:rPr>
        <w:t xml:space="preserve"> værdi er langt højere end de forventede plasmaniveauer af imatinib hos patienter, og der forventes derfor ingen interaktion i forbindelse med samtidig administration af hverken 5-fluorouracil eller paclitaxel og imatinib.</w:t>
      </w:r>
    </w:p>
    <w:p w14:paraId="3A6B645F" w14:textId="77777777" w:rsidR="006478AD" w:rsidRPr="00AA499E" w:rsidRDefault="006478AD">
      <w:pPr>
        <w:autoSpaceDE w:val="0"/>
        <w:autoSpaceDN w:val="0"/>
        <w:adjustRightInd w:val="0"/>
        <w:spacing w:after="0" w:line="240" w:lineRule="auto"/>
        <w:rPr>
          <w:rFonts w:ascii="Times New Roman" w:hAnsi="Times New Roman"/>
          <w:lang w:val="da-DK"/>
        </w:rPr>
      </w:pPr>
    </w:p>
    <w:p w14:paraId="44F65452" w14:textId="77777777" w:rsidR="006478AD" w:rsidRPr="00AA499E" w:rsidRDefault="00616F3C">
      <w:pPr>
        <w:keepNext/>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Elimination</w:t>
      </w:r>
    </w:p>
    <w:p w14:paraId="390DB66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Baseret på fremkomne stof(fer) efter oral dosis af </w:t>
      </w:r>
      <w:r w:rsidRPr="00AA499E">
        <w:rPr>
          <w:rFonts w:ascii="Times New Roman" w:hAnsi="Times New Roman"/>
          <w:vertAlign w:val="superscript"/>
          <w:lang w:val="da-DK"/>
        </w:rPr>
        <w:t>14</w:t>
      </w:r>
      <w:r w:rsidRPr="00AA499E">
        <w:rPr>
          <w:rFonts w:ascii="Times New Roman" w:hAnsi="Times New Roman"/>
          <w:lang w:val="da-DK"/>
        </w:rPr>
        <w:t>-mærket imatinib, genfandtes ca. 81 % af dosis inden for 7 dage i fæces (68 % af dosis) og urin (13 % af dosis). Uomdannet imatinib er ansvarlig for ca. 25 % af dosis (5 % urin og 20 % fæces), resten er metabolitter.</w:t>
      </w:r>
    </w:p>
    <w:p w14:paraId="5E1AE3AE" w14:textId="77777777" w:rsidR="006478AD" w:rsidRPr="00AA499E" w:rsidRDefault="006478AD">
      <w:pPr>
        <w:autoSpaceDE w:val="0"/>
        <w:autoSpaceDN w:val="0"/>
        <w:adjustRightInd w:val="0"/>
        <w:spacing w:after="0" w:line="240" w:lineRule="auto"/>
        <w:rPr>
          <w:rFonts w:ascii="Times New Roman" w:hAnsi="Times New Roman"/>
          <w:lang w:val="da-DK"/>
        </w:rPr>
      </w:pPr>
    </w:p>
    <w:p w14:paraId="489D83BF"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Plasmafarmakokinetik</w:t>
      </w:r>
    </w:p>
    <w:p w14:paraId="5DD401B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Efter oral administration til raske frivillige var t</w:t>
      </w:r>
      <w:r w:rsidRPr="00AA499E">
        <w:rPr>
          <w:rFonts w:ascii="Times New Roman" w:hAnsi="Times New Roman"/>
          <w:vertAlign w:val="subscript"/>
          <w:lang w:val="da-DK"/>
        </w:rPr>
        <w:t xml:space="preserve">½ </w:t>
      </w:r>
      <w:r w:rsidRPr="00AA499E">
        <w:rPr>
          <w:rFonts w:ascii="Times New Roman" w:hAnsi="Times New Roman"/>
          <w:lang w:val="da-DK"/>
        </w:rPr>
        <w:t>ca. 18 timer, hvilket indikerer, at dosering 1 gang daglig er passende. Øgningen i gennemsnitlig AUC ved dosisøgning efter oral administration var lineær og dosisproportional i intervallet 25–1.000 mg imatinib. Der var ingen ændringer i imatinibs kinetik ved gentagen dosering, og akkumulering var 1,5–2,5 gange ved steady-state ved dosering 1 gang daglig.</w:t>
      </w:r>
    </w:p>
    <w:p w14:paraId="2951ABD5" w14:textId="77777777" w:rsidR="006478AD" w:rsidRPr="00AA499E" w:rsidRDefault="006478AD">
      <w:pPr>
        <w:autoSpaceDE w:val="0"/>
        <w:autoSpaceDN w:val="0"/>
        <w:adjustRightInd w:val="0"/>
        <w:spacing w:after="0" w:line="240" w:lineRule="auto"/>
        <w:rPr>
          <w:rFonts w:ascii="Times New Roman" w:hAnsi="Times New Roman"/>
          <w:lang w:val="da-DK"/>
        </w:rPr>
      </w:pPr>
    </w:p>
    <w:p w14:paraId="3D39DDA0"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Populationsfarmakokinetik</w:t>
      </w:r>
    </w:p>
    <w:p w14:paraId="6FF8156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Populationsfarmakokinetiske analyser hos CML-patienter har vist, at alder har en lille effekt på fordelingsvolumen (12 % stigning hos patienter &gt; 65 år). Denne ændring menes ikke at være klinisk signifikant. Kropsvægtens betydning for clearance af imatinib er således, at for patienter, der vejer 50 kg, forventes den gennemsnitlige clearance at være 8,5 l/t, mens den for patienter, der vejer 100 kg, vil stige til 11,8 l/t. Disse ændringer anses ikke for at være tilstrækkelige til at indføre dosisjusteringer på basis af kg kropsvægt. Køn har ingen betydning for imatinibs kinetik.</w:t>
      </w:r>
    </w:p>
    <w:p w14:paraId="1B59AE77" w14:textId="77777777" w:rsidR="006478AD" w:rsidRPr="00AA499E" w:rsidRDefault="006478AD">
      <w:pPr>
        <w:autoSpaceDE w:val="0"/>
        <w:autoSpaceDN w:val="0"/>
        <w:adjustRightInd w:val="0"/>
        <w:spacing w:after="0" w:line="240" w:lineRule="auto"/>
        <w:rPr>
          <w:rFonts w:ascii="Times New Roman" w:hAnsi="Times New Roman"/>
          <w:lang w:val="da-DK"/>
        </w:rPr>
      </w:pPr>
    </w:p>
    <w:p w14:paraId="5A86DEED"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 xml:space="preserve">Farmakokinetik </w:t>
      </w:r>
      <w:r w:rsidR="00FD2F62" w:rsidRPr="00AA499E">
        <w:rPr>
          <w:rFonts w:ascii="Times New Roman" w:hAnsi="Times New Roman"/>
          <w:u w:val="single"/>
          <w:lang w:val="da-DK"/>
        </w:rPr>
        <w:t>hos</w:t>
      </w:r>
      <w:r w:rsidR="00B7422A" w:rsidRPr="00AA499E">
        <w:rPr>
          <w:rFonts w:ascii="Times New Roman" w:hAnsi="Times New Roman"/>
          <w:u w:val="single"/>
          <w:lang w:val="da-DK"/>
        </w:rPr>
        <w:t xml:space="preserve"> den pædiatriske population</w:t>
      </w:r>
    </w:p>
    <w:p w14:paraId="0322FFD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Ligesom hos voksne absorberedes imatinib hurtigt hos pædiatriske patienter efter oral administration i både fase I- og fase II-undersøgelser. Doser på 260 og 340 mg/m</w:t>
      </w:r>
      <w:r w:rsidRPr="00AA499E">
        <w:rPr>
          <w:rFonts w:ascii="Times New Roman" w:hAnsi="Times New Roman"/>
          <w:vertAlign w:val="superscript"/>
          <w:lang w:val="da-DK"/>
        </w:rPr>
        <w:t>2</w:t>
      </w:r>
      <w:r w:rsidRPr="00AA499E">
        <w:rPr>
          <w:rFonts w:ascii="Times New Roman" w:hAnsi="Times New Roman"/>
          <w:lang w:val="da-DK"/>
        </w:rPr>
        <w:t>/dag til børn gav samme optagelse som doser på henholdsvis 400 mg og 600 mg til voksne. Sammenligningen af AUC</w:t>
      </w:r>
      <w:r w:rsidRPr="00AA499E">
        <w:rPr>
          <w:rFonts w:ascii="Times New Roman" w:hAnsi="Times New Roman"/>
          <w:vertAlign w:val="subscript"/>
          <w:lang w:val="da-DK"/>
        </w:rPr>
        <w:t>(0-24)</w:t>
      </w:r>
      <w:r w:rsidRPr="00AA499E">
        <w:rPr>
          <w:rFonts w:ascii="Times New Roman" w:hAnsi="Times New Roman"/>
          <w:lang w:val="da-DK"/>
        </w:rPr>
        <w:t xml:space="preserve"> på dag 8 og dag 1 ved 340 mg/m</w:t>
      </w:r>
      <w:r w:rsidRPr="00AA499E">
        <w:rPr>
          <w:rFonts w:ascii="Times New Roman" w:hAnsi="Times New Roman"/>
          <w:vertAlign w:val="superscript"/>
          <w:lang w:val="da-DK"/>
        </w:rPr>
        <w:t>2</w:t>
      </w:r>
      <w:r w:rsidRPr="00AA499E">
        <w:rPr>
          <w:rFonts w:ascii="Times New Roman" w:hAnsi="Times New Roman"/>
          <w:lang w:val="da-DK"/>
        </w:rPr>
        <w:t>/dag dosisniveauet viste en 1,7</w:t>
      </w:r>
      <w:r w:rsidR="000E26B2" w:rsidRPr="00AA499E">
        <w:rPr>
          <w:rFonts w:ascii="Times New Roman" w:hAnsi="Times New Roman"/>
          <w:lang w:val="da-DK"/>
        </w:rPr>
        <w:t> </w:t>
      </w:r>
      <w:r w:rsidRPr="00AA499E">
        <w:rPr>
          <w:rFonts w:ascii="Times New Roman" w:hAnsi="Times New Roman"/>
          <w:lang w:val="da-DK"/>
        </w:rPr>
        <w:t>gang højere lægemiddelakkumulering efter gentagen dosering, én gang daglig.</w:t>
      </w:r>
    </w:p>
    <w:p w14:paraId="70BCC6F8" w14:textId="77777777" w:rsidR="00B7422A" w:rsidRPr="00AA499E" w:rsidRDefault="00B7422A" w:rsidP="00B7422A">
      <w:pPr>
        <w:autoSpaceDE w:val="0"/>
        <w:autoSpaceDN w:val="0"/>
        <w:adjustRightInd w:val="0"/>
        <w:spacing w:after="0" w:line="240" w:lineRule="auto"/>
        <w:rPr>
          <w:rFonts w:ascii="Times New Roman" w:hAnsi="Times New Roman"/>
          <w:lang w:val="da-DK"/>
        </w:rPr>
      </w:pPr>
    </w:p>
    <w:p w14:paraId="152A1455" w14:textId="77777777" w:rsidR="00B7422A" w:rsidRPr="00AA499E" w:rsidRDefault="00B7422A" w:rsidP="00B7422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Baseret på den poolede farmakokinetiske populationsanalyse hos børn med hæmatologiske sygdomme (CML, Ph+ ALL eller andre hæmatologiske sygdomme behandlet med imatinib), stiger imatinib-clearance med stigende legemsoverflade. Efter korrigering for legemsoverflade-effekten havde andre demografiske faktorer som alder, kropsvægt og kropsmasseindeks (</w:t>
      </w:r>
      <w:r w:rsidRPr="00AA499E">
        <w:rPr>
          <w:rFonts w:ascii="Times New Roman" w:hAnsi="Times New Roman"/>
          <w:i/>
          <w:lang w:val="da-DK"/>
        </w:rPr>
        <w:t>body mass index</w:t>
      </w:r>
      <w:r w:rsidRPr="00AA499E">
        <w:rPr>
          <w:rFonts w:ascii="Times New Roman" w:hAnsi="Times New Roman"/>
          <w:lang w:val="da-DK"/>
        </w:rPr>
        <w:t>) ikke klinisk signifikant effekt på imatinib-eksponeringen. Analysen bekræftede, at imatinib-eksponeringen hos børn, som fik 260 mg/m</w:t>
      </w:r>
      <w:r w:rsidRPr="00AA499E">
        <w:rPr>
          <w:rFonts w:ascii="Times New Roman" w:hAnsi="Times New Roman"/>
          <w:vertAlign w:val="superscript"/>
          <w:lang w:val="da-DK"/>
        </w:rPr>
        <w:t>2</w:t>
      </w:r>
      <w:r w:rsidRPr="00AA499E">
        <w:rPr>
          <w:rFonts w:ascii="Times New Roman" w:hAnsi="Times New Roman"/>
          <w:lang w:val="da-DK"/>
        </w:rPr>
        <w:t xml:space="preserve"> en gang daglig (højst 400 mg en gang daglig) eller 340 mg/m</w:t>
      </w:r>
      <w:r w:rsidRPr="00AA499E">
        <w:rPr>
          <w:rFonts w:ascii="Times New Roman" w:hAnsi="Times New Roman"/>
          <w:vertAlign w:val="superscript"/>
          <w:lang w:val="da-DK"/>
        </w:rPr>
        <w:t>2</w:t>
      </w:r>
      <w:r w:rsidRPr="00AA499E">
        <w:rPr>
          <w:rFonts w:ascii="Times New Roman" w:hAnsi="Times New Roman"/>
          <w:lang w:val="da-DK"/>
        </w:rPr>
        <w:t xml:space="preserve"> en gang daglig (højst 600 mg en gang daglig), svarede til eksponeringen hos voksne, som fik imatinib 400 mg eller 600 mg en gang daglig.</w:t>
      </w:r>
    </w:p>
    <w:p w14:paraId="0A5AAB38" w14:textId="77777777" w:rsidR="006478AD" w:rsidRPr="00AA499E" w:rsidRDefault="006478AD">
      <w:pPr>
        <w:autoSpaceDE w:val="0"/>
        <w:autoSpaceDN w:val="0"/>
        <w:adjustRightInd w:val="0"/>
        <w:spacing w:after="0" w:line="240" w:lineRule="auto"/>
        <w:rPr>
          <w:rFonts w:ascii="Times New Roman" w:hAnsi="Times New Roman"/>
          <w:lang w:val="da-DK"/>
        </w:rPr>
      </w:pPr>
    </w:p>
    <w:p w14:paraId="53672882"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Nedsat organfunktion</w:t>
      </w:r>
    </w:p>
    <w:p w14:paraId="3789E0A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og dets metabolitter udskilles kun i ubetydelig grad via nyrerne. Patienter med mild og moderat nedsat nyrefunktion ser ud til at have større plasmaeksponering end patienter med normal nyrefunktion. Eksponeringen er ca. 1,5- til 2- fold, svarende til en 1,5-gangs stigning af plasma AGP som imatinib binder stærkt til. Udskildning af fri imatinib er sandsynligvis sammenlignelig for patienter med nedsat nyrefunktion og dem med normal nyrefunktion, eftersom udskillelse via nyren kun udgør en mindre elimineringsvej for imatinib (se pkt. 4.2 og 4.4).</w:t>
      </w:r>
    </w:p>
    <w:p w14:paraId="3F7CA0A4" w14:textId="77777777" w:rsidR="006478AD" w:rsidRPr="00AA499E" w:rsidRDefault="006478AD">
      <w:pPr>
        <w:autoSpaceDE w:val="0"/>
        <w:autoSpaceDN w:val="0"/>
        <w:adjustRightInd w:val="0"/>
        <w:spacing w:after="0" w:line="240" w:lineRule="auto"/>
        <w:rPr>
          <w:rFonts w:ascii="Times New Roman" w:hAnsi="Times New Roman"/>
          <w:lang w:val="da-DK"/>
        </w:rPr>
      </w:pPr>
    </w:p>
    <w:p w14:paraId="2B2B86F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Selvom resultaterne fra en farmakokinetisk analyse viste, at der var en betydelig variation mellem forsøgspersoner, øgede den gennemsnitlige eksponering af imatinib sig ikke hos patienter med varierende grad af nedsat leverfunktion, sammenlignet med patienter med normal leverfunktion (se pkt. 4.2, 4.4 og 4.8).</w:t>
      </w:r>
    </w:p>
    <w:p w14:paraId="3FE5DEAA" w14:textId="77777777" w:rsidR="006478AD" w:rsidRPr="00AA499E" w:rsidRDefault="006478AD">
      <w:pPr>
        <w:autoSpaceDE w:val="0"/>
        <w:autoSpaceDN w:val="0"/>
        <w:adjustRightInd w:val="0"/>
        <w:spacing w:after="0" w:line="240" w:lineRule="auto"/>
        <w:rPr>
          <w:rFonts w:ascii="Times New Roman" w:hAnsi="Times New Roman"/>
          <w:lang w:val="da-DK"/>
        </w:rPr>
      </w:pPr>
    </w:p>
    <w:p w14:paraId="709C0249" w14:textId="0E052C92"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5.3</w:t>
      </w:r>
      <w:r w:rsidRPr="00AA499E">
        <w:rPr>
          <w:rFonts w:ascii="Times New Roman" w:hAnsi="Times New Roman"/>
          <w:b/>
          <w:bCs/>
          <w:lang w:val="da-DK"/>
        </w:rPr>
        <w:tab/>
      </w:r>
      <w:r w:rsidR="00AA3062" w:rsidRPr="00AA499E">
        <w:rPr>
          <w:rFonts w:ascii="Times New Roman" w:hAnsi="Times New Roman"/>
          <w:b/>
          <w:bCs/>
          <w:lang w:val="da-DK"/>
        </w:rPr>
        <w:t>Non-</w:t>
      </w:r>
      <w:r w:rsidRPr="00AA499E">
        <w:rPr>
          <w:rFonts w:ascii="Times New Roman" w:hAnsi="Times New Roman"/>
          <w:b/>
          <w:bCs/>
          <w:lang w:val="da-DK"/>
        </w:rPr>
        <w:t>kliniske sikkerhedsdata</w:t>
      </w:r>
    </w:p>
    <w:p w14:paraId="2C10A541" w14:textId="77777777" w:rsidR="006478AD" w:rsidRPr="00AA499E" w:rsidRDefault="006478AD">
      <w:pPr>
        <w:autoSpaceDE w:val="0"/>
        <w:autoSpaceDN w:val="0"/>
        <w:adjustRightInd w:val="0"/>
        <w:spacing w:after="0" w:line="240" w:lineRule="auto"/>
        <w:rPr>
          <w:rFonts w:ascii="Times New Roman" w:hAnsi="Times New Roman"/>
          <w:lang w:val="da-DK"/>
        </w:rPr>
      </w:pPr>
    </w:p>
    <w:p w14:paraId="15A07679" w14:textId="05987685"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Imatinibs prækliniske sikkerhedsprofil blev vurderet hos rotter, hunde, aber og kaniner.</w:t>
      </w:r>
    </w:p>
    <w:p w14:paraId="47EDBADA" w14:textId="77777777" w:rsidR="006478AD" w:rsidRPr="00AA499E" w:rsidRDefault="006478AD">
      <w:pPr>
        <w:autoSpaceDE w:val="0"/>
        <w:autoSpaceDN w:val="0"/>
        <w:adjustRightInd w:val="0"/>
        <w:spacing w:after="0" w:line="240" w:lineRule="auto"/>
        <w:rPr>
          <w:rFonts w:ascii="Times New Roman" w:hAnsi="Times New Roman"/>
          <w:lang w:val="da-DK"/>
        </w:rPr>
      </w:pPr>
    </w:p>
    <w:p w14:paraId="06260E3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Toksicitetsundersøgelser med gentagen dosering viste milde til moderate hæmatologiske forandringer hos rotter, hunde og aber, ledsaget af knoglemarvsændringer hos rotter og hunde.</w:t>
      </w:r>
    </w:p>
    <w:p w14:paraId="7CFB5533" w14:textId="77777777" w:rsidR="006478AD" w:rsidRPr="00AA499E" w:rsidRDefault="006478AD">
      <w:pPr>
        <w:autoSpaceDE w:val="0"/>
        <w:autoSpaceDN w:val="0"/>
        <w:adjustRightInd w:val="0"/>
        <w:spacing w:after="0" w:line="240" w:lineRule="auto"/>
        <w:rPr>
          <w:rFonts w:ascii="Times New Roman" w:hAnsi="Times New Roman"/>
          <w:lang w:val="da-DK"/>
        </w:rPr>
      </w:pPr>
    </w:p>
    <w:p w14:paraId="510078D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Leveren var målorganet hos rotter og hunde. Der sås milde til moderate stigninger i transaminaser og lette stigninger i kolesterol, triglycerider, totale protein- og albuminniveauer hos begge dyrearter. Der sås ingen histopatologiske forandringer i rottelever. Der sås svær levertoksicitet hos hunde behandlet i 2 uger, inkluderende forhøjede leverenzymer, hepatocellulær nekrose, galdevejsnekrose samt galdevejshyperplasia.</w:t>
      </w:r>
    </w:p>
    <w:p w14:paraId="1A28BEED" w14:textId="77777777" w:rsidR="006478AD" w:rsidRPr="00AA499E" w:rsidRDefault="006478AD">
      <w:pPr>
        <w:autoSpaceDE w:val="0"/>
        <w:autoSpaceDN w:val="0"/>
        <w:adjustRightInd w:val="0"/>
        <w:spacing w:after="0" w:line="240" w:lineRule="auto"/>
        <w:rPr>
          <w:rFonts w:ascii="Times New Roman" w:hAnsi="Times New Roman"/>
          <w:lang w:val="da-DK"/>
        </w:rPr>
      </w:pPr>
    </w:p>
    <w:p w14:paraId="2831566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sås nyretoksicitet hos aber behandlet i 2 uger, inkluderende fokal mineralisering og dilatering af nyretubuli samt tubulær nefrose. Der sås forhøjet se-carbamid og se-creatinin hos adskillige af disse dyr. Ved doser &gt;6 mg/kg, sås hos rotter i 13-ugers undersøgelsen hyperplasi af det transitoriske epithel i nyrepapillerne og i urinblæren, uden ændringer i serum- eller urinparametre. Der sås øget incidens af opportunistiske infektioner ved kronisk imatinib-behandling.</w:t>
      </w:r>
    </w:p>
    <w:p w14:paraId="07CB7745" w14:textId="77777777" w:rsidR="006478AD" w:rsidRPr="00AA499E" w:rsidRDefault="006478AD">
      <w:pPr>
        <w:autoSpaceDE w:val="0"/>
        <w:autoSpaceDN w:val="0"/>
        <w:adjustRightInd w:val="0"/>
        <w:spacing w:after="0" w:line="240" w:lineRule="auto"/>
        <w:rPr>
          <w:rFonts w:ascii="Times New Roman" w:hAnsi="Times New Roman"/>
          <w:lang w:val="da-DK"/>
        </w:rPr>
      </w:pPr>
    </w:p>
    <w:p w14:paraId="23AB561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Der fandtes i en 39-ugers undersøgelse med aber ingen NOAEL (no observed adverse effect level/niveau ved ingen observeret bivirkningseffekt) ved den laveste dosis på 15 mg/kg, ca. 1/3 af den maksimale humane dosis på 800 mg baseret på legemsoverfladeareal. Behandlingen resulterede hos disse dyr i en forværring af normalt kontrollerede malariainfektioner.</w:t>
      </w:r>
    </w:p>
    <w:p w14:paraId="7F12FA95" w14:textId="77777777" w:rsidR="006478AD" w:rsidRPr="00AA499E" w:rsidRDefault="006478AD">
      <w:pPr>
        <w:autoSpaceDE w:val="0"/>
        <w:autoSpaceDN w:val="0"/>
        <w:adjustRightInd w:val="0"/>
        <w:spacing w:after="0" w:line="240" w:lineRule="auto"/>
        <w:rPr>
          <w:rFonts w:ascii="Times New Roman" w:hAnsi="Times New Roman"/>
          <w:lang w:val="da-DK"/>
        </w:rPr>
      </w:pPr>
    </w:p>
    <w:p w14:paraId="16242FDA"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lang w:val="da-DK"/>
        </w:rPr>
        <w:t xml:space="preserve">Imatinib ansås ikke som værende genotoksisk i </w:t>
      </w:r>
      <w:r w:rsidRPr="00AA499E">
        <w:rPr>
          <w:rFonts w:ascii="Times New Roman" w:hAnsi="Times New Roman"/>
          <w:i/>
          <w:iCs/>
          <w:lang w:val="da-DK"/>
        </w:rPr>
        <w:t xml:space="preserve">in vitro </w:t>
      </w:r>
      <w:r w:rsidRPr="00AA499E">
        <w:rPr>
          <w:rFonts w:ascii="Times New Roman" w:hAnsi="Times New Roman"/>
          <w:lang w:val="da-DK"/>
        </w:rPr>
        <w:t xml:space="preserve">bakteriecelleundersøgelse (Ames test), i </w:t>
      </w:r>
      <w:r w:rsidRPr="00AA499E">
        <w:rPr>
          <w:rFonts w:ascii="Times New Roman" w:hAnsi="Times New Roman"/>
          <w:i/>
          <w:iCs/>
          <w:lang w:val="da-DK"/>
        </w:rPr>
        <w:t xml:space="preserve">in vitro </w:t>
      </w:r>
      <w:r w:rsidRPr="00AA499E">
        <w:rPr>
          <w:rFonts w:ascii="Times New Roman" w:hAnsi="Times New Roman"/>
          <w:lang w:val="da-DK"/>
        </w:rPr>
        <w:t xml:space="preserve">pattedyrscelleundersøgelse (muselymfom) samt i </w:t>
      </w:r>
      <w:r w:rsidRPr="00AA499E">
        <w:rPr>
          <w:rFonts w:ascii="Times New Roman" w:hAnsi="Times New Roman"/>
          <w:i/>
          <w:iCs/>
          <w:lang w:val="da-DK"/>
        </w:rPr>
        <w:t xml:space="preserve">in vivo </w:t>
      </w:r>
      <w:r w:rsidRPr="00AA499E">
        <w:rPr>
          <w:rFonts w:ascii="Times New Roman" w:hAnsi="Times New Roman"/>
          <w:lang w:val="da-DK"/>
        </w:rPr>
        <w:t>rottemikronukleusundersøgelse. Der sås positiv</w:t>
      </w:r>
      <w:r w:rsidRPr="00AA499E">
        <w:rPr>
          <w:rFonts w:ascii="Times New Roman" w:hAnsi="Times New Roman"/>
          <w:i/>
          <w:iCs/>
          <w:lang w:val="da-DK"/>
        </w:rPr>
        <w:t xml:space="preserve"> </w:t>
      </w:r>
      <w:r w:rsidRPr="00AA499E">
        <w:rPr>
          <w:rFonts w:ascii="Times New Roman" w:hAnsi="Times New Roman"/>
          <w:lang w:val="da-DK"/>
        </w:rPr>
        <w:t xml:space="preserve">genotoksisk effekt med imatinib i en </w:t>
      </w:r>
      <w:r w:rsidRPr="00AA499E">
        <w:rPr>
          <w:rFonts w:ascii="Times New Roman" w:hAnsi="Times New Roman"/>
          <w:i/>
          <w:iCs/>
          <w:lang w:val="da-DK"/>
        </w:rPr>
        <w:t xml:space="preserve">in vitro </w:t>
      </w:r>
      <w:r w:rsidRPr="00AA499E">
        <w:rPr>
          <w:rFonts w:ascii="Times New Roman" w:hAnsi="Times New Roman"/>
          <w:lang w:val="da-DK"/>
        </w:rPr>
        <w:t>pattedyrscelleundersøgelse (kinesisk</w:t>
      </w:r>
      <w:r w:rsidRPr="00AA499E">
        <w:rPr>
          <w:rFonts w:ascii="Times New Roman" w:hAnsi="Times New Roman"/>
          <w:i/>
          <w:iCs/>
          <w:lang w:val="da-DK"/>
        </w:rPr>
        <w:t xml:space="preserve"> </w:t>
      </w:r>
      <w:r w:rsidRPr="00AA499E">
        <w:rPr>
          <w:rFonts w:ascii="Times New Roman" w:hAnsi="Times New Roman"/>
          <w:lang w:val="da-DK"/>
        </w:rPr>
        <w:t>hamsterovarium) for clastogenicitet (kromosomafvigelser) ved metabolisk aktivering. To</w:t>
      </w:r>
      <w:r w:rsidRPr="00AA499E">
        <w:rPr>
          <w:rFonts w:ascii="Times New Roman" w:hAnsi="Times New Roman"/>
          <w:i/>
          <w:iCs/>
          <w:lang w:val="da-DK"/>
        </w:rPr>
        <w:t xml:space="preserve"> </w:t>
      </w:r>
      <w:r w:rsidRPr="00AA499E">
        <w:rPr>
          <w:rFonts w:ascii="Times New Roman" w:hAnsi="Times New Roman"/>
          <w:lang w:val="da-DK"/>
        </w:rPr>
        <w:t xml:space="preserve">intermediatorer i </w:t>
      </w:r>
      <w:r w:rsidRPr="00AA499E">
        <w:rPr>
          <w:rFonts w:ascii="Times New Roman" w:hAnsi="Times New Roman"/>
          <w:lang w:val="da-DK"/>
        </w:rPr>
        <w:lastRenderedPageBreak/>
        <w:t>fremstillingsprocessen, der også tilstede i det endelige produkt, er positive for</w:t>
      </w:r>
      <w:r w:rsidRPr="00AA499E">
        <w:rPr>
          <w:rFonts w:ascii="Times New Roman" w:hAnsi="Times New Roman"/>
          <w:i/>
          <w:iCs/>
          <w:lang w:val="da-DK"/>
        </w:rPr>
        <w:t xml:space="preserve"> </w:t>
      </w:r>
      <w:r w:rsidRPr="00AA499E">
        <w:rPr>
          <w:rFonts w:ascii="Times New Roman" w:hAnsi="Times New Roman"/>
          <w:lang w:val="da-DK"/>
        </w:rPr>
        <w:t>mutagenese i Ames testen. En af disse intermediatorer var også positiv i</w:t>
      </w:r>
      <w:r w:rsidRPr="00AA499E">
        <w:rPr>
          <w:rFonts w:ascii="Times New Roman" w:hAnsi="Times New Roman"/>
          <w:i/>
          <w:iCs/>
          <w:lang w:val="da-DK"/>
        </w:rPr>
        <w:t xml:space="preserve"> </w:t>
      </w:r>
      <w:r w:rsidRPr="00AA499E">
        <w:rPr>
          <w:rFonts w:ascii="Times New Roman" w:hAnsi="Times New Roman"/>
          <w:lang w:val="da-DK"/>
        </w:rPr>
        <w:t>muselymfomtesten.</w:t>
      </w:r>
    </w:p>
    <w:p w14:paraId="054C6C48" w14:textId="77777777" w:rsidR="006478AD" w:rsidRPr="00AA499E" w:rsidRDefault="006478AD">
      <w:pPr>
        <w:autoSpaceDE w:val="0"/>
        <w:autoSpaceDN w:val="0"/>
        <w:adjustRightInd w:val="0"/>
        <w:spacing w:after="0" w:line="240" w:lineRule="auto"/>
        <w:rPr>
          <w:rFonts w:ascii="Times New Roman" w:hAnsi="Times New Roman"/>
          <w:lang w:val="da-DK"/>
        </w:rPr>
      </w:pPr>
    </w:p>
    <w:p w14:paraId="5FE2AE7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en fertilitetsundersøgelse med hanrotter doseret i 70 dage før parring, sås nedsat testikel- og epididymisvægt samt reduceret antal bevægelige sædceller ved 60 mg/kg, ca. svarende til den maksimale kliniske dosis på 800 mg/dag, baseret på legemsoverfladeareal. Dette sås ikke ved doser ≤20 mg/kg. Der sås også en let til moderat reduktion i spermatogenesen hos hunde ved orale doser ≥30 mg/kg. Når hunrotter doseredes 14 dage inden parring og vedvarende til gestationsdag 6, sås ingen effekt på parringen eller antallet af gravide hunner. Ved en dosis på 60 mg/kg, havde hunrotterne et signifikant føtaltab efter implantation og et reduceret antal levende fostre. Dette sås ikke ved doser ≤20 mg/kg.</w:t>
      </w:r>
    </w:p>
    <w:p w14:paraId="164C00CC" w14:textId="77777777" w:rsidR="006478AD" w:rsidRPr="00AA499E" w:rsidRDefault="006478AD">
      <w:pPr>
        <w:autoSpaceDE w:val="0"/>
        <w:autoSpaceDN w:val="0"/>
        <w:adjustRightInd w:val="0"/>
        <w:spacing w:after="0" w:line="240" w:lineRule="auto"/>
        <w:rPr>
          <w:rFonts w:ascii="Times New Roman" w:hAnsi="Times New Roman"/>
          <w:lang w:val="da-DK"/>
        </w:rPr>
      </w:pPr>
    </w:p>
    <w:p w14:paraId="7CC7455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et oralt præ- og postnatalt udviklingsstudie med rotter sås rødt, vaginalt udflåd i gruppen med 45 mg/kg/dag på enten dag 14 eller dag 15 efter gestation. Der sås ved samme dosis øgning i antallet af dødfødte unger, såvel som i antallet af unger der døde postpartum mellem dag 0 og dag 4. I F</w:t>
      </w:r>
      <w:r w:rsidRPr="00AA499E">
        <w:rPr>
          <w:rFonts w:ascii="Times New Roman" w:hAnsi="Times New Roman"/>
          <w:vertAlign w:val="subscript"/>
          <w:lang w:val="da-DK"/>
        </w:rPr>
        <w:t>1</w:t>
      </w:r>
      <w:r w:rsidRPr="00AA499E">
        <w:rPr>
          <w:rFonts w:ascii="Times New Roman" w:hAnsi="Times New Roman"/>
          <w:lang w:val="da-DK"/>
        </w:rPr>
        <w:t>-afkommet var den gennemsnitlige kropsvægt ved samme dosisniveau reduceret fra fødsel til aflivning og antallet af kuld der opfyldte kriteriet for præputial separation var let nedsat. F</w:t>
      </w:r>
      <w:r w:rsidRPr="00AA499E">
        <w:rPr>
          <w:rFonts w:ascii="Times New Roman" w:hAnsi="Times New Roman"/>
          <w:vertAlign w:val="subscript"/>
          <w:lang w:val="da-DK"/>
        </w:rPr>
        <w:t>1</w:t>
      </w:r>
      <w:r w:rsidRPr="00AA499E">
        <w:rPr>
          <w:rFonts w:ascii="Times New Roman" w:hAnsi="Times New Roman"/>
          <w:lang w:val="da-DK"/>
        </w:rPr>
        <w:t xml:space="preserve"> fertilitet var ikke påvirket, mens der sås et øget antal resorptioner og et nedsat antal levende fostre ved 45 mg/kg/dag. Niveauet for ingen observeret effekt (NOEL) var 15 mg/kg/dag for både moderdyr og F</w:t>
      </w:r>
      <w:r w:rsidRPr="00AA499E">
        <w:rPr>
          <w:rFonts w:ascii="Times New Roman" w:hAnsi="Times New Roman"/>
          <w:vertAlign w:val="subscript"/>
          <w:lang w:val="da-DK"/>
        </w:rPr>
        <w:t>1</w:t>
      </w:r>
      <w:r w:rsidRPr="00AA499E">
        <w:rPr>
          <w:rFonts w:ascii="Times New Roman" w:hAnsi="Times New Roman"/>
          <w:lang w:val="da-DK"/>
        </w:rPr>
        <w:t xml:space="preserve"> generation (en ¼ af den maksimale humane dosis på 800 mg).</w:t>
      </w:r>
    </w:p>
    <w:p w14:paraId="03BCBD8E" w14:textId="77777777" w:rsidR="006478AD" w:rsidRPr="00AA499E" w:rsidRDefault="006478AD">
      <w:pPr>
        <w:autoSpaceDE w:val="0"/>
        <w:autoSpaceDN w:val="0"/>
        <w:adjustRightInd w:val="0"/>
        <w:spacing w:after="0" w:line="240" w:lineRule="auto"/>
        <w:rPr>
          <w:rFonts w:ascii="Times New Roman" w:hAnsi="Times New Roman"/>
          <w:lang w:val="da-DK"/>
        </w:rPr>
      </w:pPr>
    </w:p>
    <w:p w14:paraId="7AC0B00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var teratogent hos rotter ved administration under organgenese ved doser ≥100 mg/kg, ca. svarende til den maksimale kliniske dosis på 800 mg/dag, baseret på legemsoverfladeareal. Teratogene virkninger inkluderede exencephali eller encephalocele, manglende/reducerede frontale knogler og manglende parietalknogler. Disse virkninger sås ikke ved doser ≤30 mg/kg.</w:t>
      </w:r>
    </w:p>
    <w:p w14:paraId="4D2EB6CB" w14:textId="77777777" w:rsidR="001A1B94" w:rsidRPr="00AA499E" w:rsidRDefault="001A1B94">
      <w:pPr>
        <w:autoSpaceDE w:val="0"/>
        <w:autoSpaceDN w:val="0"/>
        <w:adjustRightInd w:val="0"/>
        <w:spacing w:after="0" w:line="240" w:lineRule="auto"/>
        <w:rPr>
          <w:rFonts w:ascii="Times New Roman" w:hAnsi="Times New Roman"/>
          <w:lang w:val="da-DK"/>
        </w:rPr>
      </w:pPr>
    </w:p>
    <w:p w14:paraId="14275C18"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et juvenilt udviklingstoksikologisk rottestudie blev der ikke identificeret nye målorganer (dag</w:t>
      </w:r>
      <w:r w:rsidR="00B7422A" w:rsidRPr="00AA499E">
        <w:rPr>
          <w:rFonts w:ascii="Times New Roman" w:hAnsi="Times New Roman"/>
          <w:lang w:val="da-DK"/>
        </w:rPr>
        <w:t> </w:t>
      </w:r>
      <w:r w:rsidRPr="00AA499E">
        <w:rPr>
          <w:rFonts w:ascii="Times New Roman" w:hAnsi="Times New Roman"/>
          <w:lang w:val="da-DK"/>
        </w:rPr>
        <w:t>10 til 70 postpartum) med hensyn til kendte målorganer hos voksne rotter. I det juvenile toksikologistudie blev der set effekt på vækst samt forsinket vaginalåbning og præputial separation ved ca. 0,3 til 2</w:t>
      </w:r>
      <w:r w:rsidR="00B7422A" w:rsidRPr="00AA499E">
        <w:rPr>
          <w:rFonts w:ascii="Times New Roman" w:hAnsi="Times New Roman"/>
          <w:lang w:val="da-DK"/>
        </w:rPr>
        <w:t> </w:t>
      </w:r>
      <w:r w:rsidRPr="00AA499E">
        <w:rPr>
          <w:rFonts w:ascii="Times New Roman" w:hAnsi="Times New Roman"/>
          <w:lang w:val="da-DK"/>
        </w:rPr>
        <w:t>gange den gennemsnitlige pædiatriske eksponering ved den højst anbefalede dosis på 340 mg/m</w:t>
      </w:r>
      <w:r w:rsidRPr="00AA499E">
        <w:rPr>
          <w:rFonts w:ascii="Times New Roman" w:hAnsi="Times New Roman"/>
          <w:vertAlign w:val="superscript"/>
          <w:lang w:val="da-DK"/>
        </w:rPr>
        <w:t>2</w:t>
      </w:r>
      <w:r w:rsidRPr="00AA499E">
        <w:rPr>
          <w:rFonts w:ascii="Times New Roman" w:hAnsi="Times New Roman"/>
          <w:lang w:val="da-DK"/>
        </w:rPr>
        <w:t>. Derudover blev der set mortalitet hos juvenile dyr (omkring fravænningsfase) ved ca. 2</w:t>
      </w:r>
      <w:r w:rsidR="00B7422A" w:rsidRPr="00AA499E">
        <w:rPr>
          <w:rFonts w:ascii="Times New Roman" w:hAnsi="Times New Roman"/>
          <w:lang w:val="da-DK"/>
        </w:rPr>
        <w:t> </w:t>
      </w:r>
      <w:r w:rsidRPr="00AA499E">
        <w:rPr>
          <w:rFonts w:ascii="Times New Roman" w:hAnsi="Times New Roman"/>
          <w:lang w:val="da-DK"/>
        </w:rPr>
        <w:t>gange den gennemsnitlige pædiatriske eksponering ved den højst anbefalede dosis på 340 mg/m</w:t>
      </w:r>
      <w:r w:rsidRPr="00AA499E">
        <w:rPr>
          <w:rFonts w:ascii="Times New Roman" w:hAnsi="Times New Roman"/>
          <w:vertAlign w:val="superscript"/>
          <w:lang w:val="da-DK"/>
        </w:rPr>
        <w:t>2</w:t>
      </w:r>
      <w:r w:rsidRPr="00AA499E">
        <w:rPr>
          <w:rFonts w:ascii="Times New Roman" w:hAnsi="Times New Roman"/>
          <w:lang w:val="da-DK"/>
        </w:rPr>
        <w:t>.</w:t>
      </w:r>
    </w:p>
    <w:p w14:paraId="4504D019" w14:textId="77777777" w:rsidR="001A1B94" w:rsidRPr="00AA499E" w:rsidRDefault="001A1B94">
      <w:pPr>
        <w:autoSpaceDE w:val="0"/>
        <w:autoSpaceDN w:val="0"/>
        <w:adjustRightInd w:val="0"/>
        <w:spacing w:after="0" w:line="240" w:lineRule="auto"/>
        <w:rPr>
          <w:rFonts w:ascii="Times New Roman" w:hAnsi="Times New Roman"/>
          <w:lang w:val="da-DK"/>
        </w:rPr>
      </w:pPr>
    </w:p>
    <w:p w14:paraId="64B01E9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et 2-års carcinogen studie i rotter resulterede administration af imatinib på 15, 30 og 60 mg/kg/dag i en signifikant reduktion i levetiden ved 60 mg/kg/dag for hanner og for hunner ved ≥30 mg/kg/dag. Histopatologiske undersøgelser af de afdøde rotter afslørede kardiomyopati (for begge køn), kronisk progressiv nefropati (hunkøn) og papillomaer på forhuden som hovedårsag til død eller begrundelse for aflivning. Målorganerne for neoplastiske ændringer var nyrerne, urinblæren, urinrøret, fedtkirtlerne på forhuden og klitoris, tyndtarmen, bisskjoldbruskkirtlerne, binyrererne og den ikke-kirtellignende del af maven.</w:t>
      </w:r>
    </w:p>
    <w:p w14:paraId="53920941" w14:textId="77777777" w:rsidR="006478AD" w:rsidRPr="00AA499E" w:rsidRDefault="006478AD">
      <w:pPr>
        <w:autoSpaceDE w:val="0"/>
        <w:autoSpaceDN w:val="0"/>
        <w:adjustRightInd w:val="0"/>
        <w:spacing w:after="0" w:line="240" w:lineRule="auto"/>
        <w:rPr>
          <w:rFonts w:ascii="Times New Roman" w:hAnsi="Times New Roman"/>
          <w:lang w:val="da-DK"/>
        </w:rPr>
      </w:pPr>
    </w:p>
    <w:p w14:paraId="2479D54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Papillomaer/carcinomer i fedtkirtlerne på forhuden/klitoris blev set fra 30 mg/kg/dag og højere, som svarer til cirka 0,5 eller 0,3 gange den daglige humane eksponering (baseret på AUC) på henholdsvis 400 mg/dag eller 800 mg/dag. Dette svarer til 0,4 gange den daglige eksponering (baseret på AUC) hos børn på 340 mg/m</w:t>
      </w:r>
      <w:r w:rsidRPr="00AA499E">
        <w:rPr>
          <w:rFonts w:ascii="Times New Roman" w:hAnsi="Times New Roman"/>
          <w:vertAlign w:val="superscript"/>
          <w:lang w:val="da-DK"/>
        </w:rPr>
        <w:t>2</w:t>
      </w:r>
      <w:r w:rsidRPr="00AA499E">
        <w:rPr>
          <w:rFonts w:ascii="Times New Roman" w:hAnsi="Times New Roman"/>
          <w:lang w:val="da-DK"/>
        </w:rPr>
        <w:t>/dag. Niveauet for ingen observeret effekt (NOEL) var 15 mg/kg/dag. Renale adenomer/carcinomer, papillomaer i blæren og urinrøret, adenocarcinomer i tyndtarmen, adenomer i bisskjoldbruskkirtlerne, de benigne og maligne tumorer i binyremarven og ikke-kirtellignende ventrikelpapillomaer/carcinomer blev observeret ved 60 mg/kg/dag. Dette svarer til ca. 1,7 eller 1 gang den humane daglige eksponering (baseret på AUC) på henholdsvis 400 mg/dag eller 800 mg/dag, og 1,2 gange den daglige eksponering hos børn (baseret på AUC) på 340 mg/m</w:t>
      </w:r>
      <w:r w:rsidRPr="00AA499E">
        <w:rPr>
          <w:rFonts w:ascii="Times New Roman" w:hAnsi="Times New Roman"/>
          <w:vertAlign w:val="superscript"/>
          <w:lang w:val="da-DK"/>
        </w:rPr>
        <w:t>2</w:t>
      </w:r>
      <w:r w:rsidRPr="00AA499E">
        <w:rPr>
          <w:rFonts w:ascii="Times New Roman" w:hAnsi="Times New Roman"/>
          <w:lang w:val="da-DK"/>
        </w:rPr>
        <w:t>/dag. Niveauet for ingen observeret effekt (NOEL) var 30 mg/kg/dag.</w:t>
      </w:r>
    </w:p>
    <w:p w14:paraId="70F72C3A" w14:textId="77777777" w:rsidR="006478AD" w:rsidRPr="00AA499E" w:rsidRDefault="006478AD">
      <w:pPr>
        <w:autoSpaceDE w:val="0"/>
        <w:autoSpaceDN w:val="0"/>
        <w:adjustRightInd w:val="0"/>
        <w:spacing w:after="0" w:line="240" w:lineRule="auto"/>
        <w:rPr>
          <w:rFonts w:ascii="Times New Roman" w:hAnsi="Times New Roman"/>
          <w:lang w:val="da-DK"/>
        </w:rPr>
      </w:pPr>
    </w:p>
    <w:p w14:paraId="5568927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Mekanismen og betydningen for mennesker af disse resultater i carcinogen studiet hos rotter er endnu ikke afklaret.</w:t>
      </w:r>
    </w:p>
    <w:p w14:paraId="27C7167A" w14:textId="77777777" w:rsidR="006478AD" w:rsidRPr="00AA499E" w:rsidRDefault="006478AD">
      <w:pPr>
        <w:autoSpaceDE w:val="0"/>
        <w:autoSpaceDN w:val="0"/>
        <w:adjustRightInd w:val="0"/>
        <w:spacing w:after="0" w:line="240" w:lineRule="auto"/>
        <w:rPr>
          <w:rFonts w:ascii="Times New Roman" w:hAnsi="Times New Roman"/>
          <w:lang w:val="da-DK"/>
        </w:rPr>
      </w:pPr>
    </w:p>
    <w:p w14:paraId="1BB611DA" w14:textId="4507729B"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Non-neoplastisk skade, som ikke er identificeret ved tidligere prækliniske studier, er i det kardiovaskulære system, pankreas, endokrine organer og tænder. Den vigtigste ændring er hjertehypertrofi og dilation, som i nogle dyr kan føre til tegn på hjerteinsufficiens.</w:t>
      </w:r>
    </w:p>
    <w:p w14:paraId="32D78F45" w14:textId="77777777" w:rsidR="001A1B94" w:rsidRPr="00AA499E" w:rsidRDefault="001A1B94">
      <w:pPr>
        <w:autoSpaceDE w:val="0"/>
        <w:autoSpaceDN w:val="0"/>
        <w:adjustRightInd w:val="0"/>
        <w:spacing w:after="0" w:line="240" w:lineRule="auto"/>
        <w:rPr>
          <w:rFonts w:ascii="Times New Roman" w:hAnsi="Times New Roman"/>
          <w:lang w:val="da-DK"/>
        </w:rPr>
      </w:pPr>
    </w:p>
    <w:p w14:paraId="12A010F4" w14:textId="77777777" w:rsidR="001A1B94" w:rsidRPr="00AA499E" w:rsidRDefault="001A1B94" w:rsidP="001A1B9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 aktive stof imatinib viser en miljørisiko for sedimentlevende organismer.</w:t>
      </w:r>
    </w:p>
    <w:p w14:paraId="21B70DAD" w14:textId="77777777" w:rsidR="00FE4D1D" w:rsidRPr="00AA499E" w:rsidRDefault="00FE4D1D">
      <w:pPr>
        <w:autoSpaceDE w:val="0"/>
        <w:autoSpaceDN w:val="0"/>
        <w:adjustRightInd w:val="0"/>
        <w:spacing w:after="0" w:line="240" w:lineRule="auto"/>
        <w:rPr>
          <w:rFonts w:ascii="Times New Roman" w:hAnsi="Times New Roman"/>
          <w:lang w:val="da-DK"/>
        </w:rPr>
      </w:pPr>
    </w:p>
    <w:p w14:paraId="06945FB2" w14:textId="77777777" w:rsidR="006478AD" w:rsidRPr="00AA499E" w:rsidRDefault="006478AD">
      <w:pPr>
        <w:autoSpaceDE w:val="0"/>
        <w:autoSpaceDN w:val="0"/>
        <w:adjustRightInd w:val="0"/>
        <w:spacing w:after="0" w:line="240" w:lineRule="auto"/>
        <w:rPr>
          <w:rFonts w:ascii="Times New Roman" w:hAnsi="Times New Roman"/>
          <w:lang w:val="da-DK"/>
        </w:rPr>
      </w:pPr>
    </w:p>
    <w:p w14:paraId="0527EBD6"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FARMACEUTISKE OPLYSNINGER</w:t>
      </w:r>
    </w:p>
    <w:p w14:paraId="678F1EBF" w14:textId="77777777" w:rsidR="006478AD" w:rsidRPr="00AA499E" w:rsidRDefault="006478AD">
      <w:pPr>
        <w:autoSpaceDE w:val="0"/>
        <w:autoSpaceDN w:val="0"/>
        <w:adjustRightInd w:val="0"/>
        <w:spacing w:after="0" w:line="240" w:lineRule="auto"/>
        <w:rPr>
          <w:rFonts w:ascii="Times New Roman" w:hAnsi="Times New Roman"/>
          <w:lang w:val="da-DK"/>
        </w:rPr>
      </w:pPr>
    </w:p>
    <w:p w14:paraId="789B737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6.1</w:t>
      </w:r>
      <w:r w:rsidRPr="00AA499E">
        <w:rPr>
          <w:rFonts w:ascii="Times New Roman" w:hAnsi="Times New Roman"/>
          <w:b/>
          <w:bCs/>
          <w:lang w:val="da-DK"/>
        </w:rPr>
        <w:tab/>
        <w:t>Hjælpestoffer</w:t>
      </w:r>
    </w:p>
    <w:p w14:paraId="7EA922D2" w14:textId="77777777" w:rsidR="006478AD" w:rsidRPr="00AA499E" w:rsidRDefault="006478AD">
      <w:pPr>
        <w:pStyle w:val="KeinLeerraum"/>
        <w:rPr>
          <w:rFonts w:ascii="Times New Roman" w:hAnsi="Times New Roman"/>
          <w:lang w:val="da-DK"/>
        </w:rPr>
      </w:pPr>
    </w:p>
    <w:p w14:paraId="39A9D1E5" w14:textId="77777777" w:rsidR="006478AD" w:rsidRPr="00AA499E" w:rsidRDefault="00616F3C">
      <w:pPr>
        <w:pStyle w:val="KeinLeerraum"/>
        <w:rPr>
          <w:rFonts w:ascii="Times New Roman" w:hAnsi="Times New Roman"/>
          <w:u w:val="single"/>
          <w:lang w:val="da-DK"/>
        </w:rPr>
      </w:pPr>
      <w:r w:rsidRPr="00AA499E">
        <w:rPr>
          <w:rFonts w:ascii="Times New Roman" w:hAnsi="Times New Roman"/>
          <w:u w:val="single"/>
          <w:lang w:val="da-DK"/>
        </w:rPr>
        <w:t>Tabletkerne</w:t>
      </w:r>
    </w:p>
    <w:p w14:paraId="42E5FE8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Cellulose, mikrokrystallinsk </w:t>
      </w:r>
    </w:p>
    <w:p w14:paraId="0C63688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Copovidon</w:t>
      </w:r>
    </w:p>
    <w:p w14:paraId="5CAEB05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Crospovidon</w:t>
      </w:r>
    </w:p>
    <w:p w14:paraId="34AF6ED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Natriumstearylfumarat</w:t>
      </w:r>
    </w:p>
    <w:p w14:paraId="493B1BC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Silica, vandskyende kolloid </w:t>
      </w:r>
    </w:p>
    <w:p w14:paraId="7BA5383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Silica, kolloid vandfri</w:t>
      </w:r>
    </w:p>
    <w:p w14:paraId="0C6AAC84" w14:textId="77777777" w:rsidR="006478AD" w:rsidRPr="00AA499E" w:rsidRDefault="006478AD">
      <w:pPr>
        <w:autoSpaceDE w:val="0"/>
        <w:autoSpaceDN w:val="0"/>
        <w:adjustRightInd w:val="0"/>
        <w:spacing w:after="0" w:line="240" w:lineRule="auto"/>
        <w:rPr>
          <w:rFonts w:ascii="Times New Roman" w:hAnsi="Times New Roman"/>
          <w:lang w:val="da-DK"/>
        </w:rPr>
      </w:pPr>
    </w:p>
    <w:p w14:paraId="7368F447" w14:textId="77777777" w:rsidR="006478AD" w:rsidRPr="00AA499E" w:rsidRDefault="00616F3C">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Tabletovertræk</w:t>
      </w:r>
    </w:p>
    <w:p w14:paraId="1C704E1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Polyvinylalkohol, delvist hydroliseret</w:t>
      </w:r>
    </w:p>
    <w:p w14:paraId="1B6FA8D6" w14:textId="77777777" w:rsidR="006478AD" w:rsidRPr="00C76A02" w:rsidRDefault="00616F3C">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Talcum</w:t>
      </w:r>
    </w:p>
    <w:p w14:paraId="25ACD83C" w14:textId="77777777" w:rsidR="006478AD" w:rsidRPr="00C76A02" w:rsidRDefault="00616F3C">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Jernoxid, gul (E 172)</w:t>
      </w:r>
    </w:p>
    <w:p w14:paraId="72F03C00" w14:textId="77777777" w:rsidR="006478AD" w:rsidRPr="00C76A02" w:rsidRDefault="00616F3C">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Titandioxid (E171)</w:t>
      </w:r>
    </w:p>
    <w:p w14:paraId="053AD3C6" w14:textId="77777777" w:rsidR="006478AD" w:rsidRPr="00C76A02" w:rsidRDefault="00616F3C">
      <w:pPr>
        <w:autoSpaceDE w:val="0"/>
        <w:autoSpaceDN w:val="0"/>
        <w:adjustRightInd w:val="0"/>
        <w:spacing w:after="0" w:line="240" w:lineRule="auto"/>
        <w:rPr>
          <w:rFonts w:ascii="Times New Roman" w:hAnsi="Times New Roman"/>
          <w:lang w:val="es-ES"/>
        </w:rPr>
      </w:pPr>
      <w:r w:rsidRPr="00C76A02">
        <w:rPr>
          <w:rFonts w:ascii="Times New Roman" w:hAnsi="Times New Roman"/>
          <w:lang w:val="es-ES"/>
        </w:rPr>
        <w:t xml:space="preserve">Jernoxid, rød (E 172) </w:t>
      </w:r>
    </w:p>
    <w:p w14:paraId="3CDB0B80" w14:textId="77777777" w:rsidR="006478AD" w:rsidRPr="00C76A02" w:rsidRDefault="00616F3C">
      <w:pPr>
        <w:autoSpaceDE w:val="0"/>
        <w:autoSpaceDN w:val="0"/>
        <w:adjustRightInd w:val="0"/>
        <w:spacing w:after="0" w:line="240" w:lineRule="auto"/>
        <w:rPr>
          <w:rFonts w:ascii="Times New Roman" w:hAnsi="Times New Roman"/>
          <w:lang w:val="es-ES"/>
        </w:rPr>
      </w:pPr>
      <w:r w:rsidRPr="00C76A02">
        <w:rPr>
          <w:rFonts w:ascii="Times New Roman" w:hAnsi="Times New Roman"/>
          <w:lang w:val="es-ES"/>
        </w:rPr>
        <w:t>Lecithin (soya) (E322)</w:t>
      </w:r>
    </w:p>
    <w:p w14:paraId="3A550CA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Xanthangummi (E415)</w:t>
      </w:r>
    </w:p>
    <w:p w14:paraId="6BD37D18" w14:textId="77777777" w:rsidR="006478AD" w:rsidRPr="00AA499E" w:rsidRDefault="006478AD">
      <w:pPr>
        <w:autoSpaceDE w:val="0"/>
        <w:autoSpaceDN w:val="0"/>
        <w:adjustRightInd w:val="0"/>
        <w:spacing w:after="0" w:line="240" w:lineRule="auto"/>
        <w:rPr>
          <w:rFonts w:ascii="Times New Roman" w:hAnsi="Times New Roman"/>
          <w:lang w:val="da-DK"/>
        </w:rPr>
      </w:pPr>
    </w:p>
    <w:p w14:paraId="2B72E96C"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6.2</w:t>
      </w:r>
      <w:r w:rsidRPr="00AA499E">
        <w:rPr>
          <w:rFonts w:ascii="Times New Roman" w:hAnsi="Times New Roman"/>
          <w:b/>
          <w:bCs/>
          <w:lang w:val="da-DK"/>
        </w:rPr>
        <w:tab/>
        <w:t>Uforligeligheder</w:t>
      </w:r>
    </w:p>
    <w:p w14:paraId="727196B1" w14:textId="77777777" w:rsidR="006478AD" w:rsidRPr="00AA499E" w:rsidRDefault="006478AD">
      <w:pPr>
        <w:autoSpaceDE w:val="0"/>
        <w:autoSpaceDN w:val="0"/>
        <w:adjustRightInd w:val="0"/>
        <w:spacing w:after="0" w:line="240" w:lineRule="auto"/>
        <w:rPr>
          <w:rFonts w:ascii="Times New Roman" w:hAnsi="Times New Roman"/>
          <w:lang w:val="da-DK"/>
        </w:rPr>
      </w:pPr>
    </w:p>
    <w:p w14:paraId="0AAF08E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relevant.</w:t>
      </w:r>
    </w:p>
    <w:p w14:paraId="77F6330D" w14:textId="77777777" w:rsidR="006478AD" w:rsidRPr="00AA499E" w:rsidRDefault="006478AD">
      <w:pPr>
        <w:autoSpaceDE w:val="0"/>
        <w:autoSpaceDN w:val="0"/>
        <w:adjustRightInd w:val="0"/>
        <w:spacing w:after="0" w:line="240" w:lineRule="auto"/>
        <w:rPr>
          <w:rFonts w:ascii="Times New Roman" w:hAnsi="Times New Roman"/>
          <w:lang w:val="da-DK"/>
        </w:rPr>
      </w:pPr>
    </w:p>
    <w:p w14:paraId="3B117A7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6.3</w:t>
      </w:r>
      <w:r w:rsidRPr="00AA499E">
        <w:rPr>
          <w:rFonts w:ascii="Times New Roman" w:hAnsi="Times New Roman"/>
          <w:b/>
          <w:bCs/>
          <w:lang w:val="da-DK"/>
        </w:rPr>
        <w:tab/>
        <w:t>Opbevaringstid</w:t>
      </w:r>
    </w:p>
    <w:p w14:paraId="28936A04" w14:textId="77777777" w:rsidR="006478AD" w:rsidRPr="00AA499E" w:rsidRDefault="006478AD">
      <w:pPr>
        <w:pStyle w:val="KeinLeerraum"/>
        <w:rPr>
          <w:rFonts w:ascii="Times New Roman" w:hAnsi="Times New Roman"/>
          <w:lang w:val="da-DK"/>
        </w:rPr>
      </w:pPr>
    </w:p>
    <w:p w14:paraId="3A56E5EF" w14:textId="77777777" w:rsidR="00E30922" w:rsidRPr="00AA499E" w:rsidRDefault="00E3092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100 mg filmovertrukne tabletter</w:t>
      </w:r>
    </w:p>
    <w:p w14:paraId="32BFCA6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 år</w:t>
      </w:r>
    </w:p>
    <w:p w14:paraId="02C5B82E" w14:textId="77777777" w:rsidR="006478AD" w:rsidRPr="00AA499E" w:rsidRDefault="006478AD">
      <w:pPr>
        <w:autoSpaceDE w:val="0"/>
        <w:autoSpaceDN w:val="0"/>
        <w:adjustRightInd w:val="0"/>
        <w:spacing w:after="0" w:line="240" w:lineRule="auto"/>
        <w:rPr>
          <w:rFonts w:ascii="Times New Roman" w:hAnsi="Times New Roman"/>
          <w:lang w:val="da-DK"/>
        </w:rPr>
      </w:pPr>
    </w:p>
    <w:p w14:paraId="7637647F" w14:textId="77777777" w:rsidR="00E30922" w:rsidRPr="00AA499E" w:rsidRDefault="00E30922">
      <w:pPr>
        <w:autoSpaceDE w:val="0"/>
        <w:autoSpaceDN w:val="0"/>
        <w:adjustRightInd w:val="0"/>
        <w:spacing w:after="0" w:line="240" w:lineRule="auto"/>
        <w:rPr>
          <w:rFonts w:ascii="Times New Roman" w:hAnsi="Times New Roman"/>
          <w:u w:val="single"/>
          <w:lang w:val="da-DK"/>
        </w:rPr>
      </w:pPr>
      <w:r w:rsidRPr="00AA499E">
        <w:rPr>
          <w:rFonts w:ascii="Times New Roman" w:hAnsi="Times New Roman"/>
          <w:u w:val="single"/>
          <w:lang w:val="da-DK"/>
        </w:rPr>
        <w:t>Imatinib Actavis 400 mg filmovertrukne tabletter</w:t>
      </w:r>
    </w:p>
    <w:p w14:paraId="46174749" w14:textId="77777777" w:rsidR="00E30922" w:rsidRPr="00AA499E" w:rsidRDefault="00E3092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21 måneder</w:t>
      </w:r>
    </w:p>
    <w:p w14:paraId="0616A2B3" w14:textId="77777777" w:rsidR="00E30922" w:rsidRPr="00AA499E" w:rsidRDefault="00E30922">
      <w:pPr>
        <w:autoSpaceDE w:val="0"/>
        <w:autoSpaceDN w:val="0"/>
        <w:adjustRightInd w:val="0"/>
        <w:spacing w:after="0" w:line="240" w:lineRule="auto"/>
        <w:rPr>
          <w:rFonts w:ascii="Times New Roman" w:hAnsi="Times New Roman"/>
          <w:lang w:val="da-DK"/>
        </w:rPr>
      </w:pPr>
    </w:p>
    <w:p w14:paraId="2D6C651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6.4</w:t>
      </w:r>
      <w:r w:rsidRPr="00AA499E">
        <w:rPr>
          <w:rFonts w:ascii="Times New Roman" w:hAnsi="Times New Roman"/>
          <w:b/>
          <w:bCs/>
          <w:lang w:val="da-DK"/>
        </w:rPr>
        <w:tab/>
        <w:t>Særlige opbevaringsforhold</w:t>
      </w:r>
    </w:p>
    <w:p w14:paraId="326E5EA6" w14:textId="77777777" w:rsidR="006478AD" w:rsidRPr="00AA499E" w:rsidRDefault="006478AD">
      <w:pPr>
        <w:autoSpaceDE w:val="0"/>
        <w:autoSpaceDN w:val="0"/>
        <w:adjustRightInd w:val="0"/>
        <w:spacing w:after="0" w:line="240" w:lineRule="auto"/>
        <w:rPr>
          <w:rFonts w:ascii="Times New Roman" w:hAnsi="Times New Roman"/>
          <w:lang w:val="da-DK"/>
        </w:rPr>
      </w:pPr>
    </w:p>
    <w:p w14:paraId="4F31CA7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Må ikke opbevares ved temperaturer over 30°C.</w:t>
      </w:r>
    </w:p>
    <w:p w14:paraId="4432027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i den originale yderpakning for at beskytte mod fugt.</w:t>
      </w:r>
    </w:p>
    <w:p w14:paraId="4D965086" w14:textId="77777777" w:rsidR="006478AD" w:rsidRPr="00AA499E" w:rsidRDefault="006478AD">
      <w:pPr>
        <w:autoSpaceDE w:val="0"/>
        <w:autoSpaceDN w:val="0"/>
        <w:adjustRightInd w:val="0"/>
        <w:spacing w:after="0" w:line="240" w:lineRule="auto"/>
        <w:rPr>
          <w:rFonts w:ascii="Times New Roman" w:hAnsi="Times New Roman"/>
          <w:lang w:val="da-DK"/>
        </w:rPr>
      </w:pPr>
    </w:p>
    <w:p w14:paraId="1A9BF9BA"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6.5</w:t>
      </w:r>
      <w:r w:rsidRPr="00AA499E">
        <w:rPr>
          <w:rFonts w:ascii="Times New Roman" w:hAnsi="Times New Roman"/>
          <w:b/>
          <w:bCs/>
          <w:lang w:val="da-DK"/>
        </w:rPr>
        <w:tab/>
        <w:t>Emballagetype og pakningsstørrelser</w:t>
      </w:r>
    </w:p>
    <w:p w14:paraId="6CC80E43" w14:textId="77777777" w:rsidR="006478AD" w:rsidRPr="00AA499E" w:rsidRDefault="006478AD">
      <w:pPr>
        <w:autoSpaceDE w:val="0"/>
        <w:autoSpaceDN w:val="0"/>
        <w:adjustRightInd w:val="0"/>
        <w:spacing w:after="0" w:line="240" w:lineRule="auto"/>
        <w:rPr>
          <w:rFonts w:ascii="Times New Roman" w:hAnsi="Times New Roman"/>
          <w:lang w:val="da-DK"/>
        </w:rPr>
      </w:pPr>
    </w:p>
    <w:p w14:paraId="51D81B4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Aluminium/PVC/aclar blister</w:t>
      </w:r>
      <w:r w:rsidR="00203D86" w:rsidRPr="00AA499E">
        <w:rPr>
          <w:rFonts w:ascii="Times New Roman" w:hAnsi="Times New Roman"/>
          <w:lang w:val="da-DK"/>
        </w:rPr>
        <w:t>. En blister indeholder 10 tabletter.</w:t>
      </w:r>
    </w:p>
    <w:p w14:paraId="6A9C0F4B" w14:textId="77777777" w:rsidR="006478AD" w:rsidRPr="00AA499E" w:rsidRDefault="006478AD">
      <w:pPr>
        <w:autoSpaceDE w:val="0"/>
        <w:autoSpaceDN w:val="0"/>
        <w:adjustRightInd w:val="0"/>
        <w:spacing w:after="0" w:line="240" w:lineRule="auto"/>
        <w:rPr>
          <w:rFonts w:ascii="Times New Roman" w:hAnsi="Times New Roman"/>
          <w:i/>
          <w:iCs/>
          <w:lang w:val="da-DK"/>
        </w:rPr>
      </w:pPr>
    </w:p>
    <w:p w14:paraId="0003A48A" w14:textId="77777777" w:rsidR="00E30922" w:rsidRPr="00AA499E" w:rsidRDefault="00E30922">
      <w:pPr>
        <w:pStyle w:val="KeinLeerraum"/>
        <w:rPr>
          <w:rFonts w:ascii="Times New Roman" w:hAnsi="Times New Roman"/>
          <w:lang w:val="da-DK"/>
        </w:rPr>
      </w:pPr>
      <w:r w:rsidRPr="00AA499E">
        <w:rPr>
          <w:rFonts w:ascii="Times New Roman" w:hAnsi="Times New Roman"/>
          <w:lang w:val="da-DK"/>
        </w:rPr>
        <w:t>Imatinib Actavis 100 mg filmovertrukne tabletter</w:t>
      </w:r>
    </w:p>
    <w:p w14:paraId="26CBF204"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Pakninger indeholdende 10, 20, 30, 60, 90, 120 eller 180 filmovertrukne tabletter</w:t>
      </w:r>
    </w:p>
    <w:p w14:paraId="7910398D" w14:textId="77777777" w:rsidR="006478AD" w:rsidRPr="00AA499E" w:rsidRDefault="006478AD">
      <w:pPr>
        <w:autoSpaceDE w:val="0"/>
        <w:autoSpaceDN w:val="0"/>
        <w:adjustRightInd w:val="0"/>
        <w:spacing w:after="0" w:line="240" w:lineRule="auto"/>
        <w:rPr>
          <w:rFonts w:ascii="Times New Roman" w:hAnsi="Times New Roman"/>
          <w:highlight w:val="yellow"/>
          <w:lang w:val="da-DK"/>
        </w:rPr>
      </w:pPr>
    </w:p>
    <w:p w14:paraId="7E7CC36D" w14:textId="77777777" w:rsidR="00E30922" w:rsidRPr="00AA499E" w:rsidRDefault="00E3092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 filmovertrukne tabletter</w:t>
      </w:r>
    </w:p>
    <w:p w14:paraId="13623618" w14:textId="77777777" w:rsidR="00E30922" w:rsidRPr="00AA499E" w:rsidRDefault="00462FB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Pakninger indeholdende 10, 30, 60 eller 90 filmovertrukne tabletter</w:t>
      </w:r>
    </w:p>
    <w:p w14:paraId="39C1F62F" w14:textId="77777777" w:rsidR="00E30922" w:rsidRPr="00AA499E" w:rsidRDefault="00E30922">
      <w:pPr>
        <w:autoSpaceDE w:val="0"/>
        <w:autoSpaceDN w:val="0"/>
        <w:adjustRightInd w:val="0"/>
        <w:spacing w:after="0" w:line="240" w:lineRule="auto"/>
        <w:rPr>
          <w:rFonts w:ascii="Times New Roman" w:hAnsi="Times New Roman"/>
          <w:highlight w:val="yellow"/>
          <w:lang w:val="da-DK"/>
        </w:rPr>
      </w:pPr>
    </w:p>
    <w:p w14:paraId="610E3D2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alle pakningsstørrelser er nødvendigvis markedsført.</w:t>
      </w:r>
    </w:p>
    <w:p w14:paraId="7A4C86A2" w14:textId="77777777" w:rsidR="006478AD" w:rsidRPr="00AA499E" w:rsidRDefault="006478AD">
      <w:pPr>
        <w:autoSpaceDE w:val="0"/>
        <w:autoSpaceDN w:val="0"/>
        <w:adjustRightInd w:val="0"/>
        <w:spacing w:after="0" w:line="240" w:lineRule="auto"/>
        <w:rPr>
          <w:rFonts w:ascii="Times New Roman" w:hAnsi="Times New Roman"/>
          <w:lang w:val="da-DK"/>
        </w:rPr>
      </w:pPr>
    </w:p>
    <w:p w14:paraId="64D5FF0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6.6</w:t>
      </w:r>
      <w:r w:rsidRPr="00AA499E">
        <w:rPr>
          <w:rFonts w:ascii="Times New Roman" w:hAnsi="Times New Roman"/>
          <w:b/>
          <w:bCs/>
          <w:lang w:val="da-DK"/>
        </w:rPr>
        <w:tab/>
        <w:t>Særlige regler for bortskaffelse</w:t>
      </w:r>
    </w:p>
    <w:p w14:paraId="00A53A90" w14:textId="77777777" w:rsidR="006478AD" w:rsidRPr="00AA499E" w:rsidRDefault="006478AD">
      <w:pPr>
        <w:autoSpaceDE w:val="0"/>
        <w:autoSpaceDN w:val="0"/>
        <w:adjustRightInd w:val="0"/>
        <w:spacing w:after="0" w:line="240" w:lineRule="auto"/>
        <w:rPr>
          <w:rFonts w:ascii="Times New Roman" w:hAnsi="Times New Roman"/>
          <w:lang w:val="da-DK"/>
        </w:rPr>
      </w:pPr>
    </w:p>
    <w:p w14:paraId="5DC44E53" w14:textId="77777777" w:rsidR="006478AD" w:rsidRPr="00AA499E" w:rsidRDefault="0021705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anvendt lægemiddel samt affald heraf skal bortskaffes i henhold til lokale retningslinjer.</w:t>
      </w:r>
    </w:p>
    <w:p w14:paraId="4EFD9FD8" w14:textId="77777777" w:rsidR="006478AD" w:rsidRPr="00AA499E" w:rsidRDefault="006478AD">
      <w:pPr>
        <w:autoSpaceDE w:val="0"/>
        <w:autoSpaceDN w:val="0"/>
        <w:adjustRightInd w:val="0"/>
        <w:spacing w:after="0" w:line="240" w:lineRule="auto"/>
        <w:rPr>
          <w:rFonts w:ascii="Times New Roman" w:hAnsi="Times New Roman"/>
          <w:lang w:val="da-DK"/>
        </w:rPr>
      </w:pPr>
    </w:p>
    <w:p w14:paraId="72E9F0AA"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7.</w:t>
      </w:r>
      <w:r w:rsidRPr="00AA499E">
        <w:rPr>
          <w:rFonts w:ascii="Times New Roman" w:hAnsi="Times New Roman"/>
          <w:b/>
          <w:bCs/>
          <w:lang w:val="da-DK"/>
        </w:rPr>
        <w:tab/>
        <w:t>INDEHAVER AF MARKEDSFØRINGSTILLADELSEN</w:t>
      </w:r>
    </w:p>
    <w:p w14:paraId="13C2A9BD" w14:textId="77777777" w:rsidR="006478AD" w:rsidRPr="00AA499E" w:rsidRDefault="006478AD">
      <w:pPr>
        <w:autoSpaceDE w:val="0"/>
        <w:autoSpaceDN w:val="0"/>
        <w:adjustRightInd w:val="0"/>
        <w:spacing w:after="0" w:line="240" w:lineRule="auto"/>
        <w:rPr>
          <w:rFonts w:ascii="Times New Roman" w:hAnsi="Times New Roman"/>
          <w:lang w:val="da-DK"/>
        </w:rPr>
      </w:pPr>
    </w:p>
    <w:p w14:paraId="2DF6746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62DD5F5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Reykjavíkurvegur 76-78</w:t>
      </w:r>
    </w:p>
    <w:p w14:paraId="619FCCC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IS-220 Hafnarfjörður</w:t>
      </w:r>
    </w:p>
    <w:p w14:paraId="4A80846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3F652D07" w14:textId="77777777" w:rsidR="006478AD" w:rsidRPr="00AA499E" w:rsidRDefault="006478AD">
      <w:pPr>
        <w:autoSpaceDE w:val="0"/>
        <w:autoSpaceDN w:val="0"/>
        <w:adjustRightInd w:val="0"/>
        <w:spacing w:after="0" w:line="240" w:lineRule="auto"/>
        <w:rPr>
          <w:rFonts w:ascii="Times New Roman" w:hAnsi="Times New Roman"/>
          <w:lang w:val="da-DK"/>
        </w:rPr>
      </w:pPr>
    </w:p>
    <w:p w14:paraId="277D40CF" w14:textId="77777777" w:rsidR="006478AD" w:rsidRPr="00AA499E" w:rsidRDefault="006478AD">
      <w:pPr>
        <w:autoSpaceDE w:val="0"/>
        <w:autoSpaceDN w:val="0"/>
        <w:adjustRightInd w:val="0"/>
        <w:spacing w:after="0" w:line="240" w:lineRule="auto"/>
        <w:rPr>
          <w:rFonts w:ascii="Times New Roman" w:hAnsi="Times New Roman"/>
          <w:lang w:val="da-DK"/>
        </w:rPr>
      </w:pPr>
    </w:p>
    <w:p w14:paraId="0B2C01D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8.</w:t>
      </w:r>
      <w:r w:rsidRPr="00AA499E">
        <w:rPr>
          <w:rFonts w:ascii="Times New Roman" w:hAnsi="Times New Roman"/>
          <w:b/>
          <w:bCs/>
          <w:lang w:val="da-DK"/>
        </w:rPr>
        <w:tab/>
        <w:t>MARKEDSFØRINGSTILLADELSESNUMMER (NUMRE)</w:t>
      </w:r>
    </w:p>
    <w:p w14:paraId="324E86BE" w14:textId="77777777" w:rsidR="006478AD" w:rsidRPr="00AA499E" w:rsidRDefault="006478AD">
      <w:pPr>
        <w:autoSpaceDE w:val="0"/>
        <w:autoSpaceDN w:val="0"/>
        <w:adjustRightInd w:val="0"/>
        <w:spacing w:after="0" w:line="240" w:lineRule="auto"/>
        <w:rPr>
          <w:rFonts w:ascii="Times New Roman" w:hAnsi="Times New Roman"/>
          <w:lang w:val="da-DK"/>
        </w:rPr>
      </w:pPr>
    </w:p>
    <w:p w14:paraId="0993FC5F" w14:textId="77777777" w:rsidR="00462FB4" w:rsidRPr="00AA499E" w:rsidRDefault="00462FB4" w:rsidP="00F635E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 filmovertrukne tabletter</w:t>
      </w:r>
    </w:p>
    <w:p w14:paraId="0D4577B8" w14:textId="77777777" w:rsidR="00F635EC" w:rsidRPr="00AA499E" w:rsidRDefault="00F635EC" w:rsidP="00F635E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EU/1/13/825/008</w:t>
      </w:r>
    </w:p>
    <w:p w14:paraId="3D0E91F4" w14:textId="77777777" w:rsidR="00F635EC" w:rsidRPr="00C76A02" w:rsidRDefault="00F635EC" w:rsidP="00F635EC">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EU/1/13/825/009</w:t>
      </w:r>
    </w:p>
    <w:p w14:paraId="73021BBF" w14:textId="77777777" w:rsidR="00F635EC" w:rsidRPr="00C76A02" w:rsidRDefault="00F635EC" w:rsidP="00F635EC">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EU/1/13/825/010</w:t>
      </w:r>
    </w:p>
    <w:p w14:paraId="32EF73FC" w14:textId="77777777" w:rsidR="00F635EC" w:rsidRPr="00C76A02" w:rsidRDefault="00F635EC" w:rsidP="00F635EC">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EU/1/13/825/011</w:t>
      </w:r>
    </w:p>
    <w:p w14:paraId="27415F4B" w14:textId="77777777" w:rsidR="00F635EC" w:rsidRPr="00C76A02" w:rsidRDefault="00F635EC" w:rsidP="00F635EC">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EU/1/13/825/012</w:t>
      </w:r>
    </w:p>
    <w:p w14:paraId="11F1846F" w14:textId="77777777" w:rsidR="00F635EC" w:rsidRPr="00C76A02" w:rsidRDefault="00F635EC" w:rsidP="00F635EC">
      <w:pPr>
        <w:autoSpaceDE w:val="0"/>
        <w:autoSpaceDN w:val="0"/>
        <w:adjustRightInd w:val="0"/>
        <w:spacing w:after="0" w:line="240" w:lineRule="auto"/>
        <w:rPr>
          <w:rFonts w:ascii="Times New Roman" w:hAnsi="Times New Roman"/>
          <w:lang w:val="pt-PT"/>
        </w:rPr>
      </w:pPr>
      <w:r w:rsidRPr="00C76A02">
        <w:rPr>
          <w:rFonts w:ascii="Times New Roman" w:hAnsi="Times New Roman"/>
          <w:lang w:val="pt-PT"/>
        </w:rPr>
        <w:t>EU/1/13/825/013</w:t>
      </w:r>
    </w:p>
    <w:p w14:paraId="79725509" w14:textId="77777777" w:rsidR="006478AD" w:rsidRPr="00AA499E" w:rsidRDefault="00F635EC" w:rsidP="00F635E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EU/1/13/825/014</w:t>
      </w:r>
    </w:p>
    <w:p w14:paraId="32353BBF" w14:textId="77777777" w:rsidR="00462FB4" w:rsidRPr="00AA499E" w:rsidRDefault="00462FB4" w:rsidP="00F635EC">
      <w:pPr>
        <w:autoSpaceDE w:val="0"/>
        <w:autoSpaceDN w:val="0"/>
        <w:adjustRightInd w:val="0"/>
        <w:spacing w:after="0" w:line="240" w:lineRule="auto"/>
        <w:rPr>
          <w:rFonts w:ascii="Times New Roman" w:hAnsi="Times New Roman"/>
          <w:lang w:val="da-DK"/>
        </w:rPr>
      </w:pPr>
    </w:p>
    <w:p w14:paraId="3F41E36E" w14:textId="77777777" w:rsidR="006478AD" w:rsidRPr="00AA499E" w:rsidRDefault="00462FB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 filmovertrukne tabletter</w:t>
      </w:r>
    </w:p>
    <w:p w14:paraId="5DBED304" w14:textId="77777777" w:rsidR="00462FB4" w:rsidRPr="00AA499E" w:rsidRDefault="00462FB4" w:rsidP="00462FB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EU/1/13/825/015</w:t>
      </w:r>
    </w:p>
    <w:p w14:paraId="7CB23B68" w14:textId="77777777" w:rsidR="00462FB4" w:rsidRPr="00AA499E" w:rsidRDefault="00462FB4" w:rsidP="00462FB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EU/1/13/825/016</w:t>
      </w:r>
    </w:p>
    <w:p w14:paraId="5C9E07C1" w14:textId="77777777" w:rsidR="00462FB4" w:rsidRPr="00AA499E" w:rsidRDefault="00462FB4" w:rsidP="00462FB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EU/1/13/825/017</w:t>
      </w:r>
    </w:p>
    <w:p w14:paraId="359C646F" w14:textId="77777777" w:rsidR="00462FB4" w:rsidRPr="00AA499E" w:rsidRDefault="00462FB4" w:rsidP="00462FB4">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EU/1/13/825/018</w:t>
      </w:r>
    </w:p>
    <w:p w14:paraId="4BC5D0B0" w14:textId="77777777" w:rsidR="00462FB4" w:rsidRPr="00AA499E" w:rsidRDefault="00462FB4">
      <w:pPr>
        <w:autoSpaceDE w:val="0"/>
        <w:autoSpaceDN w:val="0"/>
        <w:adjustRightInd w:val="0"/>
        <w:spacing w:after="0" w:line="240" w:lineRule="auto"/>
        <w:rPr>
          <w:rFonts w:ascii="Times New Roman" w:hAnsi="Times New Roman"/>
          <w:lang w:val="da-DK"/>
        </w:rPr>
      </w:pPr>
    </w:p>
    <w:p w14:paraId="7EE3CC05" w14:textId="77777777" w:rsidR="006478AD" w:rsidRPr="00AA499E" w:rsidRDefault="006478AD">
      <w:pPr>
        <w:autoSpaceDE w:val="0"/>
        <w:autoSpaceDN w:val="0"/>
        <w:adjustRightInd w:val="0"/>
        <w:spacing w:after="0" w:line="240" w:lineRule="auto"/>
        <w:rPr>
          <w:rFonts w:ascii="Times New Roman" w:hAnsi="Times New Roman"/>
          <w:lang w:val="da-DK"/>
        </w:rPr>
      </w:pPr>
    </w:p>
    <w:p w14:paraId="0416E517" w14:textId="77777777" w:rsidR="006478AD" w:rsidRPr="00AA499E" w:rsidRDefault="00616F3C" w:rsidP="00063A26">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9.</w:t>
      </w:r>
      <w:r w:rsidRPr="00AA499E">
        <w:rPr>
          <w:rFonts w:ascii="Times New Roman" w:hAnsi="Times New Roman"/>
          <w:b/>
          <w:bCs/>
          <w:lang w:val="da-DK"/>
        </w:rPr>
        <w:tab/>
        <w:t>DATO FOR FØRSTE MARKEDSFØRINGSTILLADELSE/FORNYELSE AF TILLADELSEN</w:t>
      </w:r>
    </w:p>
    <w:p w14:paraId="7D5F4DD6" w14:textId="77777777" w:rsidR="002219D7" w:rsidRPr="00AA499E" w:rsidRDefault="002219D7">
      <w:pPr>
        <w:autoSpaceDE w:val="0"/>
        <w:autoSpaceDN w:val="0"/>
        <w:adjustRightInd w:val="0"/>
        <w:spacing w:after="0" w:line="240" w:lineRule="auto"/>
        <w:rPr>
          <w:rFonts w:ascii="Times New Roman" w:hAnsi="Times New Roman"/>
          <w:b/>
          <w:bCs/>
          <w:lang w:val="da-DK"/>
        </w:rPr>
      </w:pPr>
    </w:p>
    <w:p w14:paraId="4C3A0A92" w14:textId="77777777" w:rsidR="002219D7" w:rsidRPr="00AA499E" w:rsidRDefault="002219D7">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Dato for første markedsføringstilladelse: 17 april 2013</w:t>
      </w:r>
    </w:p>
    <w:p w14:paraId="69B45861" w14:textId="77777777" w:rsidR="00433558" w:rsidRPr="00AA499E" w:rsidRDefault="00433558">
      <w:pPr>
        <w:autoSpaceDE w:val="0"/>
        <w:autoSpaceDN w:val="0"/>
        <w:adjustRightInd w:val="0"/>
        <w:spacing w:after="0" w:line="240" w:lineRule="auto"/>
        <w:rPr>
          <w:rFonts w:ascii="Times New Roman" w:hAnsi="Times New Roman"/>
          <w:lang w:val="da-DK"/>
        </w:rPr>
      </w:pPr>
    </w:p>
    <w:p w14:paraId="46AF7D2B" w14:textId="77777777" w:rsidR="006478AD" w:rsidRPr="00AA499E" w:rsidRDefault="006478AD">
      <w:pPr>
        <w:autoSpaceDE w:val="0"/>
        <w:autoSpaceDN w:val="0"/>
        <w:adjustRightInd w:val="0"/>
        <w:spacing w:after="0" w:line="240" w:lineRule="auto"/>
        <w:rPr>
          <w:rFonts w:ascii="Times New Roman" w:hAnsi="Times New Roman"/>
          <w:lang w:val="da-DK"/>
        </w:rPr>
      </w:pPr>
    </w:p>
    <w:p w14:paraId="5561C518"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10.</w:t>
      </w:r>
      <w:r w:rsidRPr="00AA499E">
        <w:rPr>
          <w:rFonts w:ascii="Times New Roman" w:hAnsi="Times New Roman"/>
          <w:b/>
          <w:bCs/>
          <w:lang w:val="da-DK"/>
        </w:rPr>
        <w:tab/>
        <w:t>DATO FOR ÆNDRING AF TEKSTEN</w:t>
      </w:r>
    </w:p>
    <w:p w14:paraId="22D307D5" w14:textId="77777777" w:rsidR="006478AD" w:rsidRPr="00AA499E" w:rsidRDefault="006478AD">
      <w:pPr>
        <w:autoSpaceDE w:val="0"/>
        <w:autoSpaceDN w:val="0"/>
        <w:adjustRightInd w:val="0"/>
        <w:spacing w:after="0" w:line="240" w:lineRule="auto"/>
        <w:rPr>
          <w:rFonts w:ascii="Times New Roman" w:hAnsi="Times New Roman"/>
          <w:lang w:val="da-DK"/>
        </w:rPr>
      </w:pPr>
    </w:p>
    <w:p w14:paraId="14E02F41" w14:textId="77777777" w:rsidR="006478AD" w:rsidRPr="00AA499E" w:rsidRDefault="00616F3C" w:rsidP="00B05A33">
      <w:pPr>
        <w:tabs>
          <w:tab w:val="left" w:pos="567"/>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 xml:space="preserve">Yderligere </w:t>
      </w:r>
      <w:r w:rsidR="00992498" w:rsidRPr="00AA499E">
        <w:rPr>
          <w:rFonts w:ascii="Times New Roman" w:hAnsi="Times New Roman"/>
          <w:lang w:val="da-DK"/>
        </w:rPr>
        <w:t>oplysninger</w:t>
      </w:r>
      <w:r w:rsidRPr="00AA499E">
        <w:rPr>
          <w:rFonts w:ascii="Times New Roman" w:hAnsi="Times New Roman"/>
          <w:lang w:val="da-DK"/>
        </w:rPr>
        <w:t xml:space="preserve"> om imatinib findes på Det Europæiske Lægemiddelagenturs hjemmeside </w:t>
      </w:r>
      <w:hyperlink r:id="rId14" w:history="1">
        <w:r w:rsidRPr="00AA499E">
          <w:rPr>
            <w:rStyle w:val="Hyperlink"/>
            <w:rFonts w:ascii="Times New Roman" w:hAnsi="Times New Roman"/>
            <w:lang w:val="da-DK"/>
          </w:rPr>
          <w:t>http://www.ema.europa.eu</w:t>
        </w:r>
      </w:hyperlink>
      <w:r w:rsidR="009A2A90" w:rsidRPr="00AA499E">
        <w:rPr>
          <w:rFonts w:ascii="Times New Roman" w:hAnsi="Times New Roman"/>
          <w:lang w:val="da-DK"/>
        </w:rPr>
        <w:br w:type="page"/>
      </w:r>
    </w:p>
    <w:p w14:paraId="77817EEA" w14:textId="77777777" w:rsidR="00573F2B" w:rsidRPr="00AA499E" w:rsidRDefault="00573F2B" w:rsidP="00573F2B">
      <w:pPr>
        <w:keepNext/>
        <w:widowControl w:val="0"/>
        <w:autoSpaceDE w:val="0"/>
        <w:autoSpaceDN w:val="0"/>
        <w:adjustRightInd w:val="0"/>
        <w:spacing w:before="280" w:after="220" w:line="240" w:lineRule="auto"/>
        <w:ind w:left="127" w:right="120"/>
        <w:jc w:val="center"/>
        <w:rPr>
          <w:rFonts w:ascii="Times New Roman" w:eastAsia="SimSun" w:hAnsi="Times New Roman"/>
          <w:b/>
          <w:bCs/>
          <w:szCs w:val="20"/>
          <w:lang w:val="da-DK" w:eastAsia="zh-CN"/>
        </w:rPr>
      </w:pPr>
    </w:p>
    <w:p w14:paraId="3DEEE0F4" w14:textId="77777777" w:rsidR="0095775F" w:rsidRPr="00AA499E" w:rsidRDefault="0095775F" w:rsidP="00573F2B">
      <w:pPr>
        <w:keepNext/>
        <w:widowControl w:val="0"/>
        <w:autoSpaceDE w:val="0"/>
        <w:autoSpaceDN w:val="0"/>
        <w:adjustRightInd w:val="0"/>
        <w:spacing w:before="280" w:after="220" w:line="240" w:lineRule="auto"/>
        <w:ind w:left="127" w:right="120"/>
        <w:jc w:val="center"/>
        <w:rPr>
          <w:rFonts w:ascii="Times New Roman" w:eastAsia="SimSun" w:hAnsi="Times New Roman"/>
          <w:b/>
          <w:bCs/>
          <w:szCs w:val="20"/>
          <w:lang w:val="da-DK" w:eastAsia="zh-CN"/>
        </w:rPr>
      </w:pPr>
    </w:p>
    <w:p w14:paraId="1038B38E" w14:textId="77777777" w:rsidR="0095775F" w:rsidRPr="00AA499E" w:rsidRDefault="0095775F" w:rsidP="00573F2B">
      <w:pPr>
        <w:keepNext/>
        <w:widowControl w:val="0"/>
        <w:autoSpaceDE w:val="0"/>
        <w:autoSpaceDN w:val="0"/>
        <w:adjustRightInd w:val="0"/>
        <w:spacing w:before="280" w:after="220" w:line="240" w:lineRule="auto"/>
        <w:ind w:left="127" w:right="120"/>
        <w:jc w:val="center"/>
        <w:rPr>
          <w:rFonts w:ascii="Times New Roman" w:eastAsia="SimSun" w:hAnsi="Times New Roman"/>
          <w:b/>
          <w:bCs/>
          <w:szCs w:val="20"/>
          <w:lang w:val="da-DK" w:eastAsia="zh-CN"/>
        </w:rPr>
      </w:pPr>
    </w:p>
    <w:p w14:paraId="6A4D09ED" w14:textId="77777777" w:rsidR="0095775F" w:rsidRPr="00AA499E" w:rsidRDefault="0095775F" w:rsidP="00573F2B">
      <w:pPr>
        <w:keepNext/>
        <w:widowControl w:val="0"/>
        <w:autoSpaceDE w:val="0"/>
        <w:autoSpaceDN w:val="0"/>
        <w:adjustRightInd w:val="0"/>
        <w:spacing w:before="280" w:after="220" w:line="240" w:lineRule="auto"/>
        <w:ind w:left="127" w:right="120"/>
        <w:jc w:val="center"/>
        <w:rPr>
          <w:rFonts w:ascii="Times New Roman" w:eastAsia="SimSun" w:hAnsi="Times New Roman"/>
          <w:b/>
          <w:bCs/>
          <w:szCs w:val="20"/>
          <w:lang w:val="da-DK" w:eastAsia="zh-CN"/>
        </w:rPr>
      </w:pPr>
    </w:p>
    <w:p w14:paraId="2882C3E8" w14:textId="77777777" w:rsidR="0095775F" w:rsidRPr="00AA499E" w:rsidRDefault="0095775F" w:rsidP="00573F2B">
      <w:pPr>
        <w:keepNext/>
        <w:widowControl w:val="0"/>
        <w:autoSpaceDE w:val="0"/>
        <w:autoSpaceDN w:val="0"/>
        <w:adjustRightInd w:val="0"/>
        <w:spacing w:before="280" w:after="220" w:line="240" w:lineRule="auto"/>
        <w:ind w:left="127" w:right="120"/>
        <w:jc w:val="center"/>
        <w:rPr>
          <w:rFonts w:ascii="Times New Roman" w:eastAsia="SimSun" w:hAnsi="Times New Roman"/>
          <w:b/>
          <w:bCs/>
          <w:szCs w:val="20"/>
          <w:lang w:val="da-DK" w:eastAsia="zh-CN"/>
        </w:rPr>
      </w:pPr>
    </w:p>
    <w:p w14:paraId="3BA269F5" w14:textId="77777777" w:rsidR="0095775F" w:rsidRPr="00AA499E" w:rsidRDefault="0095775F" w:rsidP="00573F2B">
      <w:pPr>
        <w:keepNext/>
        <w:widowControl w:val="0"/>
        <w:autoSpaceDE w:val="0"/>
        <w:autoSpaceDN w:val="0"/>
        <w:adjustRightInd w:val="0"/>
        <w:spacing w:before="280" w:after="220" w:line="240" w:lineRule="auto"/>
        <w:ind w:left="127" w:right="120"/>
        <w:jc w:val="center"/>
        <w:rPr>
          <w:rFonts w:ascii="Times New Roman" w:eastAsia="SimSun" w:hAnsi="Times New Roman"/>
          <w:b/>
          <w:bCs/>
          <w:szCs w:val="20"/>
          <w:lang w:val="da-DK" w:eastAsia="zh-CN"/>
        </w:rPr>
      </w:pPr>
    </w:p>
    <w:p w14:paraId="60C7AB34" w14:textId="77777777" w:rsidR="00573F2B" w:rsidRPr="00AA499E" w:rsidRDefault="00573F2B" w:rsidP="00573F2B">
      <w:pPr>
        <w:keepNext/>
        <w:widowControl w:val="0"/>
        <w:autoSpaceDE w:val="0"/>
        <w:autoSpaceDN w:val="0"/>
        <w:adjustRightInd w:val="0"/>
        <w:spacing w:before="280" w:after="220" w:line="240" w:lineRule="auto"/>
        <w:ind w:left="127" w:right="120"/>
        <w:contextualSpacing/>
        <w:jc w:val="center"/>
        <w:rPr>
          <w:rFonts w:ascii="Times New Roman" w:eastAsia="SimSun" w:hAnsi="Times New Roman"/>
          <w:b/>
          <w:bCs/>
          <w:szCs w:val="20"/>
          <w:lang w:val="da-DK" w:eastAsia="zh-CN"/>
        </w:rPr>
      </w:pPr>
    </w:p>
    <w:p w14:paraId="66FFC381" w14:textId="77777777" w:rsidR="00573F2B" w:rsidRPr="00AA499E" w:rsidRDefault="00573F2B" w:rsidP="00573F2B">
      <w:pPr>
        <w:keepNext/>
        <w:widowControl w:val="0"/>
        <w:autoSpaceDE w:val="0"/>
        <w:autoSpaceDN w:val="0"/>
        <w:adjustRightInd w:val="0"/>
        <w:spacing w:before="280" w:after="220" w:line="240" w:lineRule="auto"/>
        <w:ind w:left="127" w:right="120"/>
        <w:contextualSpacing/>
        <w:jc w:val="center"/>
        <w:rPr>
          <w:rFonts w:ascii="Times New Roman" w:eastAsia="SimSun" w:hAnsi="Times New Roman"/>
          <w:b/>
          <w:bCs/>
          <w:szCs w:val="20"/>
          <w:lang w:val="da-DK" w:eastAsia="zh-CN"/>
        </w:rPr>
      </w:pPr>
    </w:p>
    <w:p w14:paraId="7CFC0EFD" w14:textId="77777777" w:rsidR="004E4F39" w:rsidRPr="00AA499E" w:rsidRDefault="004E4F39" w:rsidP="004E4F39">
      <w:pPr>
        <w:ind w:right="14"/>
        <w:contextualSpacing/>
        <w:jc w:val="center"/>
        <w:rPr>
          <w:rFonts w:ascii="Times New Roman" w:hAnsi="Times New Roman"/>
          <w:szCs w:val="24"/>
          <w:lang w:val="da-DK"/>
        </w:rPr>
      </w:pPr>
    </w:p>
    <w:p w14:paraId="6CD80C06" w14:textId="77777777" w:rsidR="004E4F39" w:rsidRPr="00AA499E" w:rsidRDefault="004E4F39" w:rsidP="004E4F39">
      <w:pPr>
        <w:tabs>
          <w:tab w:val="left" w:pos="-720"/>
        </w:tabs>
        <w:suppressAutoHyphens/>
        <w:contextualSpacing/>
        <w:jc w:val="center"/>
        <w:rPr>
          <w:rFonts w:ascii="Times New Roman" w:hAnsi="Times New Roman"/>
          <w:szCs w:val="24"/>
          <w:lang w:val="da-DK"/>
        </w:rPr>
      </w:pPr>
      <w:r w:rsidRPr="00AA499E">
        <w:rPr>
          <w:rFonts w:ascii="Times New Roman" w:hAnsi="Times New Roman"/>
          <w:b/>
          <w:noProof/>
          <w:szCs w:val="24"/>
          <w:lang w:val="da-DK"/>
        </w:rPr>
        <w:t>BILAG II</w:t>
      </w:r>
    </w:p>
    <w:p w14:paraId="375235CB" w14:textId="77777777" w:rsidR="004E4F39" w:rsidRPr="00AA499E" w:rsidRDefault="004E4F39" w:rsidP="004E4F39">
      <w:pPr>
        <w:contextualSpacing/>
        <w:rPr>
          <w:rFonts w:ascii="Times New Roman" w:hAnsi="Times New Roman"/>
          <w:szCs w:val="24"/>
          <w:lang w:val="da-DK"/>
        </w:rPr>
      </w:pPr>
    </w:p>
    <w:p w14:paraId="67E69113" w14:textId="77777777" w:rsidR="004E4F39" w:rsidRPr="00AA499E" w:rsidRDefault="004E4F39" w:rsidP="004E4F39">
      <w:pPr>
        <w:tabs>
          <w:tab w:val="left" w:pos="-720"/>
          <w:tab w:val="left" w:pos="1701"/>
        </w:tabs>
        <w:suppressAutoHyphens/>
        <w:ind w:left="1701" w:right="1410" w:hanging="567"/>
        <w:contextualSpacing/>
        <w:rPr>
          <w:rFonts w:ascii="Times New Roman" w:hAnsi="Times New Roman"/>
          <w:b/>
          <w:szCs w:val="24"/>
          <w:lang w:val="da-DK"/>
        </w:rPr>
      </w:pPr>
      <w:r w:rsidRPr="00AA499E">
        <w:rPr>
          <w:rFonts w:ascii="Times New Roman" w:hAnsi="Times New Roman"/>
          <w:b/>
          <w:noProof/>
          <w:szCs w:val="24"/>
          <w:lang w:val="da-DK"/>
        </w:rPr>
        <w:t>A.</w:t>
      </w:r>
      <w:r w:rsidRPr="00AA499E">
        <w:rPr>
          <w:rFonts w:ascii="Times New Roman" w:hAnsi="Times New Roman"/>
          <w:b/>
          <w:szCs w:val="24"/>
          <w:lang w:val="da-DK"/>
        </w:rPr>
        <w:tab/>
      </w:r>
      <w:r w:rsidRPr="00AA499E">
        <w:rPr>
          <w:rFonts w:ascii="Times New Roman" w:hAnsi="Times New Roman"/>
          <w:b/>
          <w:noProof/>
          <w:szCs w:val="24"/>
          <w:lang w:val="da-DK"/>
        </w:rPr>
        <w:t>FREMSTILLER(E) ANSVARLIG(E) FOR BATCHFRIGIVELSE</w:t>
      </w:r>
    </w:p>
    <w:p w14:paraId="13586810" w14:textId="77777777" w:rsidR="004E4F39" w:rsidRPr="00AA499E" w:rsidRDefault="004E4F39" w:rsidP="004E4F39">
      <w:pPr>
        <w:tabs>
          <w:tab w:val="left" w:pos="-720"/>
        </w:tabs>
        <w:suppressAutoHyphens/>
        <w:ind w:right="1410"/>
        <w:contextualSpacing/>
        <w:rPr>
          <w:rFonts w:ascii="Times New Roman" w:hAnsi="Times New Roman"/>
          <w:b/>
          <w:szCs w:val="24"/>
          <w:lang w:val="da-DK"/>
        </w:rPr>
      </w:pPr>
    </w:p>
    <w:p w14:paraId="419CDF57" w14:textId="77777777" w:rsidR="004E4F39" w:rsidRPr="00AA499E" w:rsidRDefault="004E4F39" w:rsidP="004E4F39">
      <w:pPr>
        <w:tabs>
          <w:tab w:val="left" w:pos="-720"/>
          <w:tab w:val="left" w:pos="1701"/>
        </w:tabs>
        <w:suppressAutoHyphens/>
        <w:ind w:left="1701" w:right="1418" w:hanging="567"/>
        <w:contextualSpacing/>
        <w:rPr>
          <w:rFonts w:ascii="Times New Roman" w:hAnsi="Times New Roman"/>
          <w:b/>
          <w:szCs w:val="24"/>
          <w:lang w:val="da-DK"/>
        </w:rPr>
      </w:pPr>
      <w:r w:rsidRPr="00AA499E">
        <w:rPr>
          <w:rFonts w:ascii="Times New Roman" w:hAnsi="Times New Roman"/>
          <w:b/>
          <w:noProof/>
          <w:szCs w:val="24"/>
          <w:lang w:val="da-DK"/>
        </w:rPr>
        <w:t>B.</w:t>
      </w:r>
      <w:r w:rsidRPr="00AA499E">
        <w:rPr>
          <w:rFonts w:ascii="Times New Roman" w:hAnsi="Times New Roman"/>
          <w:b/>
          <w:szCs w:val="24"/>
          <w:lang w:val="da-DK"/>
        </w:rPr>
        <w:tab/>
      </w:r>
      <w:r w:rsidRPr="00AA499E">
        <w:rPr>
          <w:rFonts w:ascii="Times New Roman" w:hAnsi="Times New Roman"/>
          <w:b/>
          <w:noProof/>
          <w:szCs w:val="24"/>
          <w:lang w:val="da-DK"/>
        </w:rPr>
        <w:t>BETINGELSER ELLER BEGRÆNSNINGER VEDRØRENDE UDLEVERING OG ANVENDELSE</w:t>
      </w:r>
    </w:p>
    <w:p w14:paraId="3A30E8EB" w14:textId="77777777" w:rsidR="004E4F39" w:rsidRPr="00AA499E" w:rsidRDefault="004E4F39" w:rsidP="004E4F39">
      <w:pPr>
        <w:tabs>
          <w:tab w:val="left" w:pos="-720"/>
        </w:tabs>
        <w:suppressAutoHyphens/>
        <w:ind w:right="1410"/>
        <w:contextualSpacing/>
        <w:rPr>
          <w:rFonts w:ascii="Times New Roman" w:hAnsi="Times New Roman"/>
          <w:b/>
          <w:szCs w:val="24"/>
          <w:lang w:val="da-DK"/>
        </w:rPr>
      </w:pPr>
    </w:p>
    <w:p w14:paraId="016450D3" w14:textId="77777777" w:rsidR="004E4F39" w:rsidRPr="00AA499E" w:rsidRDefault="004E4F39" w:rsidP="004E4F39">
      <w:pPr>
        <w:tabs>
          <w:tab w:val="left" w:pos="-720"/>
          <w:tab w:val="left" w:pos="1701"/>
        </w:tabs>
        <w:suppressAutoHyphens/>
        <w:ind w:left="1701" w:right="1418" w:hanging="567"/>
        <w:contextualSpacing/>
        <w:rPr>
          <w:rFonts w:ascii="Times New Roman" w:hAnsi="Times New Roman"/>
          <w:b/>
          <w:szCs w:val="24"/>
          <w:lang w:val="da-DK"/>
        </w:rPr>
      </w:pPr>
      <w:r w:rsidRPr="00AA499E">
        <w:rPr>
          <w:rFonts w:ascii="Times New Roman" w:hAnsi="Times New Roman"/>
          <w:b/>
          <w:noProof/>
          <w:szCs w:val="24"/>
          <w:lang w:val="da-DK"/>
        </w:rPr>
        <w:t>C.</w:t>
      </w:r>
      <w:r w:rsidRPr="00AA499E">
        <w:rPr>
          <w:rFonts w:ascii="Times New Roman" w:hAnsi="Times New Roman"/>
          <w:b/>
          <w:szCs w:val="24"/>
          <w:lang w:val="da-DK"/>
        </w:rPr>
        <w:tab/>
      </w:r>
      <w:r w:rsidRPr="00AA499E">
        <w:rPr>
          <w:rFonts w:ascii="Times New Roman" w:hAnsi="Times New Roman"/>
          <w:b/>
          <w:noProof/>
          <w:szCs w:val="24"/>
          <w:lang w:val="da-DK"/>
        </w:rPr>
        <w:t>ANDRE FORHOLD OG BETINGELSER FOR MARKEDSFØRINGSTILLADELSEN</w:t>
      </w:r>
    </w:p>
    <w:p w14:paraId="007D4CC7" w14:textId="77777777" w:rsidR="004E4F39" w:rsidRPr="00AA499E" w:rsidRDefault="004E4F39" w:rsidP="004E4F39">
      <w:pPr>
        <w:tabs>
          <w:tab w:val="left" w:pos="-720"/>
          <w:tab w:val="left" w:pos="1701"/>
        </w:tabs>
        <w:suppressAutoHyphens/>
        <w:ind w:left="1701" w:right="1418" w:hanging="567"/>
        <w:contextualSpacing/>
        <w:rPr>
          <w:rFonts w:ascii="Times New Roman" w:hAnsi="Times New Roman"/>
          <w:b/>
          <w:szCs w:val="24"/>
          <w:lang w:val="da-DK"/>
        </w:rPr>
      </w:pPr>
    </w:p>
    <w:p w14:paraId="61F72284" w14:textId="77777777" w:rsidR="004E4F39" w:rsidRPr="00AA499E" w:rsidRDefault="004E4F39" w:rsidP="004E4F39">
      <w:pPr>
        <w:tabs>
          <w:tab w:val="left" w:pos="-720"/>
          <w:tab w:val="left" w:pos="1701"/>
        </w:tabs>
        <w:suppressAutoHyphens/>
        <w:ind w:left="1701" w:right="1418" w:hanging="567"/>
        <w:contextualSpacing/>
        <w:rPr>
          <w:rFonts w:ascii="Times New Roman" w:hAnsi="Times New Roman"/>
          <w:b/>
          <w:szCs w:val="24"/>
          <w:lang w:val="da-DK"/>
        </w:rPr>
      </w:pPr>
      <w:r w:rsidRPr="00AA499E">
        <w:rPr>
          <w:rFonts w:ascii="Times New Roman" w:hAnsi="Times New Roman"/>
          <w:b/>
          <w:noProof/>
          <w:szCs w:val="24"/>
          <w:lang w:val="da-DK"/>
        </w:rPr>
        <w:t>D.</w:t>
      </w:r>
      <w:r w:rsidRPr="00AA499E">
        <w:rPr>
          <w:rFonts w:ascii="Times New Roman" w:hAnsi="Times New Roman"/>
          <w:b/>
          <w:szCs w:val="24"/>
          <w:lang w:val="da-DK"/>
        </w:rPr>
        <w:tab/>
        <w:t>BETINGELSER ELLER BEGRÆNSNINGER MED HENSYN TIL SIKKER OG EFFEKTIV ANVENDELSE AF LÆGEMIDLET</w:t>
      </w:r>
    </w:p>
    <w:p w14:paraId="60F41E71" w14:textId="77777777" w:rsidR="004E4F39" w:rsidRPr="00AA499E" w:rsidRDefault="004E4F39" w:rsidP="004E4F39">
      <w:pPr>
        <w:tabs>
          <w:tab w:val="left" w:pos="-720"/>
          <w:tab w:val="left" w:pos="1701"/>
        </w:tabs>
        <w:suppressAutoHyphens/>
        <w:ind w:left="1701" w:right="1418" w:hanging="567"/>
        <w:rPr>
          <w:rFonts w:ascii="Times New Roman" w:hAnsi="Times New Roman"/>
          <w:b/>
          <w:szCs w:val="24"/>
          <w:lang w:val="da-DK"/>
        </w:rPr>
      </w:pPr>
    </w:p>
    <w:p w14:paraId="1040C9A4" w14:textId="77777777" w:rsidR="004E4F39" w:rsidRPr="00AA499E" w:rsidRDefault="004E4F39" w:rsidP="00C316BC">
      <w:pPr>
        <w:pStyle w:val="TitleB"/>
        <w:rPr>
          <w:lang w:val="da-DK"/>
        </w:rPr>
      </w:pPr>
      <w:r w:rsidRPr="00AA499E">
        <w:rPr>
          <w:lang w:val="da-DK"/>
        </w:rPr>
        <w:br w:type="page"/>
      </w:r>
      <w:r w:rsidRPr="00AA499E">
        <w:rPr>
          <w:lang w:val="da-DK"/>
        </w:rPr>
        <w:lastRenderedPageBreak/>
        <w:t>A.</w:t>
      </w:r>
      <w:r w:rsidRPr="00AA499E">
        <w:rPr>
          <w:lang w:val="da-DK"/>
        </w:rPr>
        <w:tab/>
        <w:t>FREMSTILLER(E) ANSVARLIG(E) FOR BATCHFRIGIVELSE</w:t>
      </w:r>
    </w:p>
    <w:p w14:paraId="20846455" w14:textId="77777777" w:rsidR="00C316BC" w:rsidRPr="00AA499E" w:rsidRDefault="00C316BC" w:rsidP="00C316BC">
      <w:pPr>
        <w:pStyle w:val="TitleB"/>
        <w:rPr>
          <w:lang w:val="da-DK"/>
        </w:rPr>
      </w:pPr>
    </w:p>
    <w:p w14:paraId="1209DCDC" w14:textId="77777777" w:rsidR="004E4F39" w:rsidRPr="00AA499E" w:rsidRDefault="004E4F39" w:rsidP="007E16DF">
      <w:pPr>
        <w:tabs>
          <w:tab w:val="left" w:pos="-720"/>
        </w:tabs>
        <w:suppressAutoHyphens/>
        <w:spacing w:line="240" w:lineRule="auto"/>
        <w:rPr>
          <w:rFonts w:ascii="Times New Roman" w:hAnsi="Times New Roman"/>
          <w:szCs w:val="24"/>
          <w:lang w:val="da-DK"/>
        </w:rPr>
      </w:pPr>
      <w:r w:rsidRPr="00AA499E">
        <w:rPr>
          <w:rFonts w:ascii="Times New Roman" w:hAnsi="Times New Roman"/>
          <w:noProof/>
          <w:szCs w:val="24"/>
          <w:u w:val="single"/>
          <w:lang w:val="da-DK"/>
        </w:rPr>
        <w:t>Navn og adresse på fremstilleren (fremstillerne) ansvarlig(e) for batchfrigivelse</w:t>
      </w:r>
    </w:p>
    <w:p w14:paraId="1F6A9E71" w14:textId="77777777" w:rsidR="004E4F39" w:rsidRPr="00AA499E" w:rsidRDefault="004E4F39" w:rsidP="007E16DF">
      <w:pPr>
        <w:suppressAutoHyphens/>
        <w:spacing w:line="240" w:lineRule="auto"/>
        <w:rPr>
          <w:rFonts w:ascii="Times New Roman" w:hAnsi="Times New Roman"/>
          <w:noProof/>
          <w:szCs w:val="24"/>
          <w:lang w:val="da-DK"/>
        </w:rPr>
      </w:pPr>
      <w:r w:rsidRPr="00AA499E">
        <w:rPr>
          <w:rFonts w:ascii="Times New Roman" w:hAnsi="Times New Roman"/>
          <w:noProof/>
          <w:szCs w:val="24"/>
          <w:lang w:val="da-DK"/>
        </w:rPr>
        <w:t>S.C. Sindan-Pharma S.R.L.</w:t>
      </w:r>
      <w:r w:rsidR="00722CDA" w:rsidRPr="00AA499E">
        <w:rPr>
          <w:rFonts w:ascii="Times New Roman" w:hAnsi="Times New Roman"/>
          <w:noProof/>
          <w:szCs w:val="24"/>
          <w:lang w:val="da-DK"/>
        </w:rPr>
        <w:br/>
      </w:r>
      <w:r w:rsidRPr="00AA499E">
        <w:rPr>
          <w:rFonts w:ascii="Times New Roman" w:hAnsi="Times New Roman"/>
          <w:noProof/>
          <w:szCs w:val="24"/>
          <w:lang w:val="da-DK"/>
        </w:rPr>
        <w:t>11</w:t>
      </w:r>
      <w:r w:rsidRPr="00AA499E">
        <w:rPr>
          <w:rFonts w:ascii="Times New Roman" w:hAnsi="Times New Roman"/>
          <w:noProof/>
          <w:szCs w:val="24"/>
          <w:vertAlign w:val="superscript"/>
          <w:lang w:val="da-DK"/>
        </w:rPr>
        <w:t>th</w:t>
      </w:r>
      <w:r w:rsidRPr="00AA499E">
        <w:rPr>
          <w:rFonts w:ascii="Times New Roman" w:hAnsi="Times New Roman"/>
          <w:noProof/>
          <w:szCs w:val="24"/>
          <w:lang w:val="da-DK"/>
        </w:rPr>
        <w:t xml:space="preserve"> Ion Mihalache Ave, The 1</w:t>
      </w:r>
      <w:r w:rsidRPr="00AA499E">
        <w:rPr>
          <w:rFonts w:ascii="Times New Roman" w:hAnsi="Times New Roman"/>
          <w:noProof/>
          <w:szCs w:val="24"/>
          <w:vertAlign w:val="superscript"/>
          <w:lang w:val="da-DK"/>
        </w:rPr>
        <w:t>st</w:t>
      </w:r>
      <w:r w:rsidRPr="00AA499E">
        <w:rPr>
          <w:rFonts w:ascii="Times New Roman" w:hAnsi="Times New Roman"/>
          <w:noProof/>
          <w:szCs w:val="24"/>
          <w:lang w:val="da-DK"/>
        </w:rPr>
        <w:t xml:space="preserve"> district,</w:t>
      </w:r>
      <w:r w:rsidR="00722CDA" w:rsidRPr="00AA499E">
        <w:rPr>
          <w:rFonts w:ascii="Times New Roman" w:hAnsi="Times New Roman"/>
          <w:noProof/>
          <w:szCs w:val="24"/>
          <w:lang w:val="da-DK"/>
        </w:rPr>
        <w:br/>
      </w:r>
      <w:r w:rsidRPr="00AA499E">
        <w:rPr>
          <w:rFonts w:ascii="Times New Roman" w:hAnsi="Times New Roman"/>
          <w:noProof/>
          <w:szCs w:val="24"/>
          <w:lang w:val="da-DK"/>
        </w:rPr>
        <w:t>RO-011171 Bucharest</w:t>
      </w:r>
      <w:r w:rsidR="00722CDA" w:rsidRPr="00AA499E">
        <w:rPr>
          <w:rFonts w:ascii="Times New Roman" w:hAnsi="Times New Roman"/>
          <w:noProof/>
          <w:szCs w:val="24"/>
          <w:lang w:val="da-DK"/>
        </w:rPr>
        <w:br/>
      </w:r>
      <w:r w:rsidRPr="00AA499E">
        <w:rPr>
          <w:rFonts w:ascii="Times New Roman" w:hAnsi="Times New Roman"/>
          <w:noProof/>
          <w:szCs w:val="24"/>
          <w:lang w:val="da-DK"/>
        </w:rPr>
        <w:t>Rumænien</w:t>
      </w:r>
    </w:p>
    <w:p w14:paraId="584D2992" w14:textId="77777777" w:rsidR="004E4F39" w:rsidRPr="00AA499E" w:rsidRDefault="004E4F39" w:rsidP="007E16DF">
      <w:pPr>
        <w:suppressAutoHyphens/>
        <w:spacing w:line="240" w:lineRule="auto"/>
        <w:ind w:left="709" w:hanging="709"/>
        <w:rPr>
          <w:rFonts w:ascii="Times New Roman" w:hAnsi="Times New Roman"/>
          <w:b/>
          <w:noProof/>
          <w:szCs w:val="24"/>
          <w:lang w:val="da-DK"/>
        </w:rPr>
      </w:pPr>
    </w:p>
    <w:p w14:paraId="23409BAF" w14:textId="77777777" w:rsidR="004E4F39" w:rsidRPr="00AA499E" w:rsidRDefault="004E4F39" w:rsidP="00C316BC">
      <w:pPr>
        <w:pStyle w:val="TitleB"/>
        <w:rPr>
          <w:lang w:val="da-DK"/>
        </w:rPr>
      </w:pPr>
      <w:r w:rsidRPr="00AA499E">
        <w:rPr>
          <w:lang w:val="da-DK"/>
        </w:rPr>
        <w:t>B.</w:t>
      </w:r>
      <w:r w:rsidRPr="00AA499E">
        <w:rPr>
          <w:lang w:val="da-DK"/>
        </w:rPr>
        <w:tab/>
        <w:t>BETINGELSER ELLER BEGRÆNSNINGER VEDRØRENDE UDLEVERING OG ANVENDELSE</w:t>
      </w:r>
    </w:p>
    <w:p w14:paraId="00A153A8" w14:textId="77777777" w:rsidR="004E4F39" w:rsidRPr="00AA499E" w:rsidRDefault="004E4F39" w:rsidP="007E16DF">
      <w:pPr>
        <w:numPr>
          <w:ilvl w:val="12"/>
          <w:numId w:val="0"/>
        </w:numPr>
        <w:spacing w:line="240" w:lineRule="auto"/>
        <w:rPr>
          <w:rFonts w:ascii="Times New Roman" w:hAnsi="Times New Roman"/>
          <w:szCs w:val="24"/>
          <w:lang w:val="da-DK"/>
        </w:rPr>
      </w:pPr>
    </w:p>
    <w:p w14:paraId="481307A8" w14:textId="77777777" w:rsidR="004E4F39" w:rsidRPr="00AA499E" w:rsidRDefault="004E4F39" w:rsidP="007E16DF">
      <w:pPr>
        <w:numPr>
          <w:ilvl w:val="12"/>
          <w:numId w:val="0"/>
        </w:numPr>
        <w:spacing w:line="240" w:lineRule="auto"/>
        <w:rPr>
          <w:rFonts w:ascii="Times New Roman" w:hAnsi="Times New Roman"/>
          <w:noProof/>
          <w:szCs w:val="24"/>
          <w:lang w:val="da-DK"/>
        </w:rPr>
      </w:pPr>
      <w:r w:rsidRPr="00AA499E">
        <w:rPr>
          <w:rFonts w:ascii="Times New Roman" w:hAnsi="Times New Roman"/>
          <w:noProof/>
          <w:szCs w:val="24"/>
          <w:lang w:val="da-DK"/>
        </w:rPr>
        <w:t>Lægemidlet må kun udleveres efter ordination på en recept udstedt af en begrænset lægegruppe (se</w:t>
      </w:r>
      <w:r w:rsidR="00722CDA" w:rsidRPr="00AA499E">
        <w:rPr>
          <w:rFonts w:ascii="Times New Roman" w:hAnsi="Times New Roman"/>
          <w:noProof/>
          <w:szCs w:val="24"/>
          <w:lang w:val="da-DK"/>
        </w:rPr>
        <w:br/>
      </w:r>
      <w:r w:rsidRPr="00AA499E">
        <w:rPr>
          <w:rFonts w:ascii="Times New Roman" w:hAnsi="Times New Roman"/>
          <w:noProof/>
          <w:szCs w:val="24"/>
          <w:lang w:val="da-DK"/>
        </w:rPr>
        <w:t>bilag I: Produktresumé, pkt. 4.2).</w:t>
      </w:r>
    </w:p>
    <w:p w14:paraId="1D1997A5" w14:textId="77777777" w:rsidR="004E4F39" w:rsidRPr="00AA499E" w:rsidRDefault="004E4F39" w:rsidP="007E16DF">
      <w:pPr>
        <w:suppressAutoHyphens/>
        <w:spacing w:line="240" w:lineRule="auto"/>
        <w:rPr>
          <w:rFonts w:ascii="Times New Roman" w:hAnsi="Times New Roman"/>
          <w:szCs w:val="24"/>
          <w:lang w:val="da-DK"/>
        </w:rPr>
      </w:pPr>
    </w:p>
    <w:p w14:paraId="79DB4B30" w14:textId="77777777" w:rsidR="004E4F39" w:rsidRPr="00AA499E" w:rsidRDefault="00C316BC" w:rsidP="00C316BC">
      <w:pPr>
        <w:pStyle w:val="TitleB"/>
        <w:rPr>
          <w:lang w:val="da-DK"/>
        </w:rPr>
      </w:pPr>
      <w:r w:rsidRPr="00AA499E">
        <w:rPr>
          <w:lang w:val="da-DK"/>
        </w:rPr>
        <w:t>C.</w:t>
      </w:r>
      <w:r w:rsidRPr="00AA499E">
        <w:rPr>
          <w:lang w:val="da-DK"/>
        </w:rPr>
        <w:tab/>
      </w:r>
      <w:r w:rsidR="004E4F39" w:rsidRPr="00AA499E">
        <w:rPr>
          <w:lang w:val="da-DK"/>
        </w:rPr>
        <w:t>ANDRE FORHOLD OG BETINGELSER FOR MARKEDSFØRINGSTILLADELSEN</w:t>
      </w:r>
    </w:p>
    <w:p w14:paraId="6CE05DC1" w14:textId="77777777" w:rsidR="004E4F39" w:rsidRPr="00AA499E" w:rsidRDefault="004E4F39" w:rsidP="00C316BC">
      <w:pPr>
        <w:suppressAutoHyphens/>
        <w:spacing w:line="240" w:lineRule="auto"/>
        <w:rPr>
          <w:rFonts w:ascii="Times New Roman" w:hAnsi="Times New Roman"/>
          <w:szCs w:val="24"/>
          <w:lang w:val="da-DK"/>
        </w:rPr>
      </w:pPr>
    </w:p>
    <w:p w14:paraId="7679B5E9" w14:textId="778B930F" w:rsidR="004E4F39" w:rsidRPr="00AA499E" w:rsidRDefault="004E4F39" w:rsidP="007E16DF">
      <w:pPr>
        <w:numPr>
          <w:ilvl w:val="0"/>
          <w:numId w:val="4"/>
        </w:numPr>
        <w:suppressLineNumbers/>
        <w:tabs>
          <w:tab w:val="clear" w:pos="468"/>
          <w:tab w:val="left" w:pos="567"/>
          <w:tab w:val="num" w:pos="720"/>
        </w:tabs>
        <w:spacing w:after="0" w:line="240" w:lineRule="auto"/>
        <w:ind w:left="720" w:right="-1" w:hanging="720"/>
        <w:rPr>
          <w:rFonts w:ascii="Times New Roman" w:hAnsi="Times New Roman"/>
          <w:b/>
          <w:szCs w:val="24"/>
          <w:lang w:val="da-DK"/>
        </w:rPr>
      </w:pPr>
      <w:r w:rsidRPr="00AA499E">
        <w:rPr>
          <w:rFonts w:ascii="Times New Roman" w:hAnsi="Times New Roman"/>
          <w:b/>
          <w:szCs w:val="24"/>
          <w:lang w:val="da-DK"/>
        </w:rPr>
        <w:t>Periodiske, opdaterede sikkerhedsindberetninger (PSUR</w:t>
      </w:r>
      <w:r w:rsidR="00AA3062" w:rsidRPr="00AA499E">
        <w:rPr>
          <w:rFonts w:ascii="Times New Roman" w:hAnsi="Times New Roman"/>
          <w:b/>
          <w:szCs w:val="24"/>
          <w:lang w:val="da-DK"/>
        </w:rPr>
        <w:t>’er)</w:t>
      </w:r>
    </w:p>
    <w:p w14:paraId="3644B524" w14:textId="77777777" w:rsidR="004E4F39" w:rsidRPr="00AA499E" w:rsidRDefault="004E4F39" w:rsidP="007E16DF">
      <w:pPr>
        <w:spacing w:line="240" w:lineRule="auto"/>
        <w:rPr>
          <w:rFonts w:ascii="Times New Roman" w:hAnsi="Times New Roman"/>
          <w:szCs w:val="24"/>
          <w:lang w:val="da-DK"/>
        </w:rPr>
      </w:pPr>
    </w:p>
    <w:p w14:paraId="04E5E58C" w14:textId="47F088CC" w:rsidR="004E4F39" w:rsidRPr="00AA499E" w:rsidRDefault="004E4F39" w:rsidP="007E16DF">
      <w:pPr>
        <w:suppressLineNumbers/>
        <w:tabs>
          <w:tab w:val="left" w:pos="0"/>
        </w:tabs>
        <w:spacing w:line="240" w:lineRule="auto"/>
        <w:ind w:right="-7"/>
        <w:rPr>
          <w:rFonts w:ascii="Times New Roman" w:hAnsi="Times New Roman"/>
          <w:szCs w:val="24"/>
          <w:lang w:val="da-DK"/>
        </w:rPr>
      </w:pPr>
      <w:r w:rsidRPr="00AA499E">
        <w:rPr>
          <w:rFonts w:ascii="Times New Roman" w:hAnsi="Times New Roman"/>
          <w:szCs w:val="24"/>
          <w:lang w:val="da-DK"/>
        </w:rPr>
        <w:t xml:space="preserve">På tidspunktet for udstedelsen af markedsføringstilladelsen er det ikke påkrævet, at der fremsendes </w:t>
      </w:r>
      <w:r w:rsidR="00AA3062" w:rsidRPr="00AA499E">
        <w:rPr>
          <w:rFonts w:ascii="Times New Roman" w:hAnsi="Times New Roman"/>
          <w:szCs w:val="24"/>
          <w:lang w:val="da-DK"/>
        </w:rPr>
        <w:t xml:space="preserve">PSUR’er </w:t>
      </w:r>
      <w:r w:rsidRPr="00AA499E">
        <w:rPr>
          <w:rFonts w:ascii="Times New Roman" w:hAnsi="Times New Roman"/>
          <w:szCs w:val="24"/>
          <w:lang w:val="da-DK"/>
        </w:rPr>
        <w:t xml:space="preserve">for dette lægemiddel. Indehaveren af markedsføringstilladelsen skal imidlertid fremsende periodiske, opdaterede sikkerhedsindberetninger (PSUR) for dette lægemiddel, såfremt lægemidlet bliver inkluderet på listen over EU-referencedatoer </w:t>
      </w:r>
      <w:r w:rsidRPr="00AA499E">
        <w:rPr>
          <w:rFonts w:ascii="Times New Roman" w:hAnsi="Times New Roman"/>
          <w:lang w:val="da-DK"/>
        </w:rPr>
        <w:t xml:space="preserve">(EURD list) </w:t>
      </w:r>
      <w:r w:rsidRPr="00AA499E">
        <w:rPr>
          <w:rFonts w:ascii="Times New Roman" w:hAnsi="Times New Roman"/>
          <w:szCs w:val="24"/>
          <w:lang w:val="da-DK"/>
        </w:rPr>
        <w:t xml:space="preserve">som fastsat i artikel 107c, stk. 7, i direktiv 2001/83/EF og offentliggjort på </w:t>
      </w:r>
      <w:r w:rsidR="00AA3062" w:rsidRPr="00AA499E">
        <w:rPr>
          <w:rFonts w:ascii="Times New Roman" w:hAnsi="Times New Roman"/>
          <w:lang w:val="da-DK"/>
        </w:rPr>
        <w:t xml:space="preserve">Det Europæiske Lægemiddelagenturs hjemmeside </w:t>
      </w:r>
      <w:hyperlink r:id="rId15" w:history="1">
        <w:r w:rsidR="00227A21" w:rsidRPr="00AA499E">
          <w:rPr>
            <w:rStyle w:val="Hyperlink"/>
            <w:rFonts w:ascii="Times New Roman" w:hAnsi="Times New Roman"/>
            <w:lang w:val="da-DK"/>
          </w:rPr>
          <w:t>http://www.ema.europa.eu</w:t>
        </w:r>
      </w:hyperlink>
      <w:r w:rsidRPr="00AA499E">
        <w:rPr>
          <w:rFonts w:ascii="Times New Roman" w:hAnsi="Times New Roman"/>
          <w:szCs w:val="24"/>
          <w:lang w:val="da-DK"/>
        </w:rPr>
        <w:t>.</w:t>
      </w:r>
    </w:p>
    <w:p w14:paraId="02A3D992" w14:textId="77777777" w:rsidR="004E4F39" w:rsidRPr="00AA499E" w:rsidRDefault="004E4F39" w:rsidP="007E16DF">
      <w:pPr>
        <w:suppressLineNumbers/>
        <w:spacing w:line="240" w:lineRule="auto"/>
        <w:ind w:right="-1"/>
        <w:rPr>
          <w:rFonts w:ascii="Times New Roman" w:hAnsi="Times New Roman"/>
          <w:i/>
          <w:noProof/>
          <w:szCs w:val="24"/>
          <w:u w:val="single"/>
          <w:lang w:val="da-DK"/>
        </w:rPr>
      </w:pPr>
    </w:p>
    <w:p w14:paraId="62DE61DF" w14:textId="77777777" w:rsidR="004E4F39" w:rsidRPr="00AA499E" w:rsidRDefault="004E4F39" w:rsidP="00C316BC">
      <w:pPr>
        <w:pStyle w:val="TitleB"/>
        <w:rPr>
          <w:lang w:val="da-DK"/>
        </w:rPr>
      </w:pPr>
      <w:r w:rsidRPr="00AA499E">
        <w:rPr>
          <w:lang w:val="da-DK"/>
        </w:rPr>
        <w:t>D.</w:t>
      </w:r>
      <w:r w:rsidRPr="00AA499E">
        <w:rPr>
          <w:lang w:val="da-DK"/>
        </w:rPr>
        <w:tab/>
        <w:t xml:space="preserve">BETINGELSER ELLER BEGRÆNSNINGER MED HENSYN TIL SIKKER OG EFFEKTIV ANVENDELSE AF LÆGEMIDLET </w:t>
      </w:r>
    </w:p>
    <w:p w14:paraId="085D8BD3" w14:textId="77777777" w:rsidR="007B45BE" w:rsidRPr="00AA499E" w:rsidRDefault="007B45BE" w:rsidP="007E16DF">
      <w:pPr>
        <w:spacing w:line="240" w:lineRule="auto"/>
        <w:ind w:left="709" w:hanging="709"/>
        <w:rPr>
          <w:rFonts w:ascii="Times New Roman" w:hAnsi="Times New Roman"/>
          <w:szCs w:val="24"/>
          <w:lang w:val="da-DK"/>
        </w:rPr>
      </w:pPr>
    </w:p>
    <w:p w14:paraId="07C9BFAC" w14:textId="77777777" w:rsidR="004E4F39" w:rsidRPr="00AA499E" w:rsidRDefault="004E4F39" w:rsidP="004E4F39">
      <w:pPr>
        <w:numPr>
          <w:ilvl w:val="0"/>
          <w:numId w:val="5"/>
        </w:numPr>
        <w:spacing w:after="0" w:line="240" w:lineRule="auto"/>
        <w:ind w:left="709" w:hanging="709"/>
        <w:rPr>
          <w:rFonts w:ascii="Times New Roman" w:hAnsi="Times New Roman"/>
          <w:b/>
          <w:szCs w:val="24"/>
          <w:lang w:val="da-DK"/>
        </w:rPr>
      </w:pPr>
      <w:r w:rsidRPr="00AA499E">
        <w:rPr>
          <w:rFonts w:ascii="Times New Roman" w:hAnsi="Times New Roman"/>
          <w:b/>
          <w:noProof/>
          <w:szCs w:val="24"/>
          <w:lang w:val="da-DK"/>
        </w:rPr>
        <w:t>Risikostyringsplan (RMP)</w:t>
      </w:r>
      <w:r w:rsidRPr="00AA499E">
        <w:rPr>
          <w:rFonts w:ascii="Times New Roman" w:hAnsi="Times New Roman"/>
          <w:b/>
          <w:szCs w:val="24"/>
          <w:lang w:val="da-DK"/>
        </w:rPr>
        <w:t xml:space="preserve"> </w:t>
      </w:r>
    </w:p>
    <w:p w14:paraId="61CAEECB" w14:textId="77777777" w:rsidR="004E4F39" w:rsidRPr="00AA499E" w:rsidRDefault="004E4F39" w:rsidP="007E16DF">
      <w:pPr>
        <w:spacing w:line="240" w:lineRule="auto"/>
        <w:rPr>
          <w:rFonts w:ascii="Times New Roman" w:hAnsi="Times New Roman"/>
          <w:szCs w:val="24"/>
          <w:lang w:val="da-DK"/>
        </w:rPr>
      </w:pPr>
    </w:p>
    <w:p w14:paraId="4137BC42" w14:textId="77777777" w:rsidR="004E4F39" w:rsidRPr="00AA499E" w:rsidRDefault="004E4F39" w:rsidP="007E16DF">
      <w:pPr>
        <w:spacing w:line="240" w:lineRule="auto"/>
        <w:rPr>
          <w:rFonts w:ascii="Times New Roman" w:hAnsi="Times New Roman"/>
          <w:szCs w:val="24"/>
          <w:u w:val="single"/>
          <w:lang w:val="da-DK"/>
        </w:rPr>
      </w:pPr>
      <w:r w:rsidRPr="00AA499E">
        <w:rPr>
          <w:rFonts w:ascii="Times New Roman" w:hAnsi="Times New Roman"/>
          <w:noProof/>
          <w:szCs w:val="24"/>
          <w:u w:val="single"/>
          <w:lang w:val="da-DK"/>
        </w:rPr>
        <w:t>Ikke relevant.</w:t>
      </w:r>
    </w:p>
    <w:p w14:paraId="123E1A01" w14:textId="77777777" w:rsidR="004E4F39" w:rsidRPr="00AA499E" w:rsidRDefault="004E4F39" w:rsidP="004E4F39">
      <w:pPr>
        <w:rPr>
          <w:rFonts w:ascii="Times New Roman" w:hAnsi="Times New Roman"/>
          <w:szCs w:val="24"/>
          <w:u w:val="single"/>
          <w:lang w:val="da-DK"/>
        </w:rPr>
      </w:pPr>
    </w:p>
    <w:p w14:paraId="73784CA9" w14:textId="77777777" w:rsidR="006478AD" w:rsidRPr="00AA499E" w:rsidRDefault="00A50D16">
      <w:pPr>
        <w:autoSpaceDE w:val="0"/>
        <w:autoSpaceDN w:val="0"/>
        <w:adjustRightInd w:val="0"/>
        <w:spacing w:after="0" w:line="240" w:lineRule="auto"/>
        <w:ind w:left="567" w:hanging="567"/>
        <w:jc w:val="center"/>
        <w:rPr>
          <w:rFonts w:ascii="Times New Roman" w:hAnsi="Times New Roman"/>
          <w:lang w:val="da-DK"/>
        </w:rPr>
      </w:pPr>
      <w:r w:rsidRPr="00AA499E">
        <w:rPr>
          <w:rFonts w:ascii="Times New Roman" w:hAnsi="Times New Roman"/>
          <w:lang w:val="da-DK"/>
        </w:rPr>
        <w:br w:type="page"/>
      </w:r>
    </w:p>
    <w:p w14:paraId="6921E75A"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54B5608E" w14:textId="7584F76D" w:rsidR="006478AD" w:rsidRPr="00AA499E" w:rsidRDefault="006478AD" w:rsidP="00AA499E">
      <w:pPr>
        <w:autoSpaceDE w:val="0"/>
        <w:autoSpaceDN w:val="0"/>
        <w:adjustRightInd w:val="0"/>
        <w:spacing w:after="0" w:line="240" w:lineRule="auto"/>
        <w:ind w:left="567" w:hanging="567"/>
        <w:jc w:val="center"/>
        <w:rPr>
          <w:rFonts w:ascii="Times New Roman" w:hAnsi="Times New Roman"/>
          <w:lang w:val="da-DK"/>
        </w:rPr>
      </w:pPr>
    </w:p>
    <w:p w14:paraId="4D4600E6"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119D652E" w14:textId="77777777" w:rsidR="00573F2B" w:rsidRPr="00AA499E" w:rsidRDefault="00573F2B">
      <w:pPr>
        <w:autoSpaceDE w:val="0"/>
        <w:autoSpaceDN w:val="0"/>
        <w:adjustRightInd w:val="0"/>
        <w:spacing w:after="0" w:line="240" w:lineRule="auto"/>
        <w:ind w:left="567" w:hanging="567"/>
        <w:jc w:val="center"/>
        <w:rPr>
          <w:rFonts w:ascii="Times New Roman" w:hAnsi="Times New Roman"/>
          <w:b/>
          <w:bCs/>
          <w:lang w:val="da-DK"/>
        </w:rPr>
      </w:pPr>
    </w:p>
    <w:p w14:paraId="5E3F3F38" w14:textId="77777777" w:rsidR="00573F2B" w:rsidRPr="00AA499E" w:rsidRDefault="00573F2B">
      <w:pPr>
        <w:autoSpaceDE w:val="0"/>
        <w:autoSpaceDN w:val="0"/>
        <w:adjustRightInd w:val="0"/>
        <w:spacing w:after="0" w:line="240" w:lineRule="auto"/>
        <w:ind w:left="567" w:hanging="567"/>
        <w:jc w:val="center"/>
        <w:rPr>
          <w:rFonts w:ascii="Times New Roman" w:hAnsi="Times New Roman"/>
          <w:b/>
          <w:bCs/>
          <w:lang w:val="da-DK"/>
        </w:rPr>
      </w:pPr>
    </w:p>
    <w:p w14:paraId="3B69394F" w14:textId="77777777" w:rsidR="00573F2B" w:rsidRPr="00AA499E" w:rsidRDefault="00573F2B">
      <w:pPr>
        <w:autoSpaceDE w:val="0"/>
        <w:autoSpaceDN w:val="0"/>
        <w:adjustRightInd w:val="0"/>
        <w:spacing w:after="0" w:line="240" w:lineRule="auto"/>
        <w:ind w:left="567" w:hanging="567"/>
        <w:jc w:val="center"/>
        <w:rPr>
          <w:rFonts w:ascii="Times New Roman" w:hAnsi="Times New Roman"/>
          <w:b/>
          <w:bCs/>
          <w:lang w:val="da-DK"/>
        </w:rPr>
      </w:pPr>
    </w:p>
    <w:p w14:paraId="4EC8701A" w14:textId="77777777" w:rsidR="00573F2B" w:rsidRPr="00AA499E" w:rsidRDefault="00573F2B">
      <w:pPr>
        <w:autoSpaceDE w:val="0"/>
        <w:autoSpaceDN w:val="0"/>
        <w:adjustRightInd w:val="0"/>
        <w:spacing w:after="0" w:line="240" w:lineRule="auto"/>
        <w:ind w:left="567" w:hanging="567"/>
        <w:jc w:val="center"/>
        <w:rPr>
          <w:rFonts w:ascii="Times New Roman" w:hAnsi="Times New Roman"/>
          <w:b/>
          <w:bCs/>
          <w:lang w:val="da-DK"/>
        </w:rPr>
      </w:pPr>
    </w:p>
    <w:p w14:paraId="7A817E91" w14:textId="77777777" w:rsidR="00573F2B" w:rsidRPr="00AA499E" w:rsidRDefault="00573F2B">
      <w:pPr>
        <w:autoSpaceDE w:val="0"/>
        <w:autoSpaceDN w:val="0"/>
        <w:adjustRightInd w:val="0"/>
        <w:spacing w:after="0" w:line="240" w:lineRule="auto"/>
        <w:ind w:left="567" w:hanging="567"/>
        <w:jc w:val="center"/>
        <w:rPr>
          <w:rFonts w:ascii="Times New Roman" w:hAnsi="Times New Roman"/>
          <w:b/>
          <w:bCs/>
          <w:lang w:val="da-DK"/>
        </w:rPr>
      </w:pPr>
    </w:p>
    <w:p w14:paraId="54E17ACF" w14:textId="77777777" w:rsidR="00573F2B" w:rsidRPr="00AA499E" w:rsidRDefault="00573F2B">
      <w:pPr>
        <w:autoSpaceDE w:val="0"/>
        <w:autoSpaceDN w:val="0"/>
        <w:adjustRightInd w:val="0"/>
        <w:spacing w:after="0" w:line="240" w:lineRule="auto"/>
        <w:ind w:left="567" w:hanging="567"/>
        <w:jc w:val="center"/>
        <w:rPr>
          <w:rFonts w:ascii="Times New Roman" w:hAnsi="Times New Roman"/>
          <w:b/>
          <w:bCs/>
          <w:lang w:val="da-DK"/>
        </w:rPr>
      </w:pPr>
    </w:p>
    <w:p w14:paraId="69313408" w14:textId="77777777" w:rsidR="00573F2B" w:rsidRPr="00AA499E" w:rsidRDefault="00573F2B">
      <w:pPr>
        <w:autoSpaceDE w:val="0"/>
        <w:autoSpaceDN w:val="0"/>
        <w:adjustRightInd w:val="0"/>
        <w:spacing w:after="0" w:line="240" w:lineRule="auto"/>
        <w:ind w:left="567" w:hanging="567"/>
        <w:jc w:val="center"/>
        <w:rPr>
          <w:rFonts w:ascii="Times New Roman" w:hAnsi="Times New Roman"/>
          <w:b/>
          <w:bCs/>
          <w:lang w:val="da-DK"/>
        </w:rPr>
      </w:pPr>
    </w:p>
    <w:p w14:paraId="1FA61922" w14:textId="77777777" w:rsidR="00573F2B" w:rsidRPr="00AA499E" w:rsidRDefault="00573F2B">
      <w:pPr>
        <w:autoSpaceDE w:val="0"/>
        <w:autoSpaceDN w:val="0"/>
        <w:adjustRightInd w:val="0"/>
        <w:spacing w:after="0" w:line="240" w:lineRule="auto"/>
        <w:ind w:left="567" w:hanging="567"/>
        <w:jc w:val="center"/>
        <w:rPr>
          <w:rFonts w:ascii="Times New Roman" w:hAnsi="Times New Roman"/>
          <w:b/>
          <w:bCs/>
          <w:lang w:val="da-DK"/>
        </w:rPr>
      </w:pPr>
    </w:p>
    <w:p w14:paraId="421EFB5A" w14:textId="77777777" w:rsidR="00722CDA" w:rsidRPr="00AA499E" w:rsidRDefault="00722CDA">
      <w:pPr>
        <w:autoSpaceDE w:val="0"/>
        <w:autoSpaceDN w:val="0"/>
        <w:adjustRightInd w:val="0"/>
        <w:spacing w:after="0" w:line="240" w:lineRule="auto"/>
        <w:ind w:left="567" w:hanging="567"/>
        <w:jc w:val="center"/>
        <w:rPr>
          <w:rFonts w:ascii="Times New Roman" w:hAnsi="Times New Roman"/>
          <w:b/>
          <w:bCs/>
          <w:lang w:val="da-DK"/>
        </w:rPr>
      </w:pPr>
    </w:p>
    <w:p w14:paraId="399D88E8" w14:textId="77777777" w:rsidR="00722CDA" w:rsidRPr="00AA499E" w:rsidRDefault="00722CDA">
      <w:pPr>
        <w:autoSpaceDE w:val="0"/>
        <w:autoSpaceDN w:val="0"/>
        <w:adjustRightInd w:val="0"/>
        <w:spacing w:after="0" w:line="240" w:lineRule="auto"/>
        <w:ind w:left="567" w:hanging="567"/>
        <w:jc w:val="center"/>
        <w:rPr>
          <w:rFonts w:ascii="Times New Roman" w:hAnsi="Times New Roman"/>
          <w:b/>
          <w:bCs/>
          <w:lang w:val="da-DK"/>
        </w:rPr>
      </w:pPr>
    </w:p>
    <w:p w14:paraId="6B9A049F" w14:textId="77777777" w:rsidR="0095775F" w:rsidRPr="00AA499E" w:rsidRDefault="0095775F">
      <w:pPr>
        <w:autoSpaceDE w:val="0"/>
        <w:autoSpaceDN w:val="0"/>
        <w:adjustRightInd w:val="0"/>
        <w:spacing w:after="0" w:line="240" w:lineRule="auto"/>
        <w:ind w:left="567" w:hanging="567"/>
        <w:jc w:val="center"/>
        <w:rPr>
          <w:rFonts w:ascii="Times New Roman" w:hAnsi="Times New Roman"/>
          <w:b/>
          <w:bCs/>
          <w:lang w:val="da-DK"/>
        </w:rPr>
      </w:pPr>
    </w:p>
    <w:p w14:paraId="0EB02786" w14:textId="77777777" w:rsidR="0095775F" w:rsidRPr="00AA499E" w:rsidRDefault="0095775F">
      <w:pPr>
        <w:autoSpaceDE w:val="0"/>
        <w:autoSpaceDN w:val="0"/>
        <w:adjustRightInd w:val="0"/>
        <w:spacing w:after="0" w:line="240" w:lineRule="auto"/>
        <w:ind w:left="567" w:hanging="567"/>
        <w:jc w:val="center"/>
        <w:rPr>
          <w:rFonts w:ascii="Times New Roman" w:hAnsi="Times New Roman"/>
          <w:b/>
          <w:bCs/>
          <w:lang w:val="da-DK"/>
        </w:rPr>
      </w:pPr>
    </w:p>
    <w:p w14:paraId="16E8F88E" w14:textId="77777777" w:rsidR="0095775F" w:rsidRPr="00AA499E" w:rsidRDefault="0095775F">
      <w:pPr>
        <w:autoSpaceDE w:val="0"/>
        <w:autoSpaceDN w:val="0"/>
        <w:adjustRightInd w:val="0"/>
        <w:spacing w:after="0" w:line="240" w:lineRule="auto"/>
        <w:ind w:left="567" w:hanging="567"/>
        <w:jc w:val="center"/>
        <w:rPr>
          <w:rFonts w:ascii="Times New Roman" w:hAnsi="Times New Roman"/>
          <w:b/>
          <w:bCs/>
          <w:lang w:val="da-DK"/>
        </w:rPr>
      </w:pPr>
    </w:p>
    <w:p w14:paraId="02940DE5" w14:textId="77777777" w:rsidR="00722CDA" w:rsidRPr="00AA499E" w:rsidRDefault="00722CDA">
      <w:pPr>
        <w:autoSpaceDE w:val="0"/>
        <w:autoSpaceDN w:val="0"/>
        <w:adjustRightInd w:val="0"/>
        <w:spacing w:after="0" w:line="240" w:lineRule="auto"/>
        <w:ind w:left="567" w:hanging="567"/>
        <w:jc w:val="center"/>
        <w:rPr>
          <w:rFonts w:ascii="Times New Roman" w:hAnsi="Times New Roman"/>
          <w:b/>
          <w:bCs/>
          <w:lang w:val="da-DK"/>
        </w:rPr>
      </w:pPr>
    </w:p>
    <w:p w14:paraId="04E5C769" w14:textId="77777777" w:rsidR="00722CDA" w:rsidRPr="00AA499E" w:rsidRDefault="00722CDA">
      <w:pPr>
        <w:autoSpaceDE w:val="0"/>
        <w:autoSpaceDN w:val="0"/>
        <w:adjustRightInd w:val="0"/>
        <w:spacing w:after="0" w:line="240" w:lineRule="auto"/>
        <w:ind w:left="567" w:hanging="567"/>
        <w:jc w:val="center"/>
        <w:rPr>
          <w:rFonts w:ascii="Times New Roman" w:hAnsi="Times New Roman"/>
          <w:b/>
          <w:bCs/>
          <w:lang w:val="da-DK"/>
        </w:rPr>
      </w:pPr>
    </w:p>
    <w:p w14:paraId="7E1FC9FB" w14:textId="77777777" w:rsidR="00722CDA" w:rsidRPr="00AA499E" w:rsidRDefault="00722CDA">
      <w:pPr>
        <w:autoSpaceDE w:val="0"/>
        <w:autoSpaceDN w:val="0"/>
        <w:adjustRightInd w:val="0"/>
        <w:spacing w:after="0" w:line="240" w:lineRule="auto"/>
        <w:ind w:left="567" w:hanging="567"/>
        <w:jc w:val="center"/>
        <w:rPr>
          <w:rFonts w:ascii="Times New Roman" w:hAnsi="Times New Roman"/>
          <w:b/>
          <w:bCs/>
          <w:lang w:val="da-DK"/>
        </w:rPr>
      </w:pPr>
    </w:p>
    <w:p w14:paraId="249493EB" w14:textId="77777777" w:rsidR="0095775F" w:rsidRPr="00AA499E" w:rsidRDefault="0095775F">
      <w:pPr>
        <w:autoSpaceDE w:val="0"/>
        <w:autoSpaceDN w:val="0"/>
        <w:adjustRightInd w:val="0"/>
        <w:spacing w:after="0" w:line="240" w:lineRule="auto"/>
        <w:ind w:left="567" w:hanging="567"/>
        <w:jc w:val="center"/>
        <w:rPr>
          <w:rFonts w:ascii="Times New Roman" w:hAnsi="Times New Roman"/>
          <w:b/>
          <w:bCs/>
          <w:lang w:val="da-DK"/>
        </w:rPr>
      </w:pPr>
    </w:p>
    <w:p w14:paraId="72FB5EBB" w14:textId="77777777" w:rsidR="0095775F" w:rsidRPr="00AA499E" w:rsidRDefault="0095775F">
      <w:pPr>
        <w:autoSpaceDE w:val="0"/>
        <w:autoSpaceDN w:val="0"/>
        <w:adjustRightInd w:val="0"/>
        <w:spacing w:after="0" w:line="240" w:lineRule="auto"/>
        <w:ind w:left="567" w:hanging="567"/>
        <w:jc w:val="center"/>
        <w:rPr>
          <w:rFonts w:ascii="Times New Roman" w:hAnsi="Times New Roman"/>
          <w:b/>
          <w:bCs/>
          <w:lang w:val="da-DK"/>
        </w:rPr>
      </w:pPr>
    </w:p>
    <w:p w14:paraId="306E2D43" w14:textId="77777777" w:rsidR="0095775F" w:rsidRPr="00AA499E" w:rsidRDefault="0095775F">
      <w:pPr>
        <w:autoSpaceDE w:val="0"/>
        <w:autoSpaceDN w:val="0"/>
        <w:adjustRightInd w:val="0"/>
        <w:spacing w:after="0" w:line="240" w:lineRule="auto"/>
        <w:ind w:left="567" w:hanging="567"/>
        <w:jc w:val="center"/>
        <w:rPr>
          <w:rFonts w:ascii="Times New Roman" w:hAnsi="Times New Roman"/>
          <w:b/>
          <w:bCs/>
          <w:lang w:val="da-DK"/>
        </w:rPr>
      </w:pPr>
    </w:p>
    <w:p w14:paraId="0DCB2A9A" w14:textId="77777777" w:rsidR="006478AD" w:rsidRPr="00AA499E" w:rsidRDefault="00616F3C">
      <w:pPr>
        <w:autoSpaceDE w:val="0"/>
        <w:autoSpaceDN w:val="0"/>
        <w:adjustRightInd w:val="0"/>
        <w:spacing w:after="0" w:line="240" w:lineRule="auto"/>
        <w:ind w:left="567" w:hanging="567"/>
        <w:jc w:val="center"/>
        <w:rPr>
          <w:rFonts w:ascii="Times New Roman" w:hAnsi="Times New Roman"/>
          <w:b/>
          <w:bCs/>
          <w:lang w:val="da-DK"/>
        </w:rPr>
      </w:pPr>
      <w:r w:rsidRPr="00AA499E">
        <w:rPr>
          <w:rFonts w:ascii="Times New Roman" w:hAnsi="Times New Roman"/>
          <w:b/>
          <w:bCs/>
          <w:lang w:val="da-DK"/>
        </w:rPr>
        <w:t>BILAG III</w:t>
      </w:r>
    </w:p>
    <w:p w14:paraId="462DFF75"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6DADF71B" w14:textId="77777777" w:rsidR="006478AD" w:rsidRPr="00AA499E" w:rsidRDefault="00616F3C">
      <w:pPr>
        <w:autoSpaceDE w:val="0"/>
        <w:autoSpaceDN w:val="0"/>
        <w:adjustRightInd w:val="0"/>
        <w:spacing w:after="0" w:line="240" w:lineRule="auto"/>
        <w:ind w:left="567" w:hanging="567"/>
        <w:jc w:val="center"/>
        <w:rPr>
          <w:rFonts w:ascii="Times New Roman" w:hAnsi="Times New Roman"/>
          <w:lang w:val="da-DK"/>
        </w:rPr>
      </w:pPr>
      <w:r w:rsidRPr="00AA499E">
        <w:rPr>
          <w:rFonts w:ascii="Times New Roman" w:hAnsi="Times New Roman"/>
          <w:b/>
          <w:bCs/>
          <w:lang w:val="da-DK"/>
        </w:rPr>
        <w:t>ETIKETTERING OG INDLÆGSSEDDEL</w:t>
      </w:r>
    </w:p>
    <w:p w14:paraId="45EDAB36" w14:textId="77777777" w:rsidR="006478AD" w:rsidRPr="00AA499E" w:rsidRDefault="00616F3C">
      <w:pPr>
        <w:autoSpaceDE w:val="0"/>
        <w:autoSpaceDN w:val="0"/>
        <w:adjustRightInd w:val="0"/>
        <w:spacing w:after="0" w:line="240" w:lineRule="auto"/>
        <w:ind w:left="567" w:hanging="567"/>
        <w:jc w:val="center"/>
        <w:rPr>
          <w:rFonts w:ascii="Times New Roman" w:hAnsi="Times New Roman"/>
          <w:lang w:val="da-DK"/>
        </w:rPr>
      </w:pPr>
      <w:r w:rsidRPr="00AA499E">
        <w:rPr>
          <w:rFonts w:ascii="Times New Roman" w:hAnsi="Times New Roman"/>
          <w:lang w:val="da-DK"/>
        </w:rPr>
        <w:br w:type="page"/>
      </w:r>
    </w:p>
    <w:p w14:paraId="49CE1FBE"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03A48FCC"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5B2D3B6E"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714DDF3F"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537A707E"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1B3A6E50"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2BA6B30E"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352FD835"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078644F8"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45109E28"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299049FC"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1F732024"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1EA4C585"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323A3AE3"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7EF1D972"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1F2FF974"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0E81A78B"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1F052F27"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24EEB2BA"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744B4EF3"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0820C820"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6CAA333D" w14:textId="77777777" w:rsidR="006478AD" w:rsidRPr="00AA499E" w:rsidRDefault="006478AD">
      <w:pPr>
        <w:autoSpaceDE w:val="0"/>
        <w:autoSpaceDN w:val="0"/>
        <w:adjustRightInd w:val="0"/>
        <w:spacing w:after="0" w:line="240" w:lineRule="auto"/>
        <w:ind w:left="567" w:hanging="567"/>
        <w:jc w:val="center"/>
        <w:rPr>
          <w:rFonts w:ascii="Times New Roman" w:hAnsi="Times New Roman"/>
          <w:lang w:val="da-DK"/>
        </w:rPr>
      </w:pPr>
    </w:p>
    <w:p w14:paraId="587C8D2A" w14:textId="77777777" w:rsidR="006478AD" w:rsidRPr="00AA499E" w:rsidRDefault="00616F3C" w:rsidP="00C316BC">
      <w:pPr>
        <w:pStyle w:val="TitleA"/>
      </w:pPr>
      <w:r w:rsidRPr="00AA499E">
        <w:t>A. ETIKETTERING</w:t>
      </w:r>
    </w:p>
    <w:p w14:paraId="3D40749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6B283FF8" w14:textId="77777777">
        <w:tc>
          <w:tcPr>
            <w:tcW w:w="9546" w:type="dxa"/>
          </w:tcPr>
          <w:p w14:paraId="6CC50FF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MÆRKNING, DER SKAL ANFØRES PÅ DEN YDRE EMBALLAGE</w:t>
            </w:r>
          </w:p>
          <w:p w14:paraId="5F01FAB3" w14:textId="77777777" w:rsidR="006478AD" w:rsidRPr="00AA499E" w:rsidRDefault="006478AD">
            <w:pPr>
              <w:autoSpaceDE w:val="0"/>
              <w:autoSpaceDN w:val="0"/>
              <w:adjustRightInd w:val="0"/>
              <w:spacing w:after="0" w:line="240" w:lineRule="auto"/>
              <w:rPr>
                <w:rFonts w:ascii="Times New Roman" w:hAnsi="Times New Roman"/>
                <w:lang w:val="da-DK"/>
              </w:rPr>
            </w:pPr>
          </w:p>
          <w:p w14:paraId="69FB96F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KARTON</w:t>
            </w:r>
          </w:p>
          <w:p w14:paraId="73DC72AD" w14:textId="77777777" w:rsidR="006478AD" w:rsidRPr="00AA499E" w:rsidRDefault="006478AD">
            <w:pPr>
              <w:autoSpaceDE w:val="0"/>
              <w:autoSpaceDN w:val="0"/>
              <w:adjustRightInd w:val="0"/>
              <w:spacing w:after="0" w:line="240" w:lineRule="auto"/>
              <w:rPr>
                <w:rFonts w:ascii="Times New Roman" w:hAnsi="Times New Roman"/>
                <w:lang w:val="da-DK"/>
              </w:rPr>
            </w:pPr>
          </w:p>
        </w:tc>
      </w:tr>
    </w:tbl>
    <w:p w14:paraId="022B074E" w14:textId="77777777" w:rsidR="006478AD" w:rsidRPr="00AA499E" w:rsidRDefault="006478AD">
      <w:pPr>
        <w:autoSpaceDE w:val="0"/>
        <w:autoSpaceDN w:val="0"/>
        <w:adjustRightInd w:val="0"/>
        <w:spacing w:after="0" w:line="240" w:lineRule="auto"/>
        <w:rPr>
          <w:rFonts w:ascii="Times New Roman" w:hAnsi="Times New Roman"/>
          <w:lang w:val="da-DK"/>
        </w:rPr>
      </w:pPr>
    </w:p>
    <w:p w14:paraId="47C3F8B4"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6F794EC1" w14:textId="77777777">
        <w:tc>
          <w:tcPr>
            <w:tcW w:w="9546" w:type="dxa"/>
          </w:tcPr>
          <w:p w14:paraId="4428E22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1BCF38BA" w14:textId="77777777" w:rsidR="006478AD" w:rsidRPr="00AA499E" w:rsidRDefault="006478AD">
      <w:pPr>
        <w:autoSpaceDE w:val="0"/>
        <w:autoSpaceDN w:val="0"/>
        <w:adjustRightInd w:val="0"/>
        <w:spacing w:after="0" w:line="240" w:lineRule="auto"/>
        <w:rPr>
          <w:rFonts w:ascii="Times New Roman" w:hAnsi="Times New Roman"/>
          <w:lang w:val="da-DK"/>
        </w:rPr>
      </w:pPr>
    </w:p>
    <w:p w14:paraId="77BFFFB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50 mg hårde kapsler</w:t>
      </w:r>
    </w:p>
    <w:p w14:paraId="1BC25957" w14:textId="3EFA220B" w:rsidR="006478AD" w:rsidRPr="00AA499E" w:rsidRDefault="00A16B85" w:rsidP="00E81050">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616F3C" w:rsidRPr="00AA499E">
        <w:rPr>
          <w:rFonts w:ascii="Times New Roman" w:hAnsi="Times New Roman"/>
          <w:lang w:val="da-DK"/>
        </w:rPr>
        <w:t>matinib</w:t>
      </w:r>
    </w:p>
    <w:p w14:paraId="09EA1F46" w14:textId="77777777" w:rsidR="006478AD" w:rsidRPr="00AA499E" w:rsidRDefault="006478AD">
      <w:pPr>
        <w:autoSpaceDE w:val="0"/>
        <w:autoSpaceDN w:val="0"/>
        <w:adjustRightInd w:val="0"/>
        <w:spacing w:after="0" w:line="240" w:lineRule="auto"/>
        <w:rPr>
          <w:rFonts w:ascii="Times New Roman" w:hAnsi="Times New Roman"/>
          <w:lang w:val="da-DK"/>
        </w:rPr>
      </w:pPr>
    </w:p>
    <w:p w14:paraId="75BE6A89"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DA621C7" w14:textId="77777777">
        <w:tc>
          <w:tcPr>
            <w:tcW w:w="9546" w:type="dxa"/>
          </w:tcPr>
          <w:p w14:paraId="250A0D1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ANGIVELSE AF AKTIVT STOF/AKTIVE STOFFER</w:t>
            </w:r>
          </w:p>
        </w:tc>
      </w:tr>
    </w:tbl>
    <w:p w14:paraId="396A75A8" w14:textId="77777777" w:rsidR="006478AD" w:rsidRPr="00AA499E" w:rsidRDefault="006478AD">
      <w:pPr>
        <w:autoSpaceDE w:val="0"/>
        <w:autoSpaceDN w:val="0"/>
        <w:adjustRightInd w:val="0"/>
        <w:spacing w:after="0" w:line="240" w:lineRule="auto"/>
        <w:rPr>
          <w:rFonts w:ascii="Times New Roman" w:hAnsi="Times New Roman"/>
          <w:lang w:val="da-DK"/>
        </w:rPr>
      </w:pPr>
    </w:p>
    <w:p w14:paraId="443087D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Hver </w:t>
      </w:r>
      <w:r w:rsidR="00A3038E" w:rsidRPr="00AA499E">
        <w:rPr>
          <w:rFonts w:ascii="Times New Roman" w:hAnsi="Times New Roman"/>
          <w:lang w:val="da-DK"/>
        </w:rPr>
        <w:t xml:space="preserve">hård </w:t>
      </w:r>
      <w:r w:rsidRPr="00AA499E">
        <w:rPr>
          <w:rFonts w:ascii="Times New Roman" w:hAnsi="Times New Roman"/>
          <w:lang w:val="da-DK"/>
        </w:rPr>
        <w:t>kapsel indeholder 50 mg imatinib (som mesilat).</w:t>
      </w:r>
    </w:p>
    <w:p w14:paraId="14D947B0" w14:textId="77777777" w:rsidR="006478AD" w:rsidRPr="00AA499E" w:rsidRDefault="006478AD">
      <w:pPr>
        <w:autoSpaceDE w:val="0"/>
        <w:autoSpaceDN w:val="0"/>
        <w:adjustRightInd w:val="0"/>
        <w:spacing w:after="0" w:line="240" w:lineRule="auto"/>
        <w:rPr>
          <w:rFonts w:ascii="Times New Roman" w:hAnsi="Times New Roman"/>
          <w:lang w:val="da-DK"/>
        </w:rPr>
      </w:pPr>
    </w:p>
    <w:p w14:paraId="6E9FDDF6"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25FDF4C2" w14:textId="77777777">
        <w:tc>
          <w:tcPr>
            <w:tcW w:w="9546" w:type="dxa"/>
          </w:tcPr>
          <w:p w14:paraId="06131AF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LISTE OVER HJÆLPESTOFFER</w:t>
            </w:r>
          </w:p>
        </w:tc>
      </w:tr>
    </w:tbl>
    <w:p w14:paraId="1AA38275" w14:textId="77777777" w:rsidR="006478AD" w:rsidRPr="00AA499E" w:rsidRDefault="006478AD">
      <w:pPr>
        <w:autoSpaceDE w:val="0"/>
        <w:autoSpaceDN w:val="0"/>
        <w:adjustRightInd w:val="0"/>
        <w:spacing w:after="0" w:line="240" w:lineRule="auto"/>
        <w:rPr>
          <w:rFonts w:ascii="Times New Roman" w:hAnsi="Times New Roman"/>
          <w:lang w:val="da-DK"/>
        </w:rPr>
      </w:pPr>
    </w:p>
    <w:p w14:paraId="0DD07D07"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0BB5FAD" w14:textId="77777777">
        <w:tc>
          <w:tcPr>
            <w:tcW w:w="9546" w:type="dxa"/>
          </w:tcPr>
          <w:p w14:paraId="125923B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LÆGEMIDDELFORM OG ANTAL (PAKNINGSSTØRRELSE)</w:t>
            </w:r>
          </w:p>
        </w:tc>
      </w:tr>
    </w:tbl>
    <w:p w14:paraId="2F521490" w14:textId="77777777" w:rsidR="006478AD" w:rsidRPr="00AA499E" w:rsidRDefault="006478AD">
      <w:pPr>
        <w:autoSpaceDE w:val="0"/>
        <w:autoSpaceDN w:val="0"/>
        <w:adjustRightInd w:val="0"/>
        <w:spacing w:after="0" w:line="240" w:lineRule="auto"/>
        <w:rPr>
          <w:rFonts w:ascii="Times New Roman" w:hAnsi="Times New Roman"/>
          <w:lang w:val="da-DK"/>
        </w:rPr>
      </w:pPr>
    </w:p>
    <w:p w14:paraId="7AEBB24D" w14:textId="77777777" w:rsidR="006478AD" w:rsidRPr="00AA499E" w:rsidRDefault="00616F3C">
      <w:pPr>
        <w:pStyle w:val="KeinLeerraum"/>
        <w:rPr>
          <w:rFonts w:ascii="Times New Roman" w:hAnsi="Times New Roman"/>
          <w:highlight w:val="lightGray"/>
          <w:lang w:val="da-DK"/>
        </w:rPr>
      </w:pPr>
      <w:r w:rsidRPr="00AA499E">
        <w:rPr>
          <w:rFonts w:ascii="Times New Roman" w:hAnsi="Times New Roman"/>
          <w:lang w:val="da-DK"/>
        </w:rPr>
        <w:t xml:space="preserve">30 </w:t>
      </w:r>
      <w:r w:rsidR="00A3038E" w:rsidRPr="00AA499E">
        <w:rPr>
          <w:rFonts w:ascii="Times New Roman" w:hAnsi="Times New Roman"/>
          <w:lang w:val="da-DK"/>
        </w:rPr>
        <w:t xml:space="preserve">hårde </w:t>
      </w:r>
      <w:r w:rsidRPr="00AA499E">
        <w:rPr>
          <w:rFonts w:ascii="Times New Roman" w:hAnsi="Times New Roman"/>
          <w:lang w:val="da-DK"/>
        </w:rPr>
        <w:t>kapsler</w:t>
      </w:r>
    </w:p>
    <w:p w14:paraId="3F241F15" w14:textId="77777777" w:rsidR="006478AD" w:rsidRPr="00AA499E" w:rsidRDefault="00616F3C">
      <w:pPr>
        <w:pStyle w:val="KeinLeerraum"/>
        <w:rPr>
          <w:rFonts w:ascii="Times New Roman" w:hAnsi="Times New Roman"/>
          <w:lang w:val="da-DK"/>
        </w:rPr>
      </w:pPr>
      <w:r w:rsidRPr="00AA499E">
        <w:rPr>
          <w:rFonts w:ascii="Times New Roman" w:hAnsi="Times New Roman"/>
          <w:highlight w:val="lightGray"/>
          <w:lang w:val="da-DK"/>
        </w:rPr>
        <w:t xml:space="preserve">90 </w:t>
      </w:r>
      <w:r w:rsidR="00A3038E" w:rsidRPr="00AA499E">
        <w:rPr>
          <w:rFonts w:ascii="Times New Roman" w:hAnsi="Times New Roman"/>
          <w:highlight w:val="lightGray"/>
          <w:lang w:val="da-DK"/>
        </w:rPr>
        <w:t xml:space="preserve">hårde </w:t>
      </w:r>
      <w:r w:rsidRPr="00AA499E">
        <w:rPr>
          <w:rFonts w:ascii="Times New Roman" w:hAnsi="Times New Roman"/>
          <w:highlight w:val="lightGray"/>
          <w:lang w:val="da-DK"/>
        </w:rPr>
        <w:t>kapsler</w:t>
      </w:r>
    </w:p>
    <w:p w14:paraId="67C94876" w14:textId="77777777" w:rsidR="006478AD" w:rsidRPr="00AA499E" w:rsidRDefault="006478AD">
      <w:pPr>
        <w:autoSpaceDE w:val="0"/>
        <w:autoSpaceDN w:val="0"/>
        <w:adjustRightInd w:val="0"/>
        <w:spacing w:after="0" w:line="240" w:lineRule="auto"/>
        <w:rPr>
          <w:rFonts w:ascii="Times New Roman" w:hAnsi="Times New Roman"/>
          <w:lang w:val="da-DK"/>
        </w:rPr>
      </w:pPr>
    </w:p>
    <w:p w14:paraId="2FEDBCEC"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9CA582B" w14:textId="77777777">
        <w:tc>
          <w:tcPr>
            <w:tcW w:w="9546" w:type="dxa"/>
          </w:tcPr>
          <w:p w14:paraId="4E756C5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ANVENDELSESMÅDE OG ADMINISTRATIONSVEJ(E)</w:t>
            </w:r>
          </w:p>
        </w:tc>
      </w:tr>
    </w:tbl>
    <w:p w14:paraId="32A52830" w14:textId="77777777" w:rsidR="006478AD" w:rsidRPr="00AA499E" w:rsidRDefault="006478AD">
      <w:pPr>
        <w:autoSpaceDE w:val="0"/>
        <w:autoSpaceDN w:val="0"/>
        <w:adjustRightInd w:val="0"/>
        <w:spacing w:after="0" w:line="240" w:lineRule="auto"/>
        <w:rPr>
          <w:rFonts w:ascii="Times New Roman" w:hAnsi="Times New Roman"/>
          <w:lang w:val="da-DK"/>
        </w:rPr>
      </w:pPr>
    </w:p>
    <w:p w14:paraId="0503869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Oral anvendelse.</w:t>
      </w:r>
    </w:p>
    <w:p w14:paraId="7350125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Læs indlægssedlen inden brug.</w:t>
      </w:r>
    </w:p>
    <w:p w14:paraId="61DBB319" w14:textId="77777777" w:rsidR="006478AD" w:rsidRPr="00AA499E" w:rsidRDefault="006478AD">
      <w:pPr>
        <w:autoSpaceDE w:val="0"/>
        <w:autoSpaceDN w:val="0"/>
        <w:adjustRightInd w:val="0"/>
        <w:spacing w:after="0" w:line="240" w:lineRule="auto"/>
        <w:rPr>
          <w:rFonts w:ascii="Times New Roman" w:hAnsi="Times New Roman"/>
          <w:lang w:val="da-DK"/>
        </w:rPr>
      </w:pPr>
    </w:p>
    <w:p w14:paraId="4472A1B8"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7793468B" w14:textId="77777777">
        <w:tc>
          <w:tcPr>
            <w:tcW w:w="9546" w:type="dxa"/>
          </w:tcPr>
          <w:p w14:paraId="7CB2EF4D" w14:textId="77777777" w:rsidR="006478AD" w:rsidRPr="00AA499E" w:rsidRDefault="00616F3C">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SÆRLIG ADVARSEL OM, AT LÆGEMIDLET SKAL OPBEVARES UTILGÆNGELIGT FOR BØRN</w:t>
            </w:r>
          </w:p>
        </w:tc>
      </w:tr>
    </w:tbl>
    <w:p w14:paraId="68064026" w14:textId="77777777" w:rsidR="006478AD" w:rsidRPr="00AA499E" w:rsidRDefault="006478AD">
      <w:pPr>
        <w:autoSpaceDE w:val="0"/>
        <w:autoSpaceDN w:val="0"/>
        <w:adjustRightInd w:val="0"/>
        <w:spacing w:after="0" w:line="240" w:lineRule="auto"/>
        <w:rPr>
          <w:rFonts w:ascii="Times New Roman" w:hAnsi="Times New Roman"/>
          <w:lang w:val="da-DK"/>
        </w:rPr>
      </w:pPr>
    </w:p>
    <w:p w14:paraId="52D7E32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utilgængeligt for børn.</w:t>
      </w:r>
    </w:p>
    <w:p w14:paraId="3F32E201" w14:textId="77777777" w:rsidR="006478AD" w:rsidRPr="00AA499E" w:rsidRDefault="006478AD">
      <w:pPr>
        <w:autoSpaceDE w:val="0"/>
        <w:autoSpaceDN w:val="0"/>
        <w:adjustRightInd w:val="0"/>
        <w:spacing w:after="0" w:line="240" w:lineRule="auto"/>
        <w:rPr>
          <w:rFonts w:ascii="Times New Roman" w:hAnsi="Times New Roman"/>
          <w:lang w:val="da-DK"/>
        </w:rPr>
      </w:pPr>
    </w:p>
    <w:p w14:paraId="1E152418"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75D91D44" w14:textId="77777777">
        <w:tc>
          <w:tcPr>
            <w:tcW w:w="9546" w:type="dxa"/>
          </w:tcPr>
          <w:p w14:paraId="2C167D7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7.</w:t>
            </w:r>
            <w:r w:rsidRPr="00AA499E">
              <w:rPr>
                <w:rFonts w:ascii="Times New Roman" w:hAnsi="Times New Roman"/>
                <w:b/>
                <w:bCs/>
                <w:lang w:val="da-DK"/>
              </w:rPr>
              <w:tab/>
              <w:t>EVENTUELLE ANDRE SÆRLIGE ADVARSLER</w:t>
            </w:r>
          </w:p>
        </w:tc>
      </w:tr>
    </w:tbl>
    <w:p w14:paraId="2544B962" w14:textId="77777777" w:rsidR="006478AD" w:rsidRPr="00AA499E" w:rsidRDefault="006478AD">
      <w:pPr>
        <w:autoSpaceDE w:val="0"/>
        <w:autoSpaceDN w:val="0"/>
        <w:adjustRightInd w:val="0"/>
        <w:spacing w:after="0" w:line="240" w:lineRule="auto"/>
        <w:rPr>
          <w:rFonts w:ascii="Times New Roman" w:hAnsi="Times New Roman"/>
          <w:lang w:val="da-DK"/>
        </w:rPr>
      </w:pPr>
    </w:p>
    <w:p w14:paraId="5888ABD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Anvendes som foreskrevet af lægen.</w:t>
      </w:r>
    </w:p>
    <w:p w14:paraId="0E35E6CC" w14:textId="77777777" w:rsidR="006478AD" w:rsidRPr="00AA499E" w:rsidRDefault="006478AD">
      <w:pPr>
        <w:autoSpaceDE w:val="0"/>
        <w:autoSpaceDN w:val="0"/>
        <w:adjustRightInd w:val="0"/>
        <w:spacing w:after="0" w:line="240" w:lineRule="auto"/>
        <w:rPr>
          <w:rFonts w:ascii="Times New Roman" w:hAnsi="Times New Roman"/>
          <w:lang w:val="da-DK"/>
        </w:rPr>
      </w:pPr>
    </w:p>
    <w:p w14:paraId="44E3EBB6"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1F669C71" w14:textId="77777777">
        <w:tc>
          <w:tcPr>
            <w:tcW w:w="9546" w:type="dxa"/>
          </w:tcPr>
          <w:p w14:paraId="76D6898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8.</w:t>
            </w:r>
            <w:r w:rsidRPr="00AA499E">
              <w:rPr>
                <w:rFonts w:ascii="Times New Roman" w:hAnsi="Times New Roman"/>
                <w:b/>
                <w:bCs/>
                <w:lang w:val="da-DK"/>
              </w:rPr>
              <w:tab/>
              <w:t>UDLØBSDATO</w:t>
            </w:r>
          </w:p>
        </w:tc>
      </w:tr>
    </w:tbl>
    <w:p w14:paraId="3E8C6EE5" w14:textId="77777777" w:rsidR="006478AD" w:rsidRPr="00AA499E" w:rsidRDefault="006478AD">
      <w:pPr>
        <w:autoSpaceDE w:val="0"/>
        <w:autoSpaceDN w:val="0"/>
        <w:adjustRightInd w:val="0"/>
        <w:spacing w:after="0" w:line="240" w:lineRule="auto"/>
        <w:rPr>
          <w:rFonts w:ascii="Times New Roman" w:hAnsi="Times New Roman"/>
          <w:lang w:val="da-DK"/>
        </w:rPr>
      </w:pPr>
    </w:p>
    <w:p w14:paraId="2C872AD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588390A3" w14:textId="77777777" w:rsidR="006478AD" w:rsidRPr="00AA499E" w:rsidRDefault="006478AD">
      <w:pPr>
        <w:autoSpaceDE w:val="0"/>
        <w:autoSpaceDN w:val="0"/>
        <w:adjustRightInd w:val="0"/>
        <w:spacing w:after="0" w:line="240" w:lineRule="auto"/>
        <w:rPr>
          <w:rFonts w:ascii="Times New Roman" w:hAnsi="Times New Roman"/>
          <w:lang w:val="da-DK"/>
        </w:rPr>
      </w:pPr>
    </w:p>
    <w:p w14:paraId="4A5093D5"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223EB392" w14:textId="77777777">
        <w:tc>
          <w:tcPr>
            <w:tcW w:w="9546" w:type="dxa"/>
          </w:tcPr>
          <w:p w14:paraId="10442B52" w14:textId="77777777" w:rsidR="006478AD" w:rsidRPr="00AA499E" w:rsidRDefault="00616F3C" w:rsidP="008370B1">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lastRenderedPageBreak/>
              <w:t>9.</w:t>
            </w:r>
            <w:r w:rsidRPr="00AA499E">
              <w:rPr>
                <w:rFonts w:ascii="Times New Roman" w:hAnsi="Times New Roman"/>
                <w:b/>
                <w:bCs/>
                <w:lang w:val="da-DK"/>
              </w:rPr>
              <w:tab/>
              <w:t>SÆRLIGE OPBEVARINGSBETINGELSER</w:t>
            </w:r>
          </w:p>
        </w:tc>
      </w:tr>
    </w:tbl>
    <w:p w14:paraId="5A7BA627" w14:textId="77777777" w:rsidR="006478AD" w:rsidRPr="00AA499E" w:rsidRDefault="006478AD" w:rsidP="008370B1">
      <w:pPr>
        <w:keepNext/>
        <w:autoSpaceDE w:val="0"/>
        <w:autoSpaceDN w:val="0"/>
        <w:adjustRightInd w:val="0"/>
        <w:spacing w:after="0" w:line="240" w:lineRule="auto"/>
        <w:rPr>
          <w:rFonts w:ascii="Times New Roman" w:hAnsi="Times New Roman"/>
          <w:lang w:val="da-DK"/>
        </w:rPr>
      </w:pPr>
    </w:p>
    <w:p w14:paraId="54A2164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Må ikke opbevares ved temperaturer over </w:t>
      </w:r>
      <w:r w:rsidR="00E12CFA" w:rsidRPr="00AA499E">
        <w:rPr>
          <w:rFonts w:ascii="Times New Roman" w:hAnsi="Times New Roman"/>
          <w:lang w:val="da-DK"/>
        </w:rPr>
        <w:t>25</w:t>
      </w:r>
      <w:r w:rsidRPr="00AA499E">
        <w:rPr>
          <w:rFonts w:ascii="Times New Roman" w:hAnsi="Times New Roman"/>
          <w:lang w:val="da-DK"/>
        </w:rPr>
        <w:t>°C.</w:t>
      </w:r>
    </w:p>
    <w:p w14:paraId="693CD7F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i den originale yderpakning for at beskytte mod fugt.</w:t>
      </w:r>
    </w:p>
    <w:p w14:paraId="5E36E1F8" w14:textId="77777777" w:rsidR="006478AD" w:rsidRPr="00AA499E" w:rsidRDefault="006478AD">
      <w:pPr>
        <w:autoSpaceDE w:val="0"/>
        <w:autoSpaceDN w:val="0"/>
        <w:adjustRightInd w:val="0"/>
        <w:spacing w:after="0" w:line="240" w:lineRule="auto"/>
        <w:rPr>
          <w:rFonts w:ascii="Times New Roman" w:hAnsi="Times New Roman"/>
          <w:lang w:val="da-DK"/>
        </w:rPr>
      </w:pPr>
    </w:p>
    <w:p w14:paraId="7A87D7DC"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31570E12" w14:textId="77777777">
        <w:tc>
          <w:tcPr>
            <w:tcW w:w="9546" w:type="dxa"/>
          </w:tcPr>
          <w:p w14:paraId="4870FAEC" w14:textId="77777777" w:rsidR="006478AD" w:rsidRPr="00AA499E" w:rsidRDefault="00616F3C">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10.</w:t>
            </w:r>
            <w:r w:rsidRPr="00AA499E">
              <w:rPr>
                <w:rFonts w:ascii="Times New Roman" w:hAnsi="Times New Roman"/>
                <w:b/>
                <w:bCs/>
                <w:lang w:val="da-DK"/>
              </w:rPr>
              <w:tab/>
              <w:t>EVENTUELLE SÆRLIGE FORHOLDSREGLER VED BORTSKAFFELSE AF IKKE ANVENDT LÆGEMIDDEL SAMT AFFALD HERAF</w:t>
            </w:r>
          </w:p>
        </w:tc>
      </w:tr>
    </w:tbl>
    <w:p w14:paraId="73C39650" w14:textId="77777777" w:rsidR="006478AD" w:rsidRPr="00AA499E" w:rsidRDefault="006478AD">
      <w:pPr>
        <w:autoSpaceDE w:val="0"/>
        <w:autoSpaceDN w:val="0"/>
        <w:adjustRightInd w:val="0"/>
        <w:spacing w:after="0" w:line="240" w:lineRule="auto"/>
        <w:rPr>
          <w:rFonts w:ascii="Times New Roman" w:hAnsi="Times New Roman"/>
          <w:lang w:val="da-DK"/>
        </w:rPr>
      </w:pPr>
    </w:p>
    <w:p w14:paraId="316A69BC"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3ED29EB8" w14:textId="77777777">
        <w:tc>
          <w:tcPr>
            <w:tcW w:w="9546" w:type="dxa"/>
          </w:tcPr>
          <w:p w14:paraId="5A670FB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11.</w:t>
            </w:r>
            <w:r w:rsidRPr="00AA499E">
              <w:rPr>
                <w:rFonts w:ascii="Times New Roman" w:hAnsi="Times New Roman"/>
                <w:b/>
                <w:bCs/>
                <w:lang w:val="da-DK"/>
              </w:rPr>
              <w:tab/>
              <w:t>NAVN OG ADRESSE PÅ INDEHAVEREN AF MARKEDSFØRINGSTILLADELSEN</w:t>
            </w:r>
          </w:p>
        </w:tc>
      </w:tr>
    </w:tbl>
    <w:p w14:paraId="311FDE5F" w14:textId="77777777" w:rsidR="006478AD" w:rsidRPr="00AA499E" w:rsidRDefault="006478AD">
      <w:pPr>
        <w:autoSpaceDE w:val="0"/>
        <w:autoSpaceDN w:val="0"/>
        <w:adjustRightInd w:val="0"/>
        <w:spacing w:after="0" w:line="240" w:lineRule="auto"/>
        <w:rPr>
          <w:rFonts w:ascii="Times New Roman" w:hAnsi="Times New Roman"/>
          <w:lang w:val="da-DK"/>
        </w:rPr>
      </w:pPr>
    </w:p>
    <w:p w14:paraId="2EA2C11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34D5B238" w14:textId="77777777" w:rsidR="006478AD" w:rsidRPr="00AA499E" w:rsidRDefault="00CE7A7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220 </w:t>
      </w:r>
      <w:r w:rsidR="00616F3C" w:rsidRPr="00AA499E">
        <w:rPr>
          <w:rFonts w:ascii="Times New Roman" w:hAnsi="Times New Roman"/>
          <w:lang w:val="da-DK"/>
        </w:rPr>
        <w:t>Hafnarfjörður</w:t>
      </w:r>
    </w:p>
    <w:p w14:paraId="0522F0A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2876F622" w14:textId="77777777" w:rsidR="006478AD" w:rsidRPr="00AA499E" w:rsidRDefault="006478AD">
      <w:pPr>
        <w:autoSpaceDE w:val="0"/>
        <w:autoSpaceDN w:val="0"/>
        <w:adjustRightInd w:val="0"/>
        <w:spacing w:after="0" w:line="240" w:lineRule="auto"/>
        <w:rPr>
          <w:rFonts w:ascii="Times New Roman" w:hAnsi="Times New Roman"/>
          <w:lang w:val="da-DK"/>
        </w:rPr>
      </w:pPr>
    </w:p>
    <w:p w14:paraId="76CD4A6B"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4F9DD6D7" w14:textId="77777777">
        <w:tc>
          <w:tcPr>
            <w:tcW w:w="9546" w:type="dxa"/>
          </w:tcPr>
          <w:p w14:paraId="3CACE36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12.</w:t>
            </w:r>
            <w:r w:rsidRPr="00AA499E">
              <w:rPr>
                <w:rFonts w:ascii="Times New Roman" w:hAnsi="Times New Roman"/>
                <w:b/>
                <w:bCs/>
                <w:lang w:val="da-DK"/>
              </w:rPr>
              <w:tab/>
              <w:t>MARKEDSFØRINGSTILLADELSESNUMMER (NUMRE)</w:t>
            </w:r>
          </w:p>
        </w:tc>
      </w:tr>
    </w:tbl>
    <w:p w14:paraId="7547D4D0" w14:textId="77777777" w:rsidR="006478AD" w:rsidRPr="00AA499E" w:rsidRDefault="006478AD">
      <w:pPr>
        <w:autoSpaceDE w:val="0"/>
        <w:autoSpaceDN w:val="0"/>
        <w:adjustRightInd w:val="0"/>
        <w:spacing w:after="0" w:line="240" w:lineRule="auto"/>
        <w:rPr>
          <w:rFonts w:ascii="Times New Roman" w:hAnsi="Times New Roman"/>
          <w:lang w:val="da-DK"/>
        </w:rPr>
      </w:pPr>
    </w:p>
    <w:p w14:paraId="5FBC202E" w14:textId="77777777" w:rsidR="00F635EC" w:rsidRPr="00AA499E" w:rsidRDefault="00F635EC"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lang w:val="da-DK"/>
        </w:rPr>
        <w:t xml:space="preserve">EU/1/13/825/001 </w:t>
      </w:r>
      <w:r w:rsidRPr="00AA499E">
        <w:rPr>
          <w:rFonts w:ascii="Times New Roman" w:hAnsi="Times New Roman"/>
          <w:highlight w:val="lightGray"/>
          <w:lang w:val="da-DK"/>
        </w:rPr>
        <w:t xml:space="preserve">30  </w:t>
      </w:r>
      <w:r w:rsidR="00F665D3" w:rsidRPr="00AA499E">
        <w:rPr>
          <w:rFonts w:ascii="Times New Roman" w:hAnsi="Times New Roman"/>
          <w:highlight w:val="lightGray"/>
          <w:lang w:val="da-DK"/>
        </w:rPr>
        <w:t>kapsler</w:t>
      </w:r>
    </w:p>
    <w:p w14:paraId="4F2B5ED9" w14:textId="77777777" w:rsidR="006478AD" w:rsidRPr="00AA499E" w:rsidRDefault="00F635EC" w:rsidP="00F635EC">
      <w:pPr>
        <w:autoSpaceDE w:val="0"/>
        <w:autoSpaceDN w:val="0"/>
        <w:adjustRightInd w:val="0"/>
        <w:spacing w:after="0" w:line="240" w:lineRule="auto"/>
        <w:rPr>
          <w:rFonts w:ascii="Times New Roman" w:hAnsi="Times New Roman"/>
          <w:lang w:val="da-DK"/>
        </w:rPr>
      </w:pPr>
      <w:r w:rsidRPr="00AA499E">
        <w:rPr>
          <w:rFonts w:ascii="Times New Roman" w:hAnsi="Times New Roman"/>
          <w:highlight w:val="lightGray"/>
          <w:lang w:val="da-DK"/>
        </w:rPr>
        <w:t xml:space="preserve">EU/1/13/825/002 90  </w:t>
      </w:r>
      <w:r w:rsidR="00F665D3" w:rsidRPr="00AA499E">
        <w:rPr>
          <w:rFonts w:ascii="Times New Roman" w:hAnsi="Times New Roman"/>
          <w:highlight w:val="lightGray"/>
          <w:lang w:val="da-DK"/>
        </w:rPr>
        <w:t>kapsler</w:t>
      </w:r>
      <w:r w:rsidR="00F665D3" w:rsidRPr="00AA499E" w:rsidDel="00F635EC">
        <w:rPr>
          <w:rFonts w:ascii="Times New Roman" w:hAnsi="Times New Roman"/>
          <w:highlight w:val="lightGray"/>
          <w:lang w:val="da-DK"/>
        </w:rPr>
        <w:t xml:space="preserve"> </w:t>
      </w:r>
    </w:p>
    <w:p w14:paraId="4DE29860" w14:textId="77777777" w:rsidR="006478AD" w:rsidRPr="00AA499E" w:rsidRDefault="006478AD">
      <w:pPr>
        <w:autoSpaceDE w:val="0"/>
        <w:autoSpaceDN w:val="0"/>
        <w:adjustRightInd w:val="0"/>
        <w:spacing w:after="0" w:line="240" w:lineRule="auto"/>
        <w:rPr>
          <w:rFonts w:ascii="Times New Roman" w:hAnsi="Times New Roman"/>
          <w:lang w:val="da-DK"/>
        </w:rPr>
      </w:pPr>
    </w:p>
    <w:p w14:paraId="08FC8A26"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206A984A" w14:textId="77777777">
        <w:tc>
          <w:tcPr>
            <w:tcW w:w="9546" w:type="dxa"/>
          </w:tcPr>
          <w:p w14:paraId="5B4C7D2A" w14:textId="71BCD512"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13.</w:t>
            </w:r>
            <w:r w:rsidRPr="00AA499E">
              <w:rPr>
                <w:rFonts w:ascii="Times New Roman" w:hAnsi="Times New Roman"/>
                <w:b/>
                <w:bCs/>
                <w:lang w:val="da-DK"/>
              </w:rPr>
              <w:tab/>
              <w:t>BATCHNUMMER</w:t>
            </w:r>
          </w:p>
        </w:tc>
      </w:tr>
    </w:tbl>
    <w:p w14:paraId="3461152B" w14:textId="77777777" w:rsidR="006478AD" w:rsidRPr="00AA499E" w:rsidRDefault="006478AD">
      <w:pPr>
        <w:autoSpaceDE w:val="0"/>
        <w:autoSpaceDN w:val="0"/>
        <w:adjustRightInd w:val="0"/>
        <w:spacing w:after="0" w:line="240" w:lineRule="auto"/>
        <w:rPr>
          <w:rFonts w:ascii="Times New Roman" w:hAnsi="Times New Roman"/>
          <w:lang w:val="da-DK"/>
        </w:rPr>
      </w:pPr>
    </w:p>
    <w:p w14:paraId="0B75D4A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426B25AA" w14:textId="77777777" w:rsidR="006478AD" w:rsidRPr="00AA499E" w:rsidRDefault="006478AD">
      <w:pPr>
        <w:autoSpaceDE w:val="0"/>
        <w:autoSpaceDN w:val="0"/>
        <w:adjustRightInd w:val="0"/>
        <w:spacing w:after="0" w:line="240" w:lineRule="auto"/>
        <w:rPr>
          <w:rFonts w:ascii="Times New Roman" w:hAnsi="Times New Roman"/>
          <w:lang w:val="da-DK"/>
        </w:rPr>
      </w:pPr>
    </w:p>
    <w:p w14:paraId="2390CA4B"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BB24DB2" w14:textId="77777777">
        <w:tc>
          <w:tcPr>
            <w:tcW w:w="9546" w:type="dxa"/>
          </w:tcPr>
          <w:p w14:paraId="04AD696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14.</w:t>
            </w:r>
            <w:r w:rsidRPr="00AA499E">
              <w:rPr>
                <w:rFonts w:ascii="Times New Roman" w:hAnsi="Times New Roman"/>
                <w:b/>
                <w:bCs/>
                <w:lang w:val="da-DK"/>
              </w:rPr>
              <w:tab/>
              <w:t>GENEREL KLASSIFIKATION FOR UDLEVERING</w:t>
            </w:r>
          </w:p>
        </w:tc>
      </w:tr>
    </w:tbl>
    <w:p w14:paraId="525B69FF" w14:textId="77777777" w:rsidR="006478AD" w:rsidRPr="00AA499E" w:rsidRDefault="006478AD">
      <w:pPr>
        <w:autoSpaceDE w:val="0"/>
        <w:autoSpaceDN w:val="0"/>
        <w:adjustRightInd w:val="0"/>
        <w:spacing w:after="0" w:line="240" w:lineRule="auto"/>
        <w:rPr>
          <w:rFonts w:ascii="Times New Roman" w:hAnsi="Times New Roman"/>
          <w:lang w:val="da-DK"/>
        </w:rPr>
      </w:pPr>
    </w:p>
    <w:p w14:paraId="17FE4EA8"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5E5896ED" w14:textId="77777777">
        <w:tc>
          <w:tcPr>
            <w:tcW w:w="9546" w:type="dxa"/>
          </w:tcPr>
          <w:p w14:paraId="121C2F8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15.</w:t>
            </w:r>
            <w:r w:rsidRPr="00AA499E">
              <w:rPr>
                <w:rFonts w:ascii="Times New Roman" w:hAnsi="Times New Roman"/>
                <w:b/>
                <w:bCs/>
                <w:lang w:val="da-DK"/>
              </w:rPr>
              <w:tab/>
              <w:t>INSTRUKTIONER VEDRØRENDE ANVENDELSEN</w:t>
            </w:r>
          </w:p>
        </w:tc>
      </w:tr>
    </w:tbl>
    <w:p w14:paraId="07A2DB1E" w14:textId="77777777" w:rsidR="006478AD" w:rsidRPr="00AA499E" w:rsidRDefault="006478AD">
      <w:pPr>
        <w:autoSpaceDE w:val="0"/>
        <w:autoSpaceDN w:val="0"/>
        <w:adjustRightInd w:val="0"/>
        <w:spacing w:after="0" w:line="240" w:lineRule="auto"/>
        <w:rPr>
          <w:rFonts w:ascii="Times New Roman" w:hAnsi="Times New Roman"/>
          <w:lang w:val="da-DK"/>
        </w:rPr>
      </w:pPr>
    </w:p>
    <w:p w14:paraId="0DBCB949"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1AB7950F" w14:textId="77777777">
        <w:tc>
          <w:tcPr>
            <w:tcW w:w="9546" w:type="dxa"/>
          </w:tcPr>
          <w:p w14:paraId="1C1CDF84" w14:textId="77777777" w:rsidR="006478AD" w:rsidRPr="00AA499E" w:rsidRDefault="00616F3C">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16.</w:t>
            </w:r>
            <w:r w:rsidRPr="00AA499E">
              <w:rPr>
                <w:rFonts w:ascii="Times New Roman" w:hAnsi="Times New Roman"/>
                <w:b/>
                <w:bCs/>
                <w:lang w:val="da-DK"/>
              </w:rPr>
              <w:tab/>
              <w:t>INFORMATION I BRAILLE-SKRIFT</w:t>
            </w:r>
          </w:p>
        </w:tc>
      </w:tr>
    </w:tbl>
    <w:p w14:paraId="0FDE2C94" w14:textId="77777777" w:rsidR="006478AD" w:rsidRPr="00AA499E" w:rsidRDefault="006478AD">
      <w:pPr>
        <w:autoSpaceDE w:val="0"/>
        <w:autoSpaceDN w:val="0"/>
        <w:adjustRightInd w:val="0"/>
        <w:spacing w:after="0" w:line="240" w:lineRule="auto"/>
        <w:rPr>
          <w:rFonts w:ascii="Times New Roman" w:hAnsi="Times New Roman"/>
          <w:lang w:val="da-DK"/>
        </w:rPr>
      </w:pPr>
    </w:p>
    <w:p w14:paraId="5960F23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50 mg</w:t>
      </w:r>
    </w:p>
    <w:p w14:paraId="773940FB" w14:textId="77777777" w:rsidR="006478AD" w:rsidRPr="00AA499E" w:rsidRDefault="006478AD">
      <w:pPr>
        <w:autoSpaceDE w:val="0"/>
        <w:autoSpaceDN w:val="0"/>
        <w:adjustRightInd w:val="0"/>
        <w:spacing w:after="0" w:line="240" w:lineRule="auto"/>
        <w:rPr>
          <w:rFonts w:ascii="Times New Roman" w:hAnsi="Times New Roman"/>
          <w:lang w:val="da-DK"/>
        </w:rPr>
      </w:pPr>
    </w:p>
    <w:p w14:paraId="6A7ED9F0" w14:textId="77777777" w:rsidR="001B065F" w:rsidRPr="00AA499E" w:rsidRDefault="001B065F" w:rsidP="001B065F">
      <w:pPr>
        <w:spacing w:after="0" w:line="240" w:lineRule="auto"/>
        <w:ind w:left="567" w:hanging="567"/>
        <w:rPr>
          <w:rFonts w:ascii="Times New Roman" w:eastAsia="Times New Roman" w:hAnsi="Times New Roman"/>
          <w:szCs w:val="20"/>
          <w:lang w:val="da-DK"/>
        </w:rPr>
      </w:pPr>
    </w:p>
    <w:p w14:paraId="1F7BB6AA" w14:textId="77777777" w:rsidR="001B065F" w:rsidRPr="00AA499E" w:rsidRDefault="001B065F" w:rsidP="001B065F">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t>17</w:t>
      </w:r>
      <w:r w:rsidRPr="00AA499E">
        <w:rPr>
          <w:rFonts w:ascii="Times New Roman" w:eastAsia="Times New Roman" w:hAnsi="Times New Roman"/>
          <w:b/>
          <w:noProof/>
          <w:lang w:val="da-DK"/>
        </w:rPr>
        <w:tab/>
        <w:t>ENTYDIG IDENTIFIKATOR – 2D-STREGKODE</w:t>
      </w:r>
    </w:p>
    <w:p w14:paraId="681B4F81" w14:textId="77777777" w:rsidR="001B065F" w:rsidRPr="00AA499E" w:rsidRDefault="001B065F" w:rsidP="001B065F">
      <w:pPr>
        <w:tabs>
          <w:tab w:val="left" w:pos="720"/>
        </w:tabs>
        <w:spacing w:after="0" w:line="240" w:lineRule="auto"/>
        <w:rPr>
          <w:rFonts w:ascii="Times New Roman" w:eastAsia="Times New Roman" w:hAnsi="Times New Roman"/>
          <w:noProof/>
          <w:lang w:val="da-DK"/>
        </w:rPr>
      </w:pPr>
    </w:p>
    <w:p w14:paraId="7AC5E718" w14:textId="77777777" w:rsidR="001B065F" w:rsidRPr="00AA499E" w:rsidRDefault="007C29DA" w:rsidP="001B065F">
      <w:pPr>
        <w:tabs>
          <w:tab w:val="left" w:pos="720"/>
        </w:tabs>
        <w:spacing w:after="0" w:line="240" w:lineRule="auto"/>
        <w:rPr>
          <w:rFonts w:ascii="Times New Roman" w:eastAsia="Times New Roman" w:hAnsi="Times New Roman"/>
          <w:noProof/>
          <w:lang w:val="da-DK"/>
        </w:rPr>
      </w:pPr>
      <w:r w:rsidRPr="00AA499E">
        <w:rPr>
          <w:rFonts w:ascii="Times New Roman" w:eastAsia="Times New Roman" w:hAnsi="Times New Roman"/>
          <w:noProof/>
          <w:highlight w:val="lightGray"/>
          <w:lang w:val="da-DK"/>
        </w:rPr>
        <w:t>&lt;Der er anført en 2D-stregkode, som indeholder en entydig identifikator.&gt;</w:t>
      </w:r>
    </w:p>
    <w:p w14:paraId="153F7EC1"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p>
    <w:p w14:paraId="3FEE6F7B"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p>
    <w:p w14:paraId="39379275" w14:textId="77777777" w:rsidR="001B065F" w:rsidRPr="00AA499E" w:rsidRDefault="001B065F" w:rsidP="001B065F">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t>18.</w:t>
      </w:r>
      <w:r w:rsidRPr="00AA499E">
        <w:rPr>
          <w:rFonts w:ascii="Times New Roman" w:eastAsia="Times New Roman" w:hAnsi="Times New Roman"/>
          <w:b/>
          <w:noProof/>
          <w:lang w:val="da-DK"/>
        </w:rPr>
        <w:tab/>
        <w:t>ENTYDIG IDENTIFIKATOR - MENNESKELIGT LÆSBARE DATA</w:t>
      </w:r>
    </w:p>
    <w:p w14:paraId="23FA6501" w14:textId="77777777" w:rsidR="001B065F" w:rsidRPr="00AA499E" w:rsidRDefault="001B065F" w:rsidP="00A50D16">
      <w:pPr>
        <w:keepNext/>
        <w:autoSpaceDE w:val="0"/>
        <w:autoSpaceDN w:val="0"/>
        <w:adjustRightInd w:val="0"/>
        <w:spacing w:after="0" w:line="240" w:lineRule="auto"/>
        <w:rPr>
          <w:rFonts w:ascii="Times New Roman" w:hAnsi="Times New Roman"/>
          <w:lang w:val="da-DK"/>
        </w:rPr>
      </w:pPr>
    </w:p>
    <w:p w14:paraId="58018A50" w14:textId="74470102" w:rsidR="007C29DA" w:rsidRPr="00AA499E" w:rsidRDefault="007C29DA"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PC {nummer} </w:t>
      </w:r>
    </w:p>
    <w:p w14:paraId="4E240CAF" w14:textId="62FE921A" w:rsidR="007C29DA" w:rsidRPr="00AA499E" w:rsidRDefault="007C29DA"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SN {nummer} </w:t>
      </w:r>
    </w:p>
    <w:p w14:paraId="58076572" w14:textId="5B37CA55" w:rsidR="00B94682"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NN {nummer}</w:t>
      </w:r>
      <w:r w:rsidR="00B94682"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58FB2FBB" w14:textId="77777777" w:rsidTr="00B94682">
        <w:tc>
          <w:tcPr>
            <w:tcW w:w="9546" w:type="dxa"/>
          </w:tcPr>
          <w:p w14:paraId="2ECBB862" w14:textId="77777777" w:rsidR="00B94682" w:rsidRPr="00AA499E" w:rsidRDefault="00B94682" w:rsidP="00B94682">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MÆRKNING, DER SKAL ANFØRES PÅ DEN YDRE EMBALLAGE</w:t>
            </w:r>
          </w:p>
          <w:p w14:paraId="586D45A4"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3158DB3"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KARTON</w:t>
            </w:r>
          </w:p>
          <w:p w14:paraId="1CEA062A"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c>
      </w:tr>
    </w:tbl>
    <w:p w14:paraId="3762F4C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6A56041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73051EF0" w14:textId="77777777" w:rsidTr="00B94682">
        <w:tc>
          <w:tcPr>
            <w:tcW w:w="9546" w:type="dxa"/>
          </w:tcPr>
          <w:p w14:paraId="00E88363"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2680E35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399D3853"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 hårde kapsler</w:t>
      </w:r>
    </w:p>
    <w:p w14:paraId="5F868DD6" w14:textId="77777777" w:rsidR="00B94682" w:rsidRPr="00AA499E" w:rsidRDefault="00A16B85"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B94682" w:rsidRPr="00AA499E">
        <w:rPr>
          <w:rFonts w:ascii="Times New Roman" w:hAnsi="Times New Roman"/>
          <w:lang w:val="da-DK"/>
        </w:rPr>
        <w:t>matinib</w:t>
      </w:r>
    </w:p>
    <w:p w14:paraId="47FC21B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2EA6FEB7"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602972CE" w14:textId="77777777" w:rsidTr="00B94682">
        <w:tc>
          <w:tcPr>
            <w:tcW w:w="9546" w:type="dxa"/>
          </w:tcPr>
          <w:p w14:paraId="57868F04"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ANGIVELSE AF AKTIVT STOF/AKTIVE STOFFER</w:t>
            </w:r>
          </w:p>
        </w:tc>
      </w:tr>
    </w:tbl>
    <w:p w14:paraId="31262752"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FBF5081"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Hver </w:t>
      </w:r>
      <w:r w:rsidR="00A3038E" w:rsidRPr="00AA499E">
        <w:rPr>
          <w:rFonts w:ascii="Times New Roman" w:hAnsi="Times New Roman"/>
          <w:lang w:val="da-DK"/>
        </w:rPr>
        <w:t xml:space="preserve">hård </w:t>
      </w:r>
      <w:r w:rsidRPr="00AA499E">
        <w:rPr>
          <w:rFonts w:ascii="Times New Roman" w:hAnsi="Times New Roman"/>
          <w:lang w:val="da-DK"/>
        </w:rPr>
        <w:t>kapsel indeholder 100 mg imatinib (som mesilat).</w:t>
      </w:r>
    </w:p>
    <w:p w14:paraId="098024EE"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4157D8E"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667B4F5D" w14:textId="77777777" w:rsidTr="00B94682">
        <w:tc>
          <w:tcPr>
            <w:tcW w:w="9546" w:type="dxa"/>
          </w:tcPr>
          <w:p w14:paraId="177E61D1"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LISTE OVER HJÆLPESTOFFER</w:t>
            </w:r>
          </w:p>
        </w:tc>
      </w:tr>
    </w:tbl>
    <w:p w14:paraId="23A084B8"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601049D4"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05BE80A1" w14:textId="77777777" w:rsidTr="00B94682">
        <w:tc>
          <w:tcPr>
            <w:tcW w:w="9546" w:type="dxa"/>
          </w:tcPr>
          <w:p w14:paraId="6BED32B0"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LÆGEMIDDELFORM OG ANTAL (PAKNINGSSTØRRELSE)</w:t>
            </w:r>
          </w:p>
        </w:tc>
      </w:tr>
    </w:tbl>
    <w:p w14:paraId="7859492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4590F07" w14:textId="77777777" w:rsidR="00B94682" w:rsidRPr="00AA499E" w:rsidRDefault="00B94682" w:rsidP="00B94682">
      <w:pPr>
        <w:pStyle w:val="KeinLeerraum"/>
        <w:rPr>
          <w:rFonts w:ascii="Times New Roman" w:hAnsi="Times New Roman"/>
          <w:lang w:val="da-DK"/>
        </w:rPr>
      </w:pPr>
      <w:r w:rsidRPr="00AA499E">
        <w:rPr>
          <w:rFonts w:ascii="Times New Roman" w:hAnsi="Times New Roman"/>
          <w:lang w:val="da-DK"/>
        </w:rPr>
        <w:t xml:space="preserve">24 </w:t>
      </w:r>
      <w:r w:rsidR="00A3038E" w:rsidRPr="00AA499E">
        <w:rPr>
          <w:rFonts w:ascii="Times New Roman" w:hAnsi="Times New Roman"/>
          <w:lang w:val="da-DK"/>
        </w:rPr>
        <w:t xml:space="preserve">hårde </w:t>
      </w:r>
      <w:r w:rsidRPr="00AA499E">
        <w:rPr>
          <w:rFonts w:ascii="Times New Roman" w:hAnsi="Times New Roman"/>
          <w:lang w:val="da-DK"/>
        </w:rPr>
        <w:t>kapsler</w:t>
      </w:r>
    </w:p>
    <w:p w14:paraId="37A244B4" w14:textId="77777777" w:rsidR="00B94682" w:rsidRPr="00AA499E" w:rsidRDefault="00B94682" w:rsidP="00B94682">
      <w:pPr>
        <w:pStyle w:val="KeinLeerraum"/>
        <w:rPr>
          <w:rFonts w:ascii="Times New Roman" w:hAnsi="Times New Roman"/>
          <w:highlight w:val="lightGray"/>
          <w:lang w:val="da-DK"/>
        </w:rPr>
      </w:pPr>
      <w:r w:rsidRPr="00AA499E">
        <w:rPr>
          <w:rFonts w:ascii="Times New Roman" w:hAnsi="Times New Roman"/>
          <w:highlight w:val="lightGray"/>
          <w:lang w:val="da-DK"/>
        </w:rPr>
        <w:t xml:space="preserve">48 </w:t>
      </w:r>
      <w:r w:rsidR="00A3038E" w:rsidRPr="00AA499E">
        <w:rPr>
          <w:rFonts w:ascii="Times New Roman" w:hAnsi="Times New Roman"/>
          <w:highlight w:val="lightGray"/>
          <w:lang w:val="da-DK"/>
        </w:rPr>
        <w:t xml:space="preserve">hårde </w:t>
      </w:r>
      <w:r w:rsidRPr="00AA499E">
        <w:rPr>
          <w:rFonts w:ascii="Times New Roman" w:hAnsi="Times New Roman"/>
          <w:highlight w:val="lightGray"/>
          <w:lang w:val="da-DK"/>
        </w:rPr>
        <w:t>kapsler</w:t>
      </w:r>
    </w:p>
    <w:p w14:paraId="673279F7" w14:textId="77777777" w:rsidR="00CA17D6" w:rsidRPr="00AA499E" w:rsidRDefault="00CA17D6" w:rsidP="00B94682">
      <w:pPr>
        <w:pStyle w:val="KeinLeerraum"/>
        <w:rPr>
          <w:rFonts w:ascii="Times New Roman" w:hAnsi="Times New Roman"/>
          <w:highlight w:val="lightGray"/>
          <w:lang w:val="da-DK"/>
        </w:rPr>
      </w:pPr>
      <w:r w:rsidRPr="00AA499E">
        <w:rPr>
          <w:rFonts w:ascii="Times New Roman" w:hAnsi="Times New Roman"/>
          <w:highlight w:val="lightGray"/>
          <w:lang w:val="da-DK"/>
        </w:rPr>
        <w:t xml:space="preserve">60 </w:t>
      </w:r>
      <w:r w:rsidR="00A3038E" w:rsidRPr="00AA499E">
        <w:rPr>
          <w:rFonts w:ascii="Times New Roman" w:hAnsi="Times New Roman"/>
          <w:highlight w:val="lightGray"/>
          <w:lang w:val="da-DK"/>
        </w:rPr>
        <w:t xml:space="preserve">hårde </w:t>
      </w:r>
      <w:r w:rsidRPr="00AA499E">
        <w:rPr>
          <w:rFonts w:ascii="Times New Roman" w:hAnsi="Times New Roman"/>
          <w:highlight w:val="lightGray"/>
          <w:lang w:val="da-DK"/>
        </w:rPr>
        <w:t>kapsler</w:t>
      </w:r>
    </w:p>
    <w:p w14:paraId="167DEB00" w14:textId="77777777" w:rsidR="00B94682" w:rsidRPr="00AA499E" w:rsidRDefault="00B94682" w:rsidP="00B94682">
      <w:pPr>
        <w:pStyle w:val="KeinLeerraum"/>
        <w:rPr>
          <w:rFonts w:ascii="Times New Roman" w:hAnsi="Times New Roman"/>
          <w:highlight w:val="lightGray"/>
          <w:lang w:val="da-DK"/>
        </w:rPr>
      </w:pPr>
      <w:r w:rsidRPr="00AA499E">
        <w:rPr>
          <w:rFonts w:ascii="Times New Roman" w:hAnsi="Times New Roman"/>
          <w:highlight w:val="lightGray"/>
          <w:lang w:val="da-DK"/>
        </w:rPr>
        <w:t xml:space="preserve">96 </w:t>
      </w:r>
      <w:r w:rsidR="00A3038E" w:rsidRPr="00AA499E">
        <w:rPr>
          <w:rFonts w:ascii="Times New Roman" w:hAnsi="Times New Roman"/>
          <w:highlight w:val="lightGray"/>
          <w:lang w:val="da-DK"/>
        </w:rPr>
        <w:t xml:space="preserve">hårde </w:t>
      </w:r>
      <w:r w:rsidRPr="00AA499E">
        <w:rPr>
          <w:rFonts w:ascii="Times New Roman" w:hAnsi="Times New Roman"/>
          <w:highlight w:val="lightGray"/>
          <w:lang w:val="da-DK"/>
        </w:rPr>
        <w:t>kapsler</w:t>
      </w:r>
    </w:p>
    <w:p w14:paraId="77AD128C" w14:textId="77777777" w:rsidR="00B94682" w:rsidRPr="00AA499E" w:rsidRDefault="00B94682" w:rsidP="00B94682">
      <w:pPr>
        <w:pStyle w:val="KeinLeerraum"/>
        <w:rPr>
          <w:rFonts w:ascii="Times New Roman" w:hAnsi="Times New Roman"/>
          <w:highlight w:val="lightGray"/>
          <w:lang w:val="da-DK"/>
        </w:rPr>
      </w:pPr>
      <w:r w:rsidRPr="00AA499E">
        <w:rPr>
          <w:rFonts w:ascii="Times New Roman" w:hAnsi="Times New Roman"/>
          <w:highlight w:val="lightGray"/>
          <w:lang w:val="da-DK"/>
        </w:rPr>
        <w:t xml:space="preserve">120 </w:t>
      </w:r>
      <w:r w:rsidR="00A3038E" w:rsidRPr="00AA499E">
        <w:rPr>
          <w:rFonts w:ascii="Times New Roman" w:hAnsi="Times New Roman"/>
          <w:highlight w:val="lightGray"/>
          <w:lang w:val="da-DK"/>
        </w:rPr>
        <w:t xml:space="preserve">hårde </w:t>
      </w:r>
      <w:r w:rsidRPr="00AA499E">
        <w:rPr>
          <w:rFonts w:ascii="Times New Roman" w:hAnsi="Times New Roman"/>
          <w:highlight w:val="lightGray"/>
          <w:lang w:val="da-DK"/>
        </w:rPr>
        <w:t>kapsler</w:t>
      </w:r>
    </w:p>
    <w:p w14:paraId="45AD83DD" w14:textId="77777777" w:rsidR="00B94682" w:rsidRPr="00AA499E" w:rsidRDefault="00B94682" w:rsidP="00B94682">
      <w:pPr>
        <w:pStyle w:val="KeinLeerraum"/>
        <w:rPr>
          <w:rFonts w:ascii="Times New Roman" w:hAnsi="Times New Roman"/>
          <w:lang w:val="da-DK"/>
        </w:rPr>
      </w:pPr>
      <w:r w:rsidRPr="00AA499E">
        <w:rPr>
          <w:rFonts w:ascii="Times New Roman" w:hAnsi="Times New Roman"/>
          <w:highlight w:val="lightGray"/>
          <w:lang w:val="da-DK"/>
        </w:rPr>
        <w:t xml:space="preserve">180 </w:t>
      </w:r>
      <w:r w:rsidR="00A3038E" w:rsidRPr="00AA499E">
        <w:rPr>
          <w:rFonts w:ascii="Times New Roman" w:hAnsi="Times New Roman"/>
          <w:highlight w:val="lightGray"/>
          <w:lang w:val="da-DK"/>
        </w:rPr>
        <w:t xml:space="preserve">hårde </w:t>
      </w:r>
      <w:r w:rsidRPr="00AA499E">
        <w:rPr>
          <w:rFonts w:ascii="Times New Roman" w:hAnsi="Times New Roman"/>
          <w:highlight w:val="lightGray"/>
          <w:lang w:val="da-DK"/>
        </w:rPr>
        <w:t>kapsler</w:t>
      </w:r>
    </w:p>
    <w:p w14:paraId="2CA88AA1"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8DB180E"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16C63B10" w14:textId="77777777" w:rsidTr="00B94682">
        <w:tc>
          <w:tcPr>
            <w:tcW w:w="9546" w:type="dxa"/>
          </w:tcPr>
          <w:p w14:paraId="6836BB8F"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ANVENDELSESMÅDE OG ADMINISTRATIONSVEJ(E)</w:t>
            </w:r>
          </w:p>
        </w:tc>
      </w:tr>
    </w:tbl>
    <w:p w14:paraId="4DD48DA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6E4C473E"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Oral anvendelse.</w:t>
      </w:r>
    </w:p>
    <w:p w14:paraId="7F55F919"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Læs indlægssedlen inden brug.</w:t>
      </w:r>
    </w:p>
    <w:p w14:paraId="204243B9"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292CCBA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4A2B3CB0" w14:textId="77777777" w:rsidTr="00B94682">
        <w:tc>
          <w:tcPr>
            <w:tcW w:w="9546" w:type="dxa"/>
          </w:tcPr>
          <w:p w14:paraId="368C948A" w14:textId="77777777" w:rsidR="00B94682" w:rsidRPr="00AA499E" w:rsidRDefault="00B94682" w:rsidP="00B94682">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SÆRLIG ADVARSEL OM, AT LÆGEMIDLET SKAL OPBEVARES UTILGÆNGELIGT FOR BØRN</w:t>
            </w:r>
          </w:p>
        </w:tc>
      </w:tr>
    </w:tbl>
    <w:p w14:paraId="77C3FB82"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3494A6AF"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utilgængeligt for børn.</w:t>
      </w:r>
    </w:p>
    <w:p w14:paraId="45CB562D"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24B5C495"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6AE7F441" w14:textId="77777777" w:rsidTr="00B94682">
        <w:tc>
          <w:tcPr>
            <w:tcW w:w="9546" w:type="dxa"/>
          </w:tcPr>
          <w:p w14:paraId="6C433F80"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7.</w:t>
            </w:r>
            <w:r w:rsidRPr="00AA499E">
              <w:rPr>
                <w:rFonts w:ascii="Times New Roman" w:hAnsi="Times New Roman"/>
                <w:b/>
                <w:bCs/>
                <w:lang w:val="da-DK"/>
              </w:rPr>
              <w:tab/>
              <w:t>EVENTUELLE ANDRE SÆRLIGE ADVARSLER</w:t>
            </w:r>
          </w:p>
        </w:tc>
      </w:tr>
    </w:tbl>
    <w:p w14:paraId="5F924B09"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A5587FE"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Anvendes som foreskrevet af lægen.</w:t>
      </w:r>
    </w:p>
    <w:p w14:paraId="0E4EC815"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F5E98EE"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71F5634D" w14:textId="77777777" w:rsidTr="00B94682">
        <w:tc>
          <w:tcPr>
            <w:tcW w:w="9546" w:type="dxa"/>
          </w:tcPr>
          <w:p w14:paraId="6B1DD15A" w14:textId="77777777" w:rsidR="00B94682" w:rsidRPr="00AA499E" w:rsidRDefault="00B94682"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lastRenderedPageBreak/>
              <w:t>8.</w:t>
            </w:r>
            <w:r w:rsidRPr="00AA499E">
              <w:rPr>
                <w:rFonts w:ascii="Times New Roman" w:hAnsi="Times New Roman"/>
                <w:b/>
                <w:bCs/>
                <w:lang w:val="da-DK"/>
              </w:rPr>
              <w:tab/>
              <w:t>UDLØBSDATO</w:t>
            </w:r>
          </w:p>
        </w:tc>
      </w:tr>
    </w:tbl>
    <w:p w14:paraId="6DEF79AE" w14:textId="77777777" w:rsidR="00B94682" w:rsidRPr="00AA499E" w:rsidRDefault="00B94682" w:rsidP="00A50D16">
      <w:pPr>
        <w:keepNext/>
        <w:autoSpaceDE w:val="0"/>
        <w:autoSpaceDN w:val="0"/>
        <w:adjustRightInd w:val="0"/>
        <w:spacing w:after="0" w:line="240" w:lineRule="auto"/>
        <w:rPr>
          <w:rFonts w:ascii="Times New Roman" w:hAnsi="Times New Roman"/>
          <w:lang w:val="da-DK"/>
        </w:rPr>
      </w:pPr>
    </w:p>
    <w:p w14:paraId="171BFA08"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2753B516"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156DEF7"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02849C99" w14:textId="77777777" w:rsidTr="00B94682">
        <w:tc>
          <w:tcPr>
            <w:tcW w:w="9546" w:type="dxa"/>
          </w:tcPr>
          <w:p w14:paraId="0CB478A2"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9.</w:t>
            </w:r>
            <w:r w:rsidRPr="00AA499E">
              <w:rPr>
                <w:rFonts w:ascii="Times New Roman" w:hAnsi="Times New Roman"/>
                <w:b/>
                <w:bCs/>
                <w:lang w:val="da-DK"/>
              </w:rPr>
              <w:tab/>
              <w:t>SÆRLIGE OPBEVARINGSBETINGELSER</w:t>
            </w:r>
          </w:p>
        </w:tc>
      </w:tr>
    </w:tbl>
    <w:p w14:paraId="34784079"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44E1FDB"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Må ikke opbevares ved temperaturer over </w:t>
      </w:r>
      <w:r w:rsidR="00E12CFA" w:rsidRPr="00AA499E">
        <w:rPr>
          <w:rFonts w:ascii="Times New Roman" w:hAnsi="Times New Roman"/>
          <w:lang w:val="da-DK"/>
        </w:rPr>
        <w:t>25</w:t>
      </w:r>
      <w:r w:rsidRPr="00AA499E">
        <w:rPr>
          <w:rFonts w:ascii="Times New Roman" w:hAnsi="Times New Roman"/>
          <w:lang w:val="da-DK"/>
        </w:rPr>
        <w:t>°C.</w:t>
      </w:r>
    </w:p>
    <w:p w14:paraId="4428BA06"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i den originale yderpakning for at beskytte mod fugt.</w:t>
      </w:r>
    </w:p>
    <w:p w14:paraId="69754B2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3CFE763"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343DEB0B" w14:textId="77777777" w:rsidTr="00B94682">
        <w:tc>
          <w:tcPr>
            <w:tcW w:w="9546" w:type="dxa"/>
          </w:tcPr>
          <w:p w14:paraId="69EC95DB" w14:textId="77777777" w:rsidR="00B94682" w:rsidRPr="00AA499E" w:rsidRDefault="00B94682" w:rsidP="00B94682">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10.</w:t>
            </w:r>
            <w:r w:rsidRPr="00AA499E">
              <w:rPr>
                <w:rFonts w:ascii="Times New Roman" w:hAnsi="Times New Roman"/>
                <w:b/>
                <w:bCs/>
                <w:lang w:val="da-DK"/>
              </w:rPr>
              <w:tab/>
              <w:t>EVENTUELLE SÆRLIGE FORHOLDSREGLER VED BORTSKAFFELSE AF IKKE ANVENDT LÆGEMIDDEL SAMT AFFALD HERAF</w:t>
            </w:r>
          </w:p>
        </w:tc>
      </w:tr>
    </w:tbl>
    <w:p w14:paraId="466EE1D5"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26DA843E"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0ABD4DE5" w14:textId="77777777" w:rsidTr="00B94682">
        <w:tc>
          <w:tcPr>
            <w:tcW w:w="9546" w:type="dxa"/>
          </w:tcPr>
          <w:p w14:paraId="28100C87"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11.</w:t>
            </w:r>
            <w:r w:rsidRPr="00AA499E">
              <w:rPr>
                <w:rFonts w:ascii="Times New Roman" w:hAnsi="Times New Roman"/>
                <w:b/>
                <w:bCs/>
                <w:lang w:val="da-DK"/>
              </w:rPr>
              <w:tab/>
              <w:t>NAVN OG ADRESSE PÅ INDEHAVEREN AF MARKEDSFØRINGSTILLADELSEN</w:t>
            </w:r>
          </w:p>
        </w:tc>
      </w:tr>
    </w:tbl>
    <w:p w14:paraId="1B61FC2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913DD62"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2A20B153" w14:textId="77777777" w:rsidR="00B94682" w:rsidRPr="00AA499E" w:rsidRDefault="00CE7A7F"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220 </w:t>
      </w:r>
      <w:r w:rsidR="00B94682" w:rsidRPr="00AA499E">
        <w:rPr>
          <w:rFonts w:ascii="Times New Roman" w:hAnsi="Times New Roman"/>
          <w:lang w:val="da-DK"/>
        </w:rPr>
        <w:t>Hafnarfjörður</w:t>
      </w:r>
    </w:p>
    <w:p w14:paraId="433F83E3"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76B360E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A9A262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318DFEB7" w14:textId="77777777" w:rsidTr="00B94682">
        <w:tc>
          <w:tcPr>
            <w:tcW w:w="9546" w:type="dxa"/>
          </w:tcPr>
          <w:p w14:paraId="66B7BB01"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12.</w:t>
            </w:r>
            <w:r w:rsidRPr="00AA499E">
              <w:rPr>
                <w:rFonts w:ascii="Times New Roman" w:hAnsi="Times New Roman"/>
                <w:b/>
                <w:bCs/>
                <w:lang w:val="da-DK"/>
              </w:rPr>
              <w:tab/>
              <w:t>MARKEDSFØRINGSTILLADELSESNUMMER (NUMRE)</w:t>
            </w:r>
          </w:p>
        </w:tc>
      </w:tr>
    </w:tbl>
    <w:p w14:paraId="2F7174CB"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2E9A6012" w14:textId="77777777" w:rsidR="00F635EC" w:rsidRPr="00AA499E" w:rsidRDefault="00F635EC"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lang w:val="da-DK"/>
        </w:rPr>
        <w:t xml:space="preserve">EU/1/13/825/003 </w:t>
      </w:r>
      <w:r w:rsidRPr="00AA499E">
        <w:rPr>
          <w:rFonts w:ascii="Times New Roman" w:hAnsi="Times New Roman"/>
          <w:highlight w:val="lightGray"/>
          <w:lang w:val="da-DK"/>
        </w:rPr>
        <w:t>24 </w:t>
      </w:r>
      <w:r w:rsidR="00F665D3" w:rsidRPr="00AA499E">
        <w:rPr>
          <w:rFonts w:ascii="Times New Roman" w:hAnsi="Times New Roman"/>
          <w:highlight w:val="lightGray"/>
          <w:lang w:val="da-DK"/>
        </w:rPr>
        <w:t>kapsler</w:t>
      </w:r>
    </w:p>
    <w:p w14:paraId="73646196" w14:textId="77777777" w:rsidR="00F665D3" w:rsidRPr="00AA499E" w:rsidRDefault="00F635EC"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EU/1/13/825/004 48 </w:t>
      </w:r>
      <w:r w:rsidR="00F665D3" w:rsidRPr="00AA499E">
        <w:rPr>
          <w:rFonts w:ascii="Times New Roman" w:hAnsi="Times New Roman"/>
          <w:highlight w:val="lightGray"/>
          <w:lang w:val="da-DK"/>
        </w:rPr>
        <w:t xml:space="preserve">kapsler </w:t>
      </w:r>
    </w:p>
    <w:p w14:paraId="6D00A988" w14:textId="77777777" w:rsidR="00CA17D6" w:rsidRPr="00AA499E" w:rsidRDefault="00CA17D6"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 xml:space="preserve">EU/1/13/825/019 60 kapsler </w:t>
      </w:r>
    </w:p>
    <w:p w14:paraId="4D74B1EE" w14:textId="77777777" w:rsidR="00F635EC" w:rsidRPr="00AA499E" w:rsidRDefault="00F635EC"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EU/1/13/825/005 96 </w:t>
      </w:r>
      <w:r w:rsidR="00F665D3" w:rsidRPr="00AA499E">
        <w:rPr>
          <w:rFonts w:ascii="Times New Roman" w:hAnsi="Times New Roman"/>
          <w:highlight w:val="lightGray"/>
          <w:lang w:val="da-DK"/>
        </w:rPr>
        <w:t>kapsler</w:t>
      </w:r>
    </w:p>
    <w:p w14:paraId="10DAC41E" w14:textId="77777777" w:rsidR="00F635EC" w:rsidRPr="00AA499E" w:rsidRDefault="00F635EC"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EU/1/13/825/006 120 </w:t>
      </w:r>
      <w:r w:rsidR="00F665D3" w:rsidRPr="00AA499E">
        <w:rPr>
          <w:rFonts w:ascii="Times New Roman" w:hAnsi="Times New Roman"/>
          <w:highlight w:val="lightGray"/>
          <w:lang w:val="da-DK"/>
        </w:rPr>
        <w:t>kapsler</w:t>
      </w:r>
    </w:p>
    <w:p w14:paraId="33A25F68" w14:textId="77777777" w:rsidR="00B94682" w:rsidRPr="00AA499E" w:rsidRDefault="00F635EC" w:rsidP="00F635EC">
      <w:pPr>
        <w:autoSpaceDE w:val="0"/>
        <w:autoSpaceDN w:val="0"/>
        <w:adjustRightInd w:val="0"/>
        <w:spacing w:after="0" w:line="240" w:lineRule="auto"/>
        <w:rPr>
          <w:rFonts w:ascii="Times New Roman" w:hAnsi="Times New Roman"/>
          <w:lang w:val="da-DK"/>
        </w:rPr>
      </w:pPr>
      <w:r w:rsidRPr="00AA499E">
        <w:rPr>
          <w:rFonts w:ascii="Times New Roman" w:hAnsi="Times New Roman"/>
          <w:highlight w:val="lightGray"/>
          <w:lang w:val="da-DK"/>
        </w:rPr>
        <w:t>EU/1/13/825/007 180 </w:t>
      </w:r>
      <w:r w:rsidR="00F665D3" w:rsidRPr="00AA499E">
        <w:rPr>
          <w:rFonts w:ascii="Times New Roman" w:hAnsi="Times New Roman"/>
          <w:highlight w:val="lightGray"/>
          <w:lang w:val="da-DK"/>
        </w:rPr>
        <w:t xml:space="preserve">kapsler </w:t>
      </w:r>
    </w:p>
    <w:p w14:paraId="7732EE92"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7F7566A"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32AC45D5" w14:textId="77777777" w:rsidTr="00B94682">
        <w:tc>
          <w:tcPr>
            <w:tcW w:w="9546" w:type="dxa"/>
          </w:tcPr>
          <w:p w14:paraId="66BB189E" w14:textId="065A0562"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13.</w:t>
            </w:r>
            <w:r w:rsidRPr="00AA499E">
              <w:rPr>
                <w:rFonts w:ascii="Times New Roman" w:hAnsi="Times New Roman"/>
                <w:b/>
                <w:bCs/>
                <w:lang w:val="da-DK"/>
              </w:rPr>
              <w:tab/>
              <w:t>BATCHNUMMER</w:t>
            </w:r>
          </w:p>
        </w:tc>
      </w:tr>
    </w:tbl>
    <w:p w14:paraId="15FFCD74"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179A326"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0274B1A4"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1CF82F8"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57D9E9CC" w14:textId="77777777" w:rsidTr="00B94682">
        <w:tc>
          <w:tcPr>
            <w:tcW w:w="9546" w:type="dxa"/>
          </w:tcPr>
          <w:p w14:paraId="20E04C40"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14.</w:t>
            </w:r>
            <w:r w:rsidRPr="00AA499E">
              <w:rPr>
                <w:rFonts w:ascii="Times New Roman" w:hAnsi="Times New Roman"/>
                <w:b/>
                <w:bCs/>
                <w:lang w:val="da-DK"/>
              </w:rPr>
              <w:tab/>
              <w:t>GENEREL KLASSIFIKATION FOR UDLEVERING</w:t>
            </w:r>
          </w:p>
        </w:tc>
      </w:tr>
    </w:tbl>
    <w:p w14:paraId="5DEB19F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F4EFC6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391100AE" w14:textId="77777777" w:rsidTr="00B94682">
        <w:tc>
          <w:tcPr>
            <w:tcW w:w="9546" w:type="dxa"/>
          </w:tcPr>
          <w:p w14:paraId="3436E58C"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15.</w:t>
            </w:r>
            <w:r w:rsidRPr="00AA499E">
              <w:rPr>
                <w:rFonts w:ascii="Times New Roman" w:hAnsi="Times New Roman"/>
                <w:b/>
                <w:bCs/>
                <w:lang w:val="da-DK"/>
              </w:rPr>
              <w:tab/>
              <w:t>INSTRUKTIONER VEDRØRENDE ANVENDELSEN</w:t>
            </w:r>
          </w:p>
        </w:tc>
      </w:tr>
    </w:tbl>
    <w:p w14:paraId="5C53DE5D"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88676B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2C4C9D1D" w14:textId="77777777" w:rsidTr="00B94682">
        <w:tc>
          <w:tcPr>
            <w:tcW w:w="9546" w:type="dxa"/>
          </w:tcPr>
          <w:p w14:paraId="79863282" w14:textId="77777777" w:rsidR="00B94682" w:rsidRPr="00AA499E" w:rsidRDefault="00B94682" w:rsidP="00B94682">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16.</w:t>
            </w:r>
            <w:r w:rsidRPr="00AA499E">
              <w:rPr>
                <w:rFonts w:ascii="Times New Roman" w:hAnsi="Times New Roman"/>
                <w:b/>
                <w:bCs/>
                <w:lang w:val="da-DK"/>
              </w:rPr>
              <w:tab/>
              <w:t>INFORMATION I BRAILLE-SKRIFT</w:t>
            </w:r>
          </w:p>
        </w:tc>
      </w:tr>
    </w:tbl>
    <w:p w14:paraId="12342CFE" w14:textId="77777777" w:rsidR="00B94682" w:rsidRPr="00AA499E" w:rsidRDefault="00B94682" w:rsidP="00A50D16">
      <w:pPr>
        <w:keepNext/>
        <w:autoSpaceDE w:val="0"/>
        <w:autoSpaceDN w:val="0"/>
        <w:adjustRightInd w:val="0"/>
        <w:spacing w:after="0" w:line="240" w:lineRule="auto"/>
        <w:rPr>
          <w:rFonts w:ascii="Times New Roman" w:hAnsi="Times New Roman"/>
          <w:lang w:val="da-DK"/>
        </w:rPr>
      </w:pPr>
    </w:p>
    <w:p w14:paraId="76AEBC60"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w:t>
      </w:r>
    </w:p>
    <w:p w14:paraId="287DA03E" w14:textId="77777777" w:rsidR="006478AD" w:rsidRPr="00AA499E" w:rsidRDefault="006478AD">
      <w:pPr>
        <w:autoSpaceDE w:val="0"/>
        <w:autoSpaceDN w:val="0"/>
        <w:adjustRightInd w:val="0"/>
        <w:spacing w:after="0" w:line="240" w:lineRule="auto"/>
        <w:rPr>
          <w:rFonts w:ascii="Times New Roman" w:hAnsi="Times New Roman"/>
          <w:lang w:val="da-DK"/>
        </w:rPr>
      </w:pPr>
    </w:p>
    <w:p w14:paraId="76793D9E" w14:textId="77777777" w:rsidR="001B065F" w:rsidRPr="00AA499E" w:rsidRDefault="001B065F" w:rsidP="001B065F">
      <w:pPr>
        <w:spacing w:after="0" w:line="240" w:lineRule="auto"/>
        <w:ind w:left="567" w:hanging="567"/>
        <w:rPr>
          <w:rFonts w:ascii="Times New Roman" w:eastAsia="Times New Roman" w:hAnsi="Times New Roman"/>
          <w:szCs w:val="20"/>
          <w:lang w:val="da-DK"/>
        </w:rPr>
      </w:pPr>
    </w:p>
    <w:p w14:paraId="243DC119" w14:textId="77777777" w:rsidR="001B065F" w:rsidRPr="00AA499E" w:rsidRDefault="001B065F" w:rsidP="001B065F">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lastRenderedPageBreak/>
        <w:t>17</w:t>
      </w:r>
      <w:r w:rsidRPr="00AA499E">
        <w:rPr>
          <w:rFonts w:ascii="Times New Roman" w:eastAsia="Times New Roman" w:hAnsi="Times New Roman"/>
          <w:b/>
          <w:noProof/>
          <w:lang w:val="da-DK"/>
        </w:rPr>
        <w:tab/>
        <w:t>ENTYDIG IDENTIFIKATOR – 2D-STREGKODE</w:t>
      </w:r>
    </w:p>
    <w:p w14:paraId="7025A8BB" w14:textId="77777777" w:rsidR="001B065F" w:rsidRPr="00AA499E" w:rsidRDefault="001B065F" w:rsidP="00A50D16">
      <w:pPr>
        <w:keepNext/>
        <w:tabs>
          <w:tab w:val="left" w:pos="720"/>
        </w:tabs>
        <w:spacing w:after="0" w:line="240" w:lineRule="auto"/>
        <w:rPr>
          <w:rFonts w:ascii="Times New Roman" w:eastAsia="Times New Roman" w:hAnsi="Times New Roman"/>
          <w:noProof/>
          <w:lang w:val="da-DK"/>
        </w:rPr>
      </w:pPr>
    </w:p>
    <w:p w14:paraId="6FC7072A"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r w:rsidRPr="00AA499E">
        <w:rPr>
          <w:rFonts w:ascii="Times New Roman" w:eastAsia="Times New Roman" w:hAnsi="Times New Roman"/>
          <w:noProof/>
          <w:highlight w:val="lightGray"/>
          <w:lang w:val="da-DK"/>
        </w:rPr>
        <w:t>&lt;Der er anført en 2D-stregkode, som indeholder en entydig identifikator.&gt;</w:t>
      </w:r>
    </w:p>
    <w:p w14:paraId="416AD290"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p>
    <w:p w14:paraId="3A1CC557" w14:textId="77777777" w:rsidR="001B065F" w:rsidRPr="00AA499E" w:rsidRDefault="001B065F" w:rsidP="001B065F">
      <w:pPr>
        <w:tabs>
          <w:tab w:val="left" w:pos="720"/>
        </w:tabs>
        <w:spacing w:after="0" w:line="240" w:lineRule="auto"/>
        <w:rPr>
          <w:rFonts w:ascii="Times New Roman" w:eastAsia="Times New Roman" w:hAnsi="Times New Roman"/>
          <w:noProof/>
          <w:lang w:val="da-DK"/>
        </w:rPr>
      </w:pPr>
    </w:p>
    <w:p w14:paraId="7CCB6B13" w14:textId="77777777" w:rsidR="001B065F" w:rsidRPr="00AA499E" w:rsidRDefault="001B065F" w:rsidP="001B065F">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t>18.</w:t>
      </w:r>
      <w:r w:rsidRPr="00AA499E">
        <w:rPr>
          <w:rFonts w:ascii="Times New Roman" w:eastAsia="Times New Roman" w:hAnsi="Times New Roman"/>
          <w:b/>
          <w:noProof/>
          <w:lang w:val="da-DK"/>
        </w:rPr>
        <w:tab/>
        <w:t>ENTYDIG IDENTIFIKATOR - MENNESKELIGT LÆSBARE DATA</w:t>
      </w:r>
    </w:p>
    <w:p w14:paraId="22D7BB41" w14:textId="77777777" w:rsidR="001B065F" w:rsidRPr="00AA499E" w:rsidRDefault="001B065F">
      <w:pPr>
        <w:autoSpaceDE w:val="0"/>
        <w:autoSpaceDN w:val="0"/>
        <w:adjustRightInd w:val="0"/>
        <w:spacing w:after="0" w:line="240" w:lineRule="auto"/>
        <w:rPr>
          <w:rFonts w:ascii="Times New Roman" w:hAnsi="Times New Roman"/>
          <w:lang w:val="da-DK"/>
        </w:rPr>
      </w:pPr>
    </w:p>
    <w:p w14:paraId="49377020" w14:textId="468D46A9" w:rsidR="007C29DA"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PC {nummer} </w:t>
      </w:r>
    </w:p>
    <w:p w14:paraId="6ED54859" w14:textId="34DC94DE" w:rsidR="007C29DA"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SN {nummer} </w:t>
      </w:r>
    </w:p>
    <w:p w14:paraId="07457E8A" w14:textId="0D47C977" w:rsidR="009D4FEF"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NN {nummer}</w:t>
      </w:r>
      <w:r w:rsidR="00616F3C"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72606D13" w14:textId="77777777" w:rsidTr="009D4FEF">
        <w:tc>
          <w:tcPr>
            <w:tcW w:w="9546" w:type="dxa"/>
          </w:tcPr>
          <w:p w14:paraId="10141F85"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MÆRKNING, DER SKAL ANFØRES PÅ DEN YDRE EMBALLAGE</w:t>
            </w:r>
          </w:p>
          <w:p w14:paraId="6F09EB4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A95262A"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KARTON</w:t>
            </w:r>
          </w:p>
          <w:p w14:paraId="76E60BD2"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c>
      </w:tr>
    </w:tbl>
    <w:p w14:paraId="7845606B"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890E614"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24DDE80A" w14:textId="77777777" w:rsidTr="009D4FEF">
        <w:tc>
          <w:tcPr>
            <w:tcW w:w="9546" w:type="dxa"/>
          </w:tcPr>
          <w:p w14:paraId="09D754D3"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701B82C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A73E5A6"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 hårde kapsler</w:t>
      </w:r>
    </w:p>
    <w:p w14:paraId="7B3E12B4" w14:textId="77777777" w:rsidR="009D4FEF" w:rsidRPr="00AA499E" w:rsidRDefault="00A16B85"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9D4FEF" w:rsidRPr="00AA499E">
        <w:rPr>
          <w:rFonts w:ascii="Times New Roman" w:hAnsi="Times New Roman"/>
          <w:lang w:val="da-DK"/>
        </w:rPr>
        <w:t>matinib</w:t>
      </w:r>
    </w:p>
    <w:p w14:paraId="176077D5"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AE1E458"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1EE631AB" w14:textId="77777777" w:rsidTr="009D4FEF">
        <w:tc>
          <w:tcPr>
            <w:tcW w:w="9546" w:type="dxa"/>
          </w:tcPr>
          <w:p w14:paraId="7701E61F"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ANGIVELSE AF AKTIVT STOF/AKTIVE STOFFER</w:t>
            </w:r>
          </w:p>
        </w:tc>
      </w:tr>
    </w:tbl>
    <w:p w14:paraId="000C3116"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EC3C2C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Hver hård kapsel indeholder 400 mg imatinib (som mesilat).</w:t>
      </w:r>
    </w:p>
    <w:p w14:paraId="671519F3"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F9160E9"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5DBBB00E" w14:textId="77777777" w:rsidTr="009D4FEF">
        <w:tc>
          <w:tcPr>
            <w:tcW w:w="9546" w:type="dxa"/>
          </w:tcPr>
          <w:p w14:paraId="773F981E"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LISTE OVER HJÆLPESTOFFER</w:t>
            </w:r>
          </w:p>
        </w:tc>
      </w:tr>
    </w:tbl>
    <w:p w14:paraId="045DFE5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4F3807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21BD7C72" w14:textId="77777777" w:rsidTr="009D4FEF">
        <w:tc>
          <w:tcPr>
            <w:tcW w:w="9546" w:type="dxa"/>
          </w:tcPr>
          <w:p w14:paraId="2C9315F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LÆGEMIDDELFORM OG ANTAL (PAKNINGSSTØRRELSE)</w:t>
            </w:r>
          </w:p>
        </w:tc>
      </w:tr>
    </w:tbl>
    <w:p w14:paraId="7D5BD63C"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4736BE2C" w14:textId="77777777" w:rsidR="009D4FEF" w:rsidRPr="00AA499E" w:rsidRDefault="009D4FEF" w:rsidP="009D4FEF">
      <w:pPr>
        <w:pStyle w:val="KeinLeerraum"/>
        <w:rPr>
          <w:rFonts w:ascii="Times New Roman" w:hAnsi="Times New Roman"/>
          <w:highlight w:val="lightGray"/>
          <w:lang w:val="da-DK"/>
        </w:rPr>
      </w:pPr>
      <w:r w:rsidRPr="00AA499E">
        <w:rPr>
          <w:rFonts w:ascii="Times New Roman" w:hAnsi="Times New Roman"/>
          <w:lang w:val="da-DK"/>
        </w:rPr>
        <w:t>10 hårde kapsler</w:t>
      </w:r>
    </w:p>
    <w:p w14:paraId="1A2A79ED" w14:textId="77777777" w:rsidR="009D4FEF" w:rsidRPr="00AA499E" w:rsidRDefault="009D4FEF" w:rsidP="009D4FEF">
      <w:pPr>
        <w:pStyle w:val="KeinLeerraum"/>
        <w:rPr>
          <w:rFonts w:ascii="Times New Roman" w:hAnsi="Times New Roman"/>
          <w:lang w:val="da-DK"/>
        </w:rPr>
      </w:pPr>
      <w:r w:rsidRPr="00AA499E">
        <w:rPr>
          <w:rFonts w:ascii="Times New Roman" w:hAnsi="Times New Roman"/>
          <w:highlight w:val="lightGray"/>
          <w:lang w:val="da-DK"/>
        </w:rPr>
        <w:t>30 hårde kapsler</w:t>
      </w:r>
    </w:p>
    <w:p w14:paraId="6A9427B3" w14:textId="77777777" w:rsidR="009D4FEF" w:rsidRPr="00AA499E" w:rsidRDefault="009D4FEF" w:rsidP="009D4FEF">
      <w:pPr>
        <w:pStyle w:val="KeinLeerraum"/>
        <w:rPr>
          <w:rFonts w:ascii="Times New Roman" w:hAnsi="Times New Roman"/>
          <w:lang w:val="da-DK"/>
        </w:rPr>
      </w:pPr>
      <w:r w:rsidRPr="00AA499E">
        <w:rPr>
          <w:rFonts w:ascii="Times New Roman" w:hAnsi="Times New Roman"/>
          <w:highlight w:val="lightGray"/>
          <w:lang w:val="da-DK"/>
        </w:rPr>
        <w:t>60 hårde kapsler</w:t>
      </w:r>
    </w:p>
    <w:p w14:paraId="50C3FD7B" w14:textId="77777777" w:rsidR="009D4FEF" w:rsidRPr="00AA499E" w:rsidRDefault="009D4FEF" w:rsidP="009D4FEF">
      <w:pPr>
        <w:pStyle w:val="KeinLeerraum"/>
        <w:rPr>
          <w:rFonts w:ascii="Times New Roman" w:hAnsi="Times New Roman"/>
          <w:lang w:val="da-DK"/>
        </w:rPr>
      </w:pPr>
      <w:r w:rsidRPr="00AA499E">
        <w:rPr>
          <w:rFonts w:ascii="Times New Roman" w:hAnsi="Times New Roman"/>
          <w:highlight w:val="lightGray"/>
          <w:lang w:val="da-DK"/>
        </w:rPr>
        <w:t>90 hårde kapsler</w:t>
      </w:r>
    </w:p>
    <w:p w14:paraId="09E03067"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8AD954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16383054" w14:textId="77777777" w:rsidTr="009D4FEF">
        <w:tc>
          <w:tcPr>
            <w:tcW w:w="9546" w:type="dxa"/>
          </w:tcPr>
          <w:p w14:paraId="364528BA"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ANVENDELSESMÅDE OG ADMINISTRATIONSVEJ(E)</w:t>
            </w:r>
          </w:p>
        </w:tc>
      </w:tr>
    </w:tbl>
    <w:p w14:paraId="04A2C84E"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3EB1E3E"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Oral anvendelse.</w:t>
      </w:r>
    </w:p>
    <w:p w14:paraId="1DF41C6C"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Læs indlægssedlen inden brug.</w:t>
      </w:r>
    </w:p>
    <w:p w14:paraId="38F3244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2C4088B"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3446EF8D" w14:textId="77777777" w:rsidTr="009D4FEF">
        <w:tc>
          <w:tcPr>
            <w:tcW w:w="9546" w:type="dxa"/>
          </w:tcPr>
          <w:p w14:paraId="15889849" w14:textId="77777777" w:rsidR="009D4FEF" w:rsidRPr="00AA499E" w:rsidRDefault="009D4FEF" w:rsidP="009D4FEF">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SÆRLIG ADVARSEL OM, AT LÆGEMIDLET SKAL OPBEVARES UTILGÆNGELIGT FOR BØRN</w:t>
            </w:r>
          </w:p>
        </w:tc>
      </w:tr>
    </w:tbl>
    <w:p w14:paraId="2060D58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DED808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utilgængeligt for børn.</w:t>
      </w:r>
    </w:p>
    <w:p w14:paraId="5B69848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A0D163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55209C89" w14:textId="77777777" w:rsidTr="009D4FEF">
        <w:tc>
          <w:tcPr>
            <w:tcW w:w="9546" w:type="dxa"/>
          </w:tcPr>
          <w:p w14:paraId="63191AA8"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7.</w:t>
            </w:r>
            <w:r w:rsidRPr="00AA499E">
              <w:rPr>
                <w:rFonts w:ascii="Times New Roman" w:hAnsi="Times New Roman"/>
                <w:b/>
                <w:bCs/>
                <w:lang w:val="da-DK"/>
              </w:rPr>
              <w:tab/>
              <w:t>EVENTUELLE ANDRE SÆRLIGE ADVARSLER</w:t>
            </w:r>
          </w:p>
        </w:tc>
      </w:tr>
    </w:tbl>
    <w:p w14:paraId="5F22171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9DDFAEC"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Anvendes som foreskrevet af lægen.</w:t>
      </w:r>
    </w:p>
    <w:p w14:paraId="13EFF07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6E92965"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38A44FB2" w14:textId="77777777" w:rsidTr="009D4FEF">
        <w:tc>
          <w:tcPr>
            <w:tcW w:w="9546" w:type="dxa"/>
          </w:tcPr>
          <w:p w14:paraId="69E606EB" w14:textId="77777777" w:rsidR="009D4FEF" w:rsidRPr="00AA499E" w:rsidRDefault="009D4FEF"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8.</w:t>
            </w:r>
            <w:r w:rsidRPr="00AA499E">
              <w:rPr>
                <w:rFonts w:ascii="Times New Roman" w:hAnsi="Times New Roman"/>
                <w:b/>
                <w:bCs/>
                <w:lang w:val="da-DK"/>
              </w:rPr>
              <w:tab/>
              <w:t>UDLØBSDATO</w:t>
            </w:r>
          </w:p>
        </w:tc>
      </w:tr>
    </w:tbl>
    <w:p w14:paraId="12922FD7" w14:textId="77777777" w:rsidR="009D4FEF" w:rsidRPr="00AA499E" w:rsidRDefault="009D4FEF" w:rsidP="00A50D16">
      <w:pPr>
        <w:keepNext/>
        <w:autoSpaceDE w:val="0"/>
        <w:autoSpaceDN w:val="0"/>
        <w:adjustRightInd w:val="0"/>
        <w:spacing w:after="0" w:line="240" w:lineRule="auto"/>
        <w:rPr>
          <w:rFonts w:ascii="Times New Roman" w:hAnsi="Times New Roman"/>
          <w:lang w:val="da-DK"/>
        </w:rPr>
      </w:pPr>
    </w:p>
    <w:p w14:paraId="0D420C39"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39DB9444"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7D3B8F7"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4C1C3680" w14:textId="77777777" w:rsidTr="009D4FEF">
        <w:tc>
          <w:tcPr>
            <w:tcW w:w="9546" w:type="dxa"/>
          </w:tcPr>
          <w:p w14:paraId="506BA16A" w14:textId="77777777" w:rsidR="009D4FEF" w:rsidRPr="00AA499E" w:rsidRDefault="009D4FEF" w:rsidP="008370B1">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9.</w:t>
            </w:r>
            <w:r w:rsidRPr="00AA499E">
              <w:rPr>
                <w:rFonts w:ascii="Times New Roman" w:hAnsi="Times New Roman"/>
                <w:b/>
                <w:bCs/>
                <w:lang w:val="da-DK"/>
              </w:rPr>
              <w:tab/>
              <w:t>SÆRLIGE OPBEVARINGSBETINGELSER</w:t>
            </w:r>
          </w:p>
        </w:tc>
      </w:tr>
    </w:tbl>
    <w:p w14:paraId="7163A1EA" w14:textId="77777777" w:rsidR="009D4FEF" w:rsidRPr="00AA499E" w:rsidRDefault="009D4FEF" w:rsidP="008370B1">
      <w:pPr>
        <w:keepNext/>
        <w:autoSpaceDE w:val="0"/>
        <w:autoSpaceDN w:val="0"/>
        <w:adjustRightInd w:val="0"/>
        <w:spacing w:after="0" w:line="240" w:lineRule="auto"/>
        <w:rPr>
          <w:rFonts w:ascii="Times New Roman" w:hAnsi="Times New Roman"/>
          <w:lang w:val="da-DK"/>
        </w:rPr>
      </w:pPr>
    </w:p>
    <w:p w14:paraId="164790E9"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Må ikke opbevares ved temperaturer over 25°C.</w:t>
      </w:r>
    </w:p>
    <w:p w14:paraId="528EFAB5"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i den originale yderpakning for at beskytte mod fugt.</w:t>
      </w:r>
    </w:p>
    <w:p w14:paraId="5234D735"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030E3D8"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1DC08500" w14:textId="77777777" w:rsidTr="009D4FEF">
        <w:tc>
          <w:tcPr>
            <w:tcW w:w="9546" w:type="dxa"/>
          </w:tcPr>
          <w:p w14:paraId="7EA1BC44" w14:textId="77777777" w:rsidR="009D4FEF" w:rsidRPr="00AA499E" w:rsidRDefault="009D4FEF" w:rsidP="009D4FEF">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10.</w:t>
            </w:r>
            <w:r w:rsidRPr="00AA499E">
              <w:rPr>
                <w:rFonts w:ascii="Times New Roman" w:hAnsi="Times New Roman"/>
                <w:b/>
                <w:bCs/>
                <w:lang w:val="da-DK"/>
              </w:rPr>
              <w:tab/>
              <w:t>EVENTUELLE SÆRLIGE FORHOLDSREGLER VED BORTSKAFFELSE AF IKKE ANVENDT LÆGEMIDDEL SAMT AFFALD HERAF</w:t>
            </w:r>
          </w:p>
        </w:tc>
      </w:tr>
    </w:tbl>
    <w:p w14:paraId="7DBB140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CFD7319"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7CE88BE5" w14:textId="77777777" w:rsidTr="009D4FEF">
        <w:tc>
          <w:tcPr>
            <w:tcW w:w="9546" w:type="dxa"/>
          </w:tcPr>
          <w:p w14:paraId="72352C1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11.</w:t>
            </w:r>
            <w:r w:rsidRPr="00AA499E">
              <w:rPr>
                <w:rFonts w:ascii="Times New Roman" w:hAnsi="Times New Roman"/>
                <w:b/>
                <w:bCs/>
                <w:lang w:val="da-DK"/>
              </w:rPr>
              <w:tab/>
              <w:t>NAVN OG ADRESSE PÅ INDEHAVEREN AF MARKEDSFØRINGSTILLADELSEN</w:t>
            </w:r>
          </w:p>
        </w:tc>
      </w:tr>
    </w:tbl>
    <w:p w14:paraId="004BDCFC"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9696EB5"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5CC91AA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220 Hafnarfjörður</w:t>
      </w:r>
    </w:p>
    <w:p w14:paraId="2A114FEB"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7533A184"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8C8392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5AFA12A5" w14:textId="77777777" w:rsidTr="009D4FEF">
        <w:tc>
          <w:tcPr>
            <w:tcW w:w="9546" w:type="dxa"/>
          </w:tcPr>
          <w:p w14:paraId="1445F5F9"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12.</w:t>
            </w:r>
            <w:r w:rsidRPr="00AA499E">
              <w:rPr>
                <w:rFonts w:ascii="Times New Roman" w:hAnsi="Times New Roman"/>
                <w:b/>
                <w:bCs/>
                <w:lang w:val="da-DK"/>
              </w:rPr>
              <w:tab/>
              <w:t>MARKEDSFØRINGSTILLADELSESNUMMER (NUMRE)</w:t>
            </w:r>
          </w:p>
        </w:tc>
      </w:tr>
    </w:tbl>
    <w:p w14:paraId="46AA1ED4"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76D9185" w14:textId="77777777" w:rsidR="00913ACF" w:rsidRPr="00AA499E" w:rsidRDefault="00913ACF" w:rsidP="00913AC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EU/1/13/825/020</w:t>
      </w:r>
    </w:p>
    <w:p w14:paraId="11746161" w14:textId="77777777" w:rsidR="00913ACF" w:rsidRPr="00AA499E" w:rsidRDefault="00913ACF" w:rsidP="00913AC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EU/1/13/825/021</w:t>
      </w:r>
    </w:p>
    <w:p w14:paraId="38C87359" w14:textId="77777777" w:rsidR="00913ACF" w:rsidRPr="00AA499E" w:rsidRDefault="00913ACF" w:rsidP="00913AC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EU/1/13/825/022</w:t>
      </w:r>
    </w:p>
    <w:p w14:paraId="7CFDDE24" w14:textId="77777777" w:rsidR="00913ACF" w:rsidRPr="00AA499E" w:rsidRDefault="00913ACF" w:rsidP="00913AC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EU/1/13/825/023</w:t>
      </w:r>
    </w:p>
    <w:p w14:paraId="32400FD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EACF2F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4FC4D060" w14:textId="77777777" w:rsidTr="009D4FEF">
        <w:tc>
          <w:tcPr>
            <w:tcW w:w="9546" w:type="dxa"/>
          </w:tcPr>
          <w:p w14:paraId="2BF0CBBD" w14:textId="16089248" w:rsidR="009D4FEF" w:rsidRPr="00AA499E" w:rsidRDefault="009D4FEF"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13.</w:t>
            </w:r>
            <w:r w:rsidRPr="00AA499E">
              <w:rPr>
                <w:rFonts w:ascii="Times New Roman" w:hAnsi="Times New Roman"/>
                <w:b/>
                <w:bCs/>
                <w:lang w:val="da-DK"/>
              </w:rPr>
              <w:tab/>
              <w:t>BATCHNUMMER</w:t>
            </w:r>
          </w:p>
        </w:tc>
      </w:tr>
    </w:tbl>
    <w:p w14:paraId="4C7ACDFD" w14:textId="77777777" w:rsidR="009D4FEF" w:rsidRPr="00AA499E" w:rsidRDefault="009D4FEF" w:rsidP="00A50D16">
      <w:pPr>
        <w:keepNext/>
        <w:autoSpaceDE w:val="0"/>
        <w:autoSpaceDN w:val="0"/>
        <w:adjustRightInd w:val="0"/>
        <w:spacing w:after="0" w:line="240" w:lineRule="auto"/>
        <w:rPr>
          <w:rFonts w:ascii="Times New Roman" w:hAnsi="Times New Roman"/>
          <w:lang w:val="da-DK"/>
        </w:rPr>
      </w:pPr>
    </w:p>
    <w:p w14:paraId="1E3D37F5"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2D986BB3"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4B68869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438E4FD5" w14:textId="77777777" w:rsidTr="009D4FEF">
        <w:tc>
          <w:tcPr>
            <w:tcW w:w="9546" w:type="dxa"/>
          </w:tcPr>
          <w:p w14:paraId="04015E6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14.</w:t>
            </w:r>
            <w:r w:rsidRPr="00AA499E">
              <w:rPr>
                <w:rFonts w:ascii="Times New Roman" w:hAnsi="Times New Roman"/>
                <w:b/>
                <w:bCs/>
                <w:lang w:val="da-DK"/>
              </w:rPr>
              <w:tab/>
              <w:t>GENEREL KLASSIFIKATION FOR UDLEVERING</w:t>
            </w:r>
          </w:p>
        </w:tc>
      </w:tr>
    </w:tbl>
    <w:p w14:paraId="459978BE"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BB9ED1D"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6556861C" w14:textId="77777777" w:rsidTr="009D4FEF">
        <w:tc>
          <w:tcPr>
            <w:tcW w:w="9546" w:type="dxa"/>
          </w:tcPr>
          <w:p w14:paraId="16CA2E14"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15.</w:t>
            </w:r>
            <w:r w:rsidRPr="00AA499E">
              <w:rPr>
                <w:rFonts w:ascii="Times New Roman" w:hAnsi="Times New Roman"/>
                <w:b/>
                <w:bCs/>
                <w:lang w:val="da-DK"/>
              </w:rPr>
              <w:tab/>
              <w:t>INSTRUKTIONER VEDRØRENDE ANVENDELSEN</w:t>
            </w:r>
          </w:p>
        </w:tc>
      </w:tr>
    </w:tbl>
    <w:p w14:paraId="4363E00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9953531"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0D0E0C77" w14:textId="77777777" w:rsidTr="009D4FEF">
        <w:tc>
          <w:tcPr>
            <w:tcW w:w="9546" w:type="dxa"/>
          </w:tcPr>
          <w:p w14:paraId="1C2686CC" w14:textId="77777777" w:rsidR="009D4FEF" w:rsidRPr="00AA499E" w:rsidRDefault="009D4FEF" w:rsidP="009D4FEF">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16.</w:t>
            </w:r>
            <w:r w:rsidRPr="00AA499E">
              <w:rPr>
                <w:rFonts w:ascii="Times New Roman" w:hAnsi="Times New Roman"/>
                <w:b/>
                <w:bCs/>
                <w:lang w:val="da-DK"/>
              </w:rPr>
              <w:tab/>
              <w:t>INFORMATION I BRAILLE-SKRIFT</w:t>
            </w:r>
          </w:p>
        </w:tc>
      </w:tr>
    </w:tbl>
    <w:p w14:paraId="6F00E83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0D9DF5A" w14:textId="77777777" w:rsidR="001B065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w:t>
      </w:r>
    </w:p>
    <w:p w14:paraId="115A30ED" w14:textId="77777777" w:rsidR="001B065F" w:rsidRPr="00AA499E" w:rsidRDefault="001B065F" w:rsidP="009D4FEF">
      <w:pPr>
        <w:autoSpaceDE w:val="0"/>
        <w:autoSpaceDN w:val="0"/>
        <w:adjustRightInd w:val="0"/>
        <w:spacing w:after="0" w:line="240" w:lineRule="auto"/>
        <w:rPr>
          <w:rFonts w:ascii="Times New Roman" w:hAnsi="Times New Roman"/>
          <w:lang w:val="da-DK"/>
        </w:rPr>
      </w:pPr>
    </w:p>
    <w:p w14:paraId="4C13B489" w14:textId="77777777" w:rsidR="001B065F" w:rsidRPr="00AA499E" w:rsidRDefault="001B065F" w:rsidP="001B065F">
      <w:pPr>
        <w:spacing w:after="0" w:line="240" w:lineRule="auto"/>
        <w:ind w:left="567" w:hanging="567"/>
        <w:rPr>
          <w:rFonts w:ascii="Times New Roman" w:eastAsia="Times New Roman" w:hAnsi="Times New Roman"/>
          <w:szCs w:val="20"/>
          <w:lang w:val="da-DK"/>
        </w:rPr>
      </w:pPr>
    </w:p>
    <w:p w14:paraId="2B01CDB4" w14:textId="77777777" w:rsidR="001B065F" w:rsidRPr="00AA499E" w:rsidRDefault="001B065F" w:rsidP="00A50D16">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t>17</w:t>
      </w:r>
      <w:r w:rsidRPr="00AA499E">
        <w:rPr>
          <w:rFonts w:ascii="Times New Roman" w:eastAsia="Times New Roman" w:hAnsi="Times New Roman"/>
          <w:b/>
          <w:noProof/>
          <w:lang w:val="da-DK"/>
        </w:rPr>
        <w:tab/>
        <w:t>ENTYDIG IDENTIFIKATOR – 2D-STREGKODE</w:t>
      </w:r>
    </w:p>
    <w:p w14:paraId="7F3D355F" w14:textId="77777777" w:rsidR="001B065F" w:rsidRPr="00AA499E" w:rsidRDefault="001B065F" w:rsidP="00A50D16">
      <w:pPr>
        <w:keepNext/>
        <w:tabs>
          <w:tab w:val="left" w:pos="720"/>
        </w:tabs>
        <w:spacing w:after="0" w:line="240" w:lineRule="auto"/>
        <w:rPr>
          <w:rFonts w:ascii="Times New Roman" w:eastAsia="Times New Roman" w:hAnsi="Times New Roman"/>
          <w:noProof/>
          <w:lang w:val="da-DK"/>
        </w:rPr>
      </w:pPr>
    </w:p>
    <w:p w14:paraId="6A358C8C" w14:textId="77777777" w:rsidR="001B065F" w:rsidRPr="00AA499E" w:rsidRDefault="007C29DA" w:rsidP="001B065F">
      <w:pPr>
        <w:tabs>
          <w:tab w:val="left" w:pos="720"/>
        </w:tabs>
        <w:spacing w:after="0" w:line="240" w:lineRule="auto"/>
        <w:rPr>
          <w:rFonts w:ascii="Times New Roman" w:eastAsia="Times New Roman" w:hAnsi="Times New Roman"/>
          <w:noProof/>
          <w:lang w:val="da-DK"/>
        </w:rPr>
      </w:pPr>
      <w:r w:rsidRPr="00AA499E">
        <w:rPr>
          <w:rFonts w:ascii="Times New Roman" w:eastAsia="Times New Roman" w:hAnsi="Times New Roman"/>
          <w:noProof/>
          <w:highlight w:val="lightGray"/>
          <w:lang w:val="da-DK"/>
        </w:rPr>
        <w:t>&lt;Der er anført en 2D-stregkode, som indeholder en entydig identifikator.&gt;</w:t>
      </w:r>
    </w:p>
    <w:p w14:paraId="235DCD9F" w14:textId="77777777" w:rsidR="009F6E79" w:rsidRPr="00AA499E" w:rsidRDefault="009F6E79" w:rsidP="001B065F">
      <w:pPr>
        <w:tabs>
          <w:tab w:val="left" w:pos="720"/>
        </w:tabs>
        <w:spacing w:after="0" w:line="240" w:lineRule="auto"/>
        <w:rPr>
          <w:rFonts w:ascii="Times New Roman" w:eastAsia="Times New Roman" w:hAnsi="Times New Roman"/>
          <w:noProof/>
          <w:lang w:val="da-DK"/>
        </w:rPr>
      </w:pPr>
    </w:p>
    <w:p w14:paraId="60A622C7"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p>
    <w:p w14:paraId="60911A36" w14:textId="77777777" w:rsidR="001B065F" w:rsidRPr="00AA499E" w:rsidRDefault="001B065F" w:rsidP="001B065F">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lastRenderedPageBreak/>
        <w:t>18.</w:t>
      </w:r>
      <w:r w:rsidRPr="00AA499E">
        <w:rPr>
          <w:rFonts w:ascii="Times New Roman" w:eastAsia="Times New Roman" w:hAnsi="Times New Roman"/>
          <w:b/>
          <w:noProof/>
          <w:lang w:val="da-DK"/>
        </w:rPr>
        <w:tab/>
        <w:t>ENTYDIG IDENTIFIKATOR - MENNESKELIGT LÆSBARE DATA</w:t>
      </w:r>
    </w:p>
    <w:p w14:paraId="39A7755D" w14:textId="77777777" w:rsidR="007C29DA" w:rsidRPr="00AA499E" w:rsidRDefault="009D4FEF"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 </w:t>
      </w:r>
    </w:p>
    <w:p w14:paraId="684E5244" w14:textId="61E08289" w:rsidR="007C29DA" w:rsidRPr="00AA499E" w:rsidRDefault="007C29DA"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PC {nummer} </w:t>
      </w:r>
    </w:p>
    <w:p w14:paraId="1FB6E09C" w14:textId="7CFCAC50" w:rsidR="007C29DA" w:rsidRPr="00AA499E" w:rsidRDefault="007C29DA"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SN {nummer} </w:t>
      </w:r>
    </w:p>
    <w:p w14:paraId="45D37559" w14:textId="046B8482" w:rsidR="006478AD"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NN {nummer}</w:t>
      </w:r>
      <w:r w:rsidR="009D4FEF"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477EE1A0" w14:textId="77777777">
        <w:tc>
          <w:tcPr>
            <w:tcW w:w="9546" w:type="dxa"/>
          </w:tcPr>
          <w:p w14:paraId="5C49A568"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MINDSTEKRAV TIL MÆRKNING PÅ BLISTER ELLER STRIP</w:t>
            </w:r>
          </w:p>
          <w:p w14:paraId="105B6AF7" w14:textId="77777777" w:rsidR="006478AD" w:rsidRPr="00AA499E" w:rsidRDefault="006478AD">
            <w:pPr>
              <w:autoSpaceDE w:val="0"/>
              <w:autoSpaceDN w:val="0"/>
              <w:adjustRightInd w:val="0"/>
              <w:spacing w:after="0" w:line="240" w:lineRule="auto"/>
              <w:rPr>
                <w:rFonts w:ascii="Times New Roman" w:hAnsi="Times New Roman"/>
                <w:lang w:val="da-DK"/>
              </w:rPr>
            </w:pPr>
          </w:p>
          <w:p w14:paraId="1E23339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BLISTERPAKNINGER</w:t>
            </w:r>
          </w:p>
        </w:tc>
      </w:tr>
    </w:tbl>
    <w:p w14:paraId="69A292AF" w14:textId="77777777" w:rsidR="006478AD" w:rsidRPr="00AA499E" w:rsidRDefault="006478AD">
      <w:pPr>
        <w:autoSpaceDE w:val="0"/>
        <w:autoSpaceDN w:val="0"/>
        <w:adjustRightInd w:val="0"/>
        <w:spacing w:after="0" w:line="240" w:lineRule="auto"/>
        <w:rPr>
          <w:rFonts w:ascii="Times New Roman" w:hAnsi="Times New Roman"/>
          <w:lang w:val="da-DK"/>
        </w:rPr>
      </w:pPr>
    </w:p>
    <w:p w14:paraId="1CE2426E"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430B3D17" w14:textId="77777777">
        <w:tc>
          <w:tcPr>
            <w:tcW w:w="9546" w:type="dxa"/>
          </w:tcPr>
          <w:p w14:paraId="2F1B3D4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213362D7" w14:textId="77777777" w:rsidR="006478AD" w:rsidRPr="00AA499E" w:rsidRDefault="006478AD">
      <w:pPr>
        <w:autoSpaceDE w:val="0"/>
        <w:autoSpaceDN w:val="0"/>
        <w:adjustRightInd w:val="0"/>
        <w:spacing w:after="0" w:line="240" w:lineRule="auto"/>
        <w:rPr>
          <w:rFonts w:ascii="Times New Roman" w:hAnsi="Times New Roman"/>
          <w:lang w:val="da-DK"/>
        </w:rPr>
      </w:pPr>
    </w:p>
    <w:p w14:paraId="4B63908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50 mg kapsler</w:t>
      </w:r>
    </w:p>
    <w:p w14:paraId="45AC23EB" w14:textId="77777777" w:rsidR="006478AD" w:rsidRPr="00AA499E" w:rsidRDefault="00A16B8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616F3C" w:rsidRPr="00AA499E">
        <w:rPr>
          <w:rFonts w:ascii="Times New Roman" w:hAnsi="Times New Roman"/>
          <w:lang w:val="da-DK"/>
        </w:rPr>
        <w:t>matinib</w:t>
      </w:r>
    </w:p>
    <w:p w14:paraId="77EAD3E5" w14:textId="77777777" w:rsidR="006478AD" w:rsidRPr="00AA499E" w:rsidRDefault="006478AD">
      <w:pPr>
        <w:autoSpaceDE w:val="0"/>
        <w:autoSpaceDN w:val="0"/>
        <w:adjustRightInd w:val="0"/>
        <w:spacing w:after="0" w:line="240" w:lineRule="auto"/>
        <w:rPr>
          <w:rFonts w:ascii="Times New Roman" w:hAnsi="Times New Roman"/>
          <w:lang w:val="da-DK"/>
        </w:rPr>
      </w:pPr>
    </w:p>
    <w:p w14:paraId="06CFFD1E"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2935F408" w14:textId="77777777">
        <w:tc>
          <w:tcPr>
            <w:tcW w:w="9546" w:type="dxa"/>
          </w:tcPr>
          <w:p w14:paraId="742E245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NAVN PÅ INDEHAVEREN AF MARKEDSFØRINGSTILLADELSEN</w:t>
            </w:r>
          </w:p>
        </w:tc>
      </w:tr>
    </w:tbl>
    <w:p w14:paraId="15DF8E48" w14:textId="77777777" w:rsidR="006478AD" w:rsidRPr="00AA499E" w:rsidRDefault="006478AD">
      <w:pPr>
        <w:autoSpaceDE w:val="0"/>
        <w:autoSpaceDN w:val="0"/>
        <w:adjustRightInd w:val="0"/>
        <w:spacing w:after="0" w:line="240" w:lineRule="auto"/>
        <w:rPr>
          <w:rFonts w:ascii="Times New Roman" w:hAnsi="Times New Roman"/>
          <w:lang w:val="da-DK"/>
        </w:rPr>
      </w:pPr>
    </w:p>
    <w:p w14:paraId="3C621C8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[Actavis-logo]</w:t>
      </w:r>
    </w:p>
    <w:p w14:paraId="1AEE1023" w14:textId="77777777" w:rsidR="006478AD" w:rsidRPr="00AA499E" w:rsidRDefault="006478AD">
      <w:pPr>
        <w:autoSpaceDE w:val="0"/>
        <w:autoSpaceDN w:val="0"/>
        <w:adjustRightInd w:val="0"/>
        <w:spacing w:after="0" w:line="240" w:lineRule="auto"/>
        <w:rPr>
          <w:rFonts w:ascii="Times New Roman" w:hAnsi="Times New Roman"/>
          <w:lang w:val="da-DK"/>
        </w:rPr>
      </w:pPr>
    </w:p>
    <w:p w14:paraId="39EDCA0F"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6C50A0DD" w14:textId="77777777">
        <w:tc>
          <w:tcPr>
            <w:tcW w:w="9546" w:type="dxa"/>
          </w:tcPr>
          <w:p w14:paraId="726D75E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UDLØBSDATO</w:t>
            </w:r>
          </w:p>
        </w:tc>
      </w:tr>
    </w:tbl>
    <w:p w14:paraId="6C3833FF" w14:textId="77777777" w:rsidR="006478AD" w:rsidRPr="00AA499E" w:rsidRDefault="006478AD">
      <w:pPr>
        <w:autoSpaceDE w:val="0"/>
        <w:autoSpaceDN w:val="0"/>
        <w:adjustRightInd w:val="0"/>
        <w:spacing w:after="0" w:line="240" w:lineRule="auto"/>
        <w:rPr>
          <w:rFonts w:ascii="Times New Roman" w:hAnsi="Times New Roman"/>
          <w:lang w:val="da-DK"/>
        </w:rPr>
      </w:pPr>
    </w:p>
    <w:p w14:paraId="432FA54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15E3DD46" w14:textId="77777777" w:rsidR="006478AD" w:rsidRPr="00AA499E" w:rsidRDefault="006478AD">
      <w:pPr>
        <w:autoSpaceDE w:val="0"/>
        <w:autoSpaceDN w:val="0"/>
        <w:adjustRightInd w:val="0"/>
        <w:spacing w:after="0" w:line="240" w:lineRule="auto"/>
        <w:rPr>
          <w:rFonts w:ascii="Times New Roman" w:hAnsi="Times New Roman"/>
          <w:lang w:val="da-DK"/>
        </w:rPr>
      </w:pPr>
    </w:p>
    <w:p w14:paraId="61AC896A"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3482B67" w14:textId="77777777">
        <w:tc>
          <w:tcPr>
            <w:tcW w:w="9546" w:type="dxa"/>
          </w:tcPr>
          <w:p w14:paraId="3320902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FREMSTILLERENS BATCHNUMMER</w:t>
            </w:r>
          </w:p>
        </w:tc>
      </w:tr>
    </w:tbl>
    <w:p w14:paraId="02B5B71C" w14:textId="77777777" w:rsidR="006478AD" w:rsidRPr="00AA499E" w:rsidRDefault="006478AD">
      <w:pPr>
        <w:autoSpaceDE w:val="0"/>
        <w:autoSpaceDN w:val="0"/>
        <w:adjustRightInd w:val="0"/>
        <w:spacing w:after="0" w:line="240" w:lineRule="auto"/>
        <w:rPr>
          <w:rFonts w:ascii="Times New Roman" w:hAnsi="Times New Roman"/>
          <w:lang w:val="da-DK"/>
        </w:rPr>
      </w:pPr>
    </w:p>
    <w:p w14:paraId="103E527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41EF616B" w14:textId="77777777" w:rsidR="006478AD" w:rsidRPr="00AA499E" w:rsidRDefault="006478AD">
      <w:pPr>
        <w:autoSpaceDE w:val="0"/>
        <w:autoSpaceDN w:val="0"/>
        <w:adjustRightInd w:val="0"/>
        <w:spacing w:after="0" w:line="240" w:lineRule="auto"/>
        <w:rPr>
          <w:rFonts w:ascii="Times New Roman" w:hAnsi="Times New Roman"/>
          <w:lang w:val="da-DK"/>
        </w:rPr>
      </w:pPr>
    </w:p>
    <w:p w14:paraId="17791A30"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2258175F" w14:textId="77777777">
        <w:tc>
          <w:tcPr>
            <w:tcW w:w="9546" w:type="dxa"/>
          </w:tcPr>
          <w:p w14:paraId="1BEE5C5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ANDET</w:t>
            </w:r>
          </w:p>
        </w:tc>
      </w:tr>
    </w:tbl>
    <w:p w14:paraId="288554BB" w14:textId="77777777" w:rsidR="006478AD" w:rsidRPr="00AA499E" w:rsidRDefault="006478AD">
      <w:pPr>
        <w:autoSpaceDE w:val="0"/>
        <w:autoSpaceDN w:val="0"/>
        <w:adjustRightInd w:val="0"/>
        <w:spacing w:after="0" w:line="240" w:lineRule="auto"/>
        <w:rPr>
          <w:rFonts w:ascii="Times New Roman" w:hAnsi="Times New Roman"/>
          <w:lang w:val="da-DK"/>
        </w:rPr>
      </w:pPr>
    </w:p>
    <w:p w14:paraId="1E104CC6" w14:textId="77777777" w:rsidR="006478AD" w:rsidRPr="00AA499E" w:rsidRDefault="006478AD">
      <w:pPr>
        <w:autoSpaceDE w:val="0"/>
        <w:autoSpaceDN w:val="0"/>
        <w:adjustRightInd w:val="0"/>
        <w:spacing w:after="0" w:line="240" w:lineRule="auto"/>
        <w:rPr>
          <w:rFonts w:ascii="Times New Roman" w:hAnsi="Times New Roman"/>
          <w:lang w:val="da-DK"/>
        </w:rPr>
      </w:pPr>
    </w:p>
    <w:p w14:paraId="725DFC4D"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5C4C52D0" w14:textId="77777777" w:rsidTr="00B94682">
        <w:tc>
          <w:tcPr>
            <w:tcW w:w="9546" w:type="dxa"/>
          </w:tcPr>
          <w:p w14:paraId="1AA514E7" w14:textId="77777777" w:rsidR="00B94682" w:rsidRPr="00AA499E" w:rsidRDefault="00B94682" w:rsidP="00B94682">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MINDSTEKRAV TIL MÆRKNING PÅ BLISTER ELLER STRIP</w:t>
            </w:r>
          </w:p>
          <w:p w14:paraId="4A1FB05E"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3CBDE6CE"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BLISTERPAKNINGER</w:t>
            </w:r>
          </w:p>
        </w:tc>
      </w:tr>
    </w:tbl>
    <w:p w14:paraId="7711D791"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287C5F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40F4C696" w14:textId="77777777" w:rsidTr="00B94682">
        <w:tc>
          <w:tcPr>
            <w:tcW w:w="9546" w:type="dxa"/>
          </w:tcPr>
          <w:p w14:paraId="2DC385E7"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097346E8"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2673E0AA"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 kapsler</w:t>
      </w:r>
    </w:p>
    <w:p w14:paraId="467E9DF1" w14:textId="77777777" w:rsidR="00B94682" w:rsidRPr="00AA499E" w:rsidRDefault="00A16B85"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B94682" w:rsidRPr="00AA499E">
        <w:rPr>
          <w:rFonts w:ascii="Times New Roman" w:hAnsi="Times New Roman"/>
          <w:lang w:val="da-DK"/>
        </w:rPr>
        <w:t>matinib</w:t>
      </w:r>
    </w:p>
    <w:p w14:paraId="027E0BA2"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3890FA9A"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441472F9" w14:textId="77777777" w:rsidTr="00B94682">
        <w:tc>
          <w:tcPr>
            <w:tcW w:w="9546" w:type="dxa"/>
          </w:tcPr>
          <w:p w14:paraId="2CEABAFE"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NAVN PÅ INDEHAVEREN AF MARKEDSFØRINGSTILLADELSEN</w:t>
            </w:r>
          </w:p>
        </w:tc>
      </w:tr>
    </w:tbl>
    <w:p w14:paraId="5F8B85F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69FF1FC"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[Actavis-logo]</w:t>
      </w:r>
    </w:p>
    <w:p w14:paraId="4113176E"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476AA5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65D8243B" w14:textId="77777777" w:rsidTr="00B94682">
        <w:tc>
          <w:tcPr>
            <w:tcW w:w="9546" w:type="dxa"/>
          </w:tcPr>
          <w:p w14:paraId="27724545"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UDLØBSDATO</w:t>
            </w:r>
          </w:p>
        </w:tc>
      </w:tr>
    </w:tbl>
    <w:p w14:paraId="2FF2E62B"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474C755"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5F0FB4D6"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8994EFB"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0CECBAE4" w14:textId="77777777" w:rsidTr="00B94682">
        <w:tc>
          <w:tcPr>
            <w:tcW w:w="9546" w:type="dxa"/>
          </w:tcPr>
          <w:p w14:paraId="2C77D9D6"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FREMSTILLERENS BATCHNUMMER</w:t>
            </w:r>
          </w:p>
        </w:tc>
      </w:tr>
    </w:tbl>
    <w:p w14:paraId="70CA6FA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2129532D"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4968972D"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4C7C6B2B"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0DF72B44" w14:textId="77777777" w:rsidTr="00B94682">
        <w:tc>
          <w:tcPr>
            <w:tcW w:w="9546" w:type="dxa"/>
          </w:tcPr>
          <w:p w14:paraId="5C2837F2"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ANDET</w:t>
            </w:r>
          </w:p>
        </w:tc>
      </w:tr>
    </w:tbl>
    <w:p w14:paraId="5E4375D7"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D0CA467" w14:textId="77777777" w:rsidR="009D4FEF" w:rsidRPr="00AA499E" w:rsidRDefault="00616F3C"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365BA93F" w14:textId="77777777" w:rsidTr="009D4FEF">
        <w:tc>
          <w:tcPr>
            <w:tcW w:w="9546" w:type="dxa"/>
          </w:tcPr>
          <w:p w14:paraId="490BE174"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MINDSTEKRAV TIL MÆRKNING PÅ BLISTER ELLER STRIP</w:t>
            </w:r>
          </w:p>
          <w:p w14:paraId="67D4F767"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0242992"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BLISTERPAKNINGER</w:t>
            </w:r>
          </w:p>
        </w:tc>
      </w:tr>
    </w:tbl>
    <w:p w14:paraId="75789C3E"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F0EE5DE"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1FA44542" w14:textId="77777777" w:rsidTr="009D4FEF">
        <w:tc>
          <w:tcPr>
            <w:tcW w:w="9546" w:type="dxa"/>
          </w:tcPr>
          <w:p w14:paraId="69954C7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7C01B363"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84BE8EE"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 kapsler</w:t>
      </w:r>
    </w:p>
    <w:p w14:paraId="4333D7FD" w14:textId="77777777" w:rsidR="009D4FEF" w:rsidRPr="00AA499E" w:rsidRDefault="00A16B85"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9D4FEF" w:rsidRPr="00AA499E">
        <w:rPr>
          <w:rFonts w:ascii="Times New Roman" w:hAnsi="Times New Roman"/>
          <w:lang w:val="da-DK"/>
        </w:rPr>
        <w:t>matinib</w:t>
      </w:r>
    </w:p>
    <w:p w14:paraId="36F1E378"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8B05545"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46F45220" w14:textId="77777777" w:rsidTr="009D4FEF">
        <w:tc>
          <w:tcPr>
            <w:tcW w:w="9546" w:type="dxa"/>
          </w:tcPr>
          <w:p w14:paraId="1FC440B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NAVN PÅ INDEHAVEREN AF MARKEDSFØRINGSTILLADELSEN</w:t>
            </w:r>
          </w:p>
        </w:tc>
      </w:tr>
    </w:tbl>
    <w:p w14:paraId="25FF69B2"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286A3DC"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[Actavis-logo]</w:t>
      </w:r>
    </w:p>
    <w:p w14:paraId="124912BB"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860415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53D16A60" w14:textId="77777777" w:rsidTr="009D4FEF">
        <w:tc>
          <w:tcPr>
            <w:tcW w:w="9546" w:type="dxa"/>
          </w:tcPr>
          <w:p w14:paraId="3FB66870"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UDLØBSDATO</w:t>
            </w:r>
          </w:p>
        </w:tc>
      </w:tr>
    </w:tbl>
    <w:p w14:paraId="23EACEF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2130818"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2F2A27D5"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F46E92C"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7B40177D" w14:textId="77777777" w:rsidTr="009D4FEF">
        <w:tc>
          <w:tcPr>
            <w:tcW w:w="9546" w:type="dxa"/>
          </w:tcPr>
          <w:p w14:paraId="5E6C492C"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FREMSTILLERENS BATCHNUMMER</w:t>
            </w:r>
          </w:p>
        </w:tc>
      </w:tr>
    </w:tbl>
    <w:p w14:paraId="64D215F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AA07805"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29293DD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E3756A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9D4FEF" w:rsidRPr="00AA499E" w14:paraId="39D584EF" w14:textId="77777777" w:rsidTr="009D4FEF">
        <w:tc>
          <w:tcPr>
            <w:tcW w:w="9546" w:type="dxa"/>
          </w:tcPr>
          <w:p w14:paraId="1C02FDF6"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ANDET</w:t>
            </w:r>
          </w:p>
        </w:tc>
      </w:tr>
    </w:tbl>
    <w:p w14:paraId="4F59920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A42E749"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br w:type="page"/>
      </w:r>
    </w:p>
    <w:p w14:paraId="33AFBAD4"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62745320" w14:textId="77777777">
        <w:tc>
          <w:tcPr>
            <w:tcW w:w="9546" w:type="dxa"/>
          </w:tcPr>
          <w:p w14:paraId="779F32A6"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MÆRKNING, DER SKAL ANFØRES PÅ DEN YDRE EMBALLAGE</w:t>
            </w:r>
          </w:p>
          <w:p w14:paraId="31671021" w14:textId="77777777" w:rsidR="006478AD" w:rsidRPr="00AA499E" w:rsidRDefault="006478AD">
            <w:pPr>
              <w:autoSpaceDE w:val="0"/>
              <w:autoSpaceDN w:val="0"/>
              <w:adjustRightInd w:val="0"/>
              <w:spacing w:after="0" w:line="240" w:lineRule="auto"/>
              <w:rPr>
                <w:rFonts w:ascii="Times New Roman" w:hAnsi="Times New Roman"/>
                <w:lang w:val="da-DK"/>
              </w:rPr>
            </w:pPr>
          </w:p>
          <w:p w14:paraId="59E2855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KARTON</w:t>
            </w:r>
          </w:p>
          <w:p w14:paraId="62228C7C" w14:textId="77777777" w:rsidR="006478AD" w:rsidRPr="00AA499E" w:rsidRDefault="006478AD">
            <w:pPr>
              <w:autoSpaceDE w:val="0"/>
              <w:autoSpaceDN w:val="0"/>
              <w:adjustRightInd w:val="0"/>
              <w:spacing w:after="0" w:line="240" w:lineRule="auto"/>
              <w:rPr>
                <w:rFonts w:ascii="Times New Roman" w:hAnsi="Times New Roman"/>
                <w:lang w:val="da-DK"/>
              </w:rPr>
            </w:pPr>
          </w:p>
        </w:tc>
      </w:tr>
    </w:tbl>
    <w:p w14:paraId="23A5E9EA" w14:textId="77777777" w:rsidR="006478AD" w:rsidRPr="00AA499E" w:rsidRDefault="006478AD">
      <w:pPr>
        <w:autoSpaceDE w:val="0"/>
        <w:autoSpaceDN w:val="0"/>
        <w:adjustRightInd w:val="0"/>
        <w:spacing w:after="0" w:line="240" w:lineRule="auto"/>
        <w:rPr>
          <w:rFonts w:ascii="Times New Roman" w:hAnsi="Times New Roman"/>
          <w:lang w:val="da-DK"/>
        </w:rPr>
      </w:pPr>
    </w:p>
    <w:p w14:paraId="2F0B7014"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3A63519D" w14:textId="77777777">
        <w:tc>
          <w:tcPr>
            <w:tcW w:w="9546" w:type="dxa"/>
          </w:tcPr>
          <w:p w14:paraId="64D7805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0F3EBCDE" w14:textId="77777777" w:rsidR="006478AD" w:rsidRPr="00AA499E" w:rsidRDefault="006478AD">
      <w:pPr>
        <w:autoSpaceDE w:val="0"/>
        <w:autoSpaceDN w:val="0"/>
        <w:adjustRightInd w:val="0"/>
        <w:spacing w:after="0" w:line="240" w:lineRule="auto"/>
        <w:rPr>
          <w:rFonts w:ascii="Times New Roman" w:hAnsi="Times New Roman"/>
          <w:lang w:val="da-DK"/>
        </w:rPr>
      </w:pPr>
    </w:p>
    <w:p w14:paraId="74E0596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 filmovertrukne tabletter</w:t>
      </w:r>
    </w:p>
    <w:p w14:paraId="5DD2AC91" w14:textId="77777777" w:rsidR="006478AD" w:rsidRPr="00AA499E" w:rsidRDefault="00A16B8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616F3C" w:rsidRPr="00AA499E">
        <w:rPr>
          <w:rFonts w:ascii="Times New Roman" w:hAnsi="Times New Roman"/>
          <w:lang w:val="da-DK"/>
        </w:rPr>
        <w:t>matinib</w:t>
      </w:r>
    </w:p>
    <w:p w14:paraId="76332318" w14:textId="77777777" w:rsidR="006478AD" w:rsidRPr="00AA499E" w:rsidRDefault="006478AD">
      <w:pPr>
        <w:autoSpaceDE w:val="0"/>
        <w:autoSpaceDN w:val="0"/>
        <w:adjustRightInd w:val="0"/>
        <w:spacing w:after="0" w:line="240" w:lineRule="auto"/>
        <w:rPr>
          <w:rFonts w:ascii="Times New Roman" w:hAnsi="Times New Roman"/>
          <w:lang w:val="da-DK"/>
        </w:rPr>
      </w:pPr>
    </w:p>
    <w:p w14:paraId="22D6498E"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8D32036" w14:textId="77777777">
        <w:tc>
          <w:tcPr>
            <w:tcW w:w="9546" w:type="dxa"/>
          </w:tcPr>
          <w:p w14:paraId="11D08D8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ANGIVELSE AF AKTIVT STOF/AKTIVE STOFFER</w:t>
            </w:r>
          </w:p>
        </w:tc>
      </w:tr>
    </w:tbl>
    <w:p w14:paraId="26875DC2" w14:textId="77777777" w:rsidR="006478AD" w:rsidRPr="00AA499E" w:rsidRDefault="006478AD">
      <w:pPr>
        <w:autoSpaceDE w:val="0"/>
        <w:autoSpaceDN w:val="0"/>
        <w:adjustRightInd w:val="0"/>
        <w:spacing w:after="0" w:line="240" w:lineRule="auto"/>
        <w:rPr>
          <w:rFonts w:ascii="Times New Roman" w:hAnsi="Times New Roman"/>
          <w:lang w:val="da-DK"/>
        </w:rPr>
      </w:pPr>
    </w:p>
    <w:p w14:paraId="3224A06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Hver filmovertrukken tablet indeholder 100 mg imatinib (som mesilat).</w:t>
      </w:r>
    </w:p>
    <w:p w14:paraId="422ABA2E" w14:textId="77777777" w:rsidR="006478AD" w:rsidRPr="00AA499E" w:rsidRDefault="006478AD">
      <w:pPr>
        <w:autoSpaceDE w:val="0"/>
        <w:autoSpaceDN w:val="0"/>
        <w:adjustRightInd w:val="0"/>
        <w:spacing w:after="0" w:line="240" w:lineRule="auto"/>
        <w:rPr>
          <w:rFonts w:ascii="Times New Roman" w:hAnsi="Times New Roman"/>
          <w:lang w:val="da-DK"/>
        </w:rPr>
      </w:pPr>
    </w:p>
    <w:p w14:paraId="7C354EF9"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69534F5" w14:textId="77777777">
        <w:tc>
          <w:tcPr>
            <w:tcW w:w="9546" w:type="dxa"/>
          </w:tcPr>
          <w:p w14:paraId="2423A59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LISTE OVER HJÆLPESTOFFER</w:t>
            </w:r>
          </w:p>
        </w:tc>
      </w:tr>
    </w:tbl>
    <w:p w14:paraId="251D41F8" w14:textId="77777777" w:rsidR="006478AD" w:rsidRPr="00AA499E" w:rsidRDefault="006478AD">
      <w:pPr>
        <w:autoSpaceDE w:val="0"/>
        <w:autoSpaceDN w:val="0"/>
        <w:adjustRightInd w:val="0"/>
        <w:spacing w:after="0" w:line="240" w:lineRule="auto"/>
        <w:rPr>
          <w:rFonts w:ascii="Times New Roman" w:hAnsi="Times New Roman"/>
          <w:lang w:val="da-DK"/>
        </w:rPr>
      </w:pPr>
    </w:p>
    <w:p w14:paraId="6E788BF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Indeholder lecithin (soya) (E322).</w:t>
      </w:r>
    </w:p>
    <w:p w14:paraId="219DE6B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 indlægssedlen for yderligere oplysninger.</w:t>
      </w:r>
    </w:p>
    <w:p w14:paraId="41A88A4A" w14:textId="77777777" w:rsidR="006478AD" w:rsidRPr="00AA499E" w:rsidRDefault="006478AD">
      <w:pPr>
        <w:autoSpaceDE w:val="0"/>
        <w:autoSpaceDN w:val="0"/>
        <w:adjustRightInd w:val="0"/>
        <w:spacing w:after="0" w:line="240" w:lineRule="auto"/>
        <w:rPr>
          <w:rFonts w:ascii="Times New Roman" w:hAnsi="Times New Roman"/>
          <w:lang w:val="da-DK"/>
        </w:rPr>
      </w:pPr>
    </w:p>
    <w:p w14:paraId="79CE1F3B"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2169E8F2" w14:textId="77777777">
        <w:tc>
          <w:tcPr>
            <w:tcW w:w="9546" w:type="dxa"/>
          </w:tcPr>
          <w:p w14:paraId="73911F4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LÆGEMIDDELFORM OG ANTAL (PAKNINGSSTØRRELSE)</w:t>
            </w:r>
          </w:p>
        </w:tc>
      </w:tr>
    </w:tbl>
    <w:p w14:paraId="771A5305" w14:textId="77777777" w:rsidR="006478AD" w:rsidRPr="00AA499E" w:rsidRDefault="006478AD">
      <w:pPr>
        <w:autoSpaceDE w:val="0"/>
        <w:autoSpaceDN w:val="0"/>
        <w:adjustRightInd w:val="0"/>
        <w:spacing w:after="0" w:line="240" w:lineRule="auto"/>
        <w:rPr>
          <w:rFonts w:ascii="Times New Roman" w:hAnsi="Times New Roman"/>
          <w:lang w:val="da-DK"/>
        </w:rPr>
      </w:pPr>
    </w:p>
    <w:p w14:paraId="47EFCF1E"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 xml:space="preserve">10 </w:t>
      </w:r>
      <w:r w:rsidR="00A3038E" w:rsidRPr="00AA499E">
        <w:rPr>
          <w:rFonts w:ascii="Times New Roman" w:hAnsi="Times New Roman"/>
          <w:lang w:val="da-DK"/>
        </w:rPr>
        <w:t xml:space="preserve">filmovertrukne </w:t>
      </w:r>
      <w:r w:rsidRPr="00AA499E">
        <w:rPr>
          <w:rFonts w:ascii="Times New Roman" w:hAnsi="Times New Roman"/>
          <w:lang w:val="da-DK"/>
        </w:rPr>
        <w:t>tabletter</w:t>
      </w:r>
    </w:p>
    <w:p w14:paraId="55E985BE" w14:textId="77777777" w:rsidR="006478AD" w:rsidRPr="00AA499E" w:rsidRDefault="00616F3C">
      <w:pPr>
        <w:pStyle w:val="KeinLeerraum"/>
        <w:rPr>
          <w:rFonts w:ascii="Times New Roman" w:hAnsi="Times New Roman"/>
          <w:highlight w:val="lightGray"/>
          <w:lang w:val="da-DK"/>
        </w:rPr>
      </w:pPr>
      <w:r w:rsidRPr="00AA499E">
        <w:rPr>
          <w:rFonts w:ascii="Times New Roman" w:hAnsi="Times New Roman"/>
          <w:highlight w:val="lightGray"/>
          <w:lang w:val="da-DK"/>
        </w:rPr>
        <w:t>20</w:t>
      </w:r>
      <w:r w:rsidR="00A3038E" w:rsidRPr="00AA499E">
        <w:rPr>
          <w:rFonts w:ascii="Times New Roman" w:hAnsi="Times New Roman"/>
          <w:highlight w:val="lightGray"/>
          <w:lang w:val="da-DK"/>
        </w:rPr>
        <w:t xml:space="preserve"> filmovertrukne</w:t>
      </w:r>
      <w:r w:rsidRPr="00AA499E">
        <w:rPr>
          <w:rFonts w:ascii="Times New Roman" w:hAnsi="Times New Roman"/>
          <w:highlight w:val="lightGray"/>
          <w:lang w:val="da-DK"/>
        </w:rPr>
        <w:t xml:space="preserve"> tabletter</w:t>
      </w:r>
    </w:p>
    <w:p w14:paraId="7ABCADAD" w14:textId="77777777" w:rsidR="006478AD" w:rsidRPr="00AA499E" w:rsidRDefault="00616F3C">
      <w:pPr>
        <w:pStyle w:val="KeinLeerraum"/>
        <w:rPr>
          <w:rFonts w:ascii="Times New Roman" w:hAnsi="Times New Roman"/>
          <w:highlight w:val="lightGray"/>
          <w:lang w:val="da-DK"/>
        </w:rPr>
      </w:pPr>
      <w:r w:rsidRPr="00AA499E">
        <w:rPr>
          <w:rFonts w:ascii="Times New Roman" w:hAnsi="Times New Roman"/>
          <w:highlight w:val="lightGray"/>
          <w:lang w:val="da-DK"/>
        </w:rPr>
        <w:t xml:space="preserve">30 </w:t>
      </w:r>
      <w:r w:rsidR="00A3038E" w:rsidRPr="00AA499E">
        <w:rPr>
          <w:rFonts w:ascii="Times New Roman" w:hAnsi="Times New Roman"/>
          <w:highlight w:val="lightGray"/>
          <w:lang w:val="da-DK"/>
        </w:rPr>
        <w:t xml:space="preserve">filmovertrukne </w:t>
      </w:r>
      <w:r w:rsidRPr="00AA499E">
        <w:rPr>
          <w:rFonts w:ascii="Times New Roman" w:hAnsi="Times New Roman"/>
          <w:highlight w:val="lightGray"/>
          <w:lang w:val="da-DK"/>
        </w:rPr>
        <w:t>tabletter</w:t>
      </w:r>
    </w:p>
    <w:p w14:paraId="335FB604" w14:textId="77777777" w:rsidR="006478AD" w:rsidRPr="00AA499E" w:rsidRDefault="00616F3C">
      <w:pPr>
        <w:pStyle w:val="KeinLeerraum"/>
        <w:rPr>
          <w:rFonts w:ascii="Times New Roman" w:hAnsi="Times New Roman"/>
          <w:highlight w:val="lightGray"/>
          <w:lang w:val="da-DK"/>
        </w:rPr>
      </w:pPr>
      <w:r w:rsidRPr="00AA499E">
        <w:rPr>
          <w:rFonts w:ascii="Times New Roman" w:hAnsi="Times New Roman"/>
          <w:highlight w:val="lightGray"/>
          <w:lang w:val="da-DK"/>
        </w:rPr>
        <w:t xml:space="preserve">60 </w:t>
      </w:r>
      <w:r w:rsidR="00A3038E" w:rsidRPr="00AA499E">
        <w:rPr>
          <w:rFonts w:ascii="Times New Roman" w:hAnsi="Times New Roman"/>
          <w:highlight w:val="lightGray"/>
          <w:lang w:val="da-DK"/>
        </w:rPr>
        <w:t xml:space="preserve">filmovertrukne </w:t>
      </w:r>
      <w:r w:rsidRPr="00AA499E">
        <w:rPr>
          <w:rFonts w:ascii="Times New Roman" w:hAnsi="Times New Roman"/>
          <w:highlight w:val="lightGray"/>
          <w:lang w:val="da-DK"/>
        </w:rPr>
        <w:t>tabletter</w:t>
      </w:r>
    </w:p>
    <w:p w14:paraId="79D68E24" w14:textId="77777777" w:rsidR="006478AD" w:rsidRPr="00AA499E" w:rsidRDefault="00616F3C">
      <w:pPr>
        <w:pStyle w:val="KeinLeerraum"/>
        <w:rPr>
          <w:rFonts w:ascii="Times New Roman" w:hAnsi="Times New Roman"/>
          <w:highlight w:val="lightGray"/>
          <w:lang w:val="da-DK"/>
        </w:rPr>
      </w:pPr>
      <w:r w:rsidRPr="00AA499E">
        <w:rPr>
          <w:rFonts w:ascii="Times New Roman" w:hAnsi="Times New Roman"/>
          <w:highlight w:val="lightGray"/>
          <w:lang w:val="da-DK"/>
        </w:rPr>
        <w:t xml:space="preserve">90 </w:t>
      </w:r>
      <w:r w:rsidR="00A3038E" w:rsidRPr="00AA499E">
        <w:rPr>
          <w:rFonts w:ascii="Times New Roman" w:hAnsi="Times New Roman"/>
          <w:highlight w:val="lightGray"/>
          <w:lang w:val="da-DK"/>
        </w:rPr>
        <w:t xml:space="preserve">filmovertrukne </w:t>
      </w:r>
      <w:r w:rsidRPr="00AA499E">
        <w:rPr>
          <w:rFonts w:ascii="Times New Roman" w:hAnsi="Times New Roman"/>
          <w:highlight w:val="lightGray"/>
          <w:lang w:val="da-DK"/>
        </w:rPr>
        <w:t>tabletter</w:t>
      </w:r>
    </w:p>
    <w:p w14:paraId="3718015A" w14:textId="77777777" w:rsidR="006478AD" w:rsidRPr="00AA499E" w:rsidRDefault="00616F3C">
      <w:pPr>
        <w:pStyle w:val="KeinLeerraum"/>
        <w:rPr>
          <w:rFonts w:ascii="Times New Roman" w:hAnsi="Times New Roman"/>
          <w:highlight w:val="lightGray"/>
          <w:lang w:val="da-DK"/>
        </w:rPr>
      </w:pPr>
      <w:r w:rsidRPr="00AA499E">
        <w:rPr>
          <w:rFonts w:ascii="Times New Roman" w:hAnsi="Times New Roman"/>
          <w:highlight w:val="lightGray"/>
          <w:lang w:val="da-DK"/>
        </w:rPr>
        <w:t xml:space="preserve">120 </w:t>
      </w:r>
      <w:r w:rsidR="00A3038E" w:rsidRPr="00AA499E">
        <w:rPr>
          <w:rFonts w:ascii="Times New Roman" w:hAnsi="Times New Roman"/>
          <w:highlight w:val="lightGray"/>
          <w:lang w:val="da-DK"/>
        </w:rPr>
        <w:t xml:space="preserve">filmovertrukne </w:t>
      </w:r>
      <w:r w:rsidRPr="00AA499E">
        <w:rPr>
          <w:rFonts w:ascii="Times New Roman" w:hAnsi="Times New Roman"/>
          <w:highlight w:val="lightGray"/>
          <w:lang w:val="da-DK"/>
        </w:rPr>
        <w:t>tabletter</w:t>
      </w:r>
    </w:p>
    <w:p w14:paraId="2EF8A05B" w14:textId="77777777" w:rsidR="006478AD" w:rsidRPr="00AA499E" w:rsidRDefault="00616F3C">
      <w:pPr>
        <w:pStyle w:val="KeinLeerraum"/>
        <w:rPr>
          <w:rFonts w:ascii="Times New Roman" w:hAnsi="Times New Roman"/>
          <w:lang w:val="da-DK"/>
        </w:rPr>
      </w:pPr>
      <w:r w:rsidRPr="00AA499E">
        <w:rPr>
          <w:rFonts w:ascii="Times New Roman" w:hAnsi="Times New Roman"/>
          <w:highlight w:val="lightGray"/>
          <w:lang w:val="da-DK"/>
        </w:rPr>
        <w:t xml:space="preserve">180 </w:t>
      </w:r>
      <w:r w:rsidR="00A3038E" w:rsidRPr="00AA499E">
        <w:rPr>
          <w:rFonts w:ascii="Times New Roman" w:hAnsi="Times New Roman"/>
          <w:highlight w:val="lightGray"/>
          <w:lang w:val="da-DK"/>
        </w:rPr>
        <w:t xml:space="preserve">filmovertrukne </w:t>
      </w:r>
      <w:r w:rsidRPr="00AA499E">
        <w:rPr>
          <w:rFonts w:ascii="Times New Roman" w:hAnsi="Times New Roman"/>
          <w:highlight w:val="lightGray"/>
          <w:lang w:val="da-DK"/>
        </w:rPr>
        <w:t>tabletter</w:t>
      </w:r>
    </w:p>
    <w:p w14:paraId="132C818D" w14:textId="77777777" w:rsidR="006478AD" w:rsidRPr="00AA499E" w:rsidRDefault="006478AD">
      <w:pPr>
        <w:autoSpaceDE w:val="0"/>
        <w:autoSpaceDN w:val="0"/>
        <w:adjustRightInd w:val="0"/>
        <w:spacing w:after="0" w:line="240" w:lineRule="auto"/>
        <w:rPr>
          <w:rFonts w:ascii="Times New Roman" w:hAnsi="Times New Roman"/>
          <w:lang w:val="da-DK"/>
        </w:rPr>
      </w:pPr>
    </w:p>
    <w:p w14:paraId="2D72C46F"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7663A214" w14:textId="77777777">
        <w:tc>
          <w:tcPr>
            <w:tcW w:w="9546" w:type="dxa"/>
          </w:tcPr>
          <w:p w14:paraId="26E6915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ANVENDELSESMÅDE OG ADMINISTRATIONSVEJ(E)</w:t>
            </w:r>
          </w:p>
        </w:tc>
      </w:tr>
    </w:tbl>
    <w:p w14:paraId="674DDEC9" w14:textId="77777777" w:rsidR="006478AD" w:rsidRPr="00AA499E" w:rsidRDefault="006478AD">
      <w:pPr>
        <w:autoSpaceDE w:val="0"/>
        <w:autoSpaceDN w:val="0"/>
        <w:adjustRightInd w:val="0"/>
        <w:spacing w:after="0" w:line="240" w:lineRule="auto"/>
        <w:rPr>
          <w:rFonts w:ascii="Times New Roman" w:hAnsi="Times New Roman"/>
          <w:lang w:val="da-DK"/>
        </w:rPr>
      </w:pPr>
    </w:p>
    <w:p w14:paraId="3168B93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Oral anvendelse.</w:t>
      </w:r>
    </w:p>
    <w:p w14:paraId="1997021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Læs indlægssedlen inden brug.</w:t>
      </w:r>
    </w:p>
    <w:p w14:paraId="51374D1F" w14:textId="77777777" w:rsidR="006478AD" w:rsidRPr="00AA499E" w:rsidRDefault="006478AD">
      <w:pPr>
        <w:autoSpaceDE w:val="0"/>
        <w:autoSpaceDN w:val="0"/>
        <w:adjustRightInd w:val="0"/>
        <w:spacing w:after="0" w:line="240" w:lineRule="auto"/>
        <w:rPr>
          <w:rFonts w:ascii="Times New Roman" w:hAnsi="Times New Roman"/>
          <w:lang w:val="da-DK"/>
        </w:rPr>
      </w:pPr>
    </w:p>
    <w:p w14:paraId="51967D45"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520495BE" w14:textId="77777777">
        <w:tc>
          <w:tcPr>
            <w:tcW w:w="9546" w:type="dxa"/>
          </w:tcPr>
          <w:p w14:paraId="1550A632" w14:textId="77777777" w:rsidR="006478AD" w:rsidRPr="00AA499E" w:rsidRDefault="00616F3C">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SÆRLIG ADVARSEL OM, AT LÆGEMIDLET SKAL OPBEVARES UTILGÆNGELIGT FOR BØRN</w:t>
            </w:r>
          </w:p>
        </w:tc>
      </w:tr>
    </w:tbl>
    <w:p w14:paraId="14F1821A" w14:textId="77777777" w:rsidR="006478AD" w:rsidRPr="00AA499E" w:rsidRDefault="006478AD">
      <w:pPr>
        <w:autoSpaceDE w:val="0"/>
        <w:autoSpaceDN w:val="0"/>
        <w:adjustRightInd w:val="0"/>
        <w:spacing w:after="0" w:line="240" w:lineRule="auto"/>
        <w:rPr>
          <w:rFonts w:ascii="Times New Roman" w:hAnsi="Times New Roman"/>
          <w:lang w:val="da-DK"/>
        </w:rPr>
      </w:pPr>
    </w:p>
    <w:p w14:paraId="1018DE6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utilgængeligt for børn.</w:t>
      </w:r>
    </w:p>
    <w:p w14:paraId="2518459F" w14:textId="77777777" w:rsidR="006478AD" w:rsidRPr="00AA499E" w:rsidRDefault="006478AD">
      <w:pPr>
        <w:autoSpaceDE w:val="0"/>
        <w:autoSpaceDN w:val="0"/>
        <w:adjustRightInd w:val="0"/>
        <w:spacing w:after="0" w:line="240" w:lineRule="auto"/>
        <w:rPr>
          <w:rFonts w:ascii="Times New Roman" w:hAnsi="Times New Roman"/>
          <w:lang w:val="da-DK"/>
        </w:rPr>
      </w:pPr>
    </w:p>
    <w:p w14:paraId="2F33AD72"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2B162CD4" w14:textId="77777777">
        <w:tc>
          <w:tcPr>
            <w:tcW w:w="9546" w:type="dxa"/>
          </w:tcPr>
          <w:p w14:paraId="6C91A93B" w14:textId="77777777" w:rsidR="006478AD" w:rsidRPr="00AA499E" w:rsidRDefault="00616F3C"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lastRenderedPageBreak/>
              <w:t>7.</w:t>
            </w:r>
            <w:r w:rsidRPr="00AA499E">
              <w:rPr>
                <w:rFonts w:ascii="Times New Roman" w:hAnsi="Times New Roman"/>
                <w:b/>
                <w:bCs/>
                <w:lang w:val="da-DK"/>
              </w:rPr>
              <w:tab/>
              <w:t>EVENTUELLE ANDRE SÆRLIGE ADVARSLER</w:t>
            </w:r>
          </w:p>
        </w:tc>
      </w:tr>
    </w:tbl>
    <w:p w14:paraId="0CC2862E" w14:textId="77777777" w:rsidR="006478AD" w:rsidRPr="00AA499E" w:rsidRDefault="006478AD" w:rsidP="00A50D16">
      <w:pPr>
        <w:keepNext/>
        <w:autoSpaceDE w:val="0"/>
        <w:autoSpaceDN w:val="0"/>
        <w:adjustRightInd w:val="0"/>
        <w:spacing w:after="0" w:line="240" w:lineRule="auto"/>
        <w:rPr>
          <w:rFonts w:ascii="Times New Roman" w:hAnsi="Times New Roman"/>
          <w:lang w:val="da-DK"/>
        </w:rPr>
      </w:pPr>
    </w:p>
    <w:p w14:paraId="1DA238E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Anvendes som foreskrevet af lægen.</w:t>
      </w:r>
    </w:p>
    <w:p w14:paraId="736EA7FF" w14:textId="77777777" w:rsidR="006478AD" w:rsidRPr="00AA499E" w:rsidRDefault="006478AD">
      <w:pPr>
        <w:autoSpaceDE w:val="0"/>
        <w:autoSpaceDN w:val="0"/>
        <w:adjustRightInd w:val="0"/>
        <w:spacing w:after="0" w:line="240" w:lineRule="auto"/>
        <w:rPr>
          <w:rFonts w:ascii="Times New Roman" w:hAnsi="Times New Roman"/>
          <w:lang w:val="da-DK"/>
        </w:rPr>
      </w:pPr>
    </w:p>
    <w:p w14:paraId="772FE1E9"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64D803A5" w14:textId="77777777">
        <w:tc>
          <w:tcPr>
            <w:tcW w:w="9546" w:type="dxa"/>
          </w:tcPr>
          <w:p w14:paraId="02FAA6A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8.</w:t>
            </w:r>
            <w:r w:rsidRPr="00AA499E">
              <w:rPr>
                <w:rFonts w:ascii="Times New Roman" w:hAnsi="Times New Roman"/>
                <w:b/>
                <w:bCs/>
                <w:lang w:val="da-DK"/>
              </w:rPr>
              <w:tab/>
              <w:t>UDLØBSDATO</w:t>
            </w:r>
          </w:p>
        </w:tc>
      </w:tr>
    </w:tbl>
    <w:p w14:paraId="4E10CCE0" w14:textId="77777777" w:rsidR="006478AD" w:rsidRPr="00AA499E" w:rsidRDefault="006478AD">
      <w:pPr>
        <w:autoSpaceDE w:val="0"/>
        <w:autoSpaceDN w:val="0"/>
        <w:adjustRightInd w:val="0"/>
        <w:spacing w:after="0" w:line="240" w:lineRule="auto"/>
        <w:rPr>
          <w:rFonts w:ascii="Times New Roman" w:hAnsi="Times New Roman"/>
          <w:lang w:val="da-DK"/>
        </w:rPr>
      </w:pPr>
    </w:p>
    <w:p w14:paraId="7590887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44D0F874" w14:textId="77777777" w:rsidR="006478AD" w:rsidRPr="00AA499E" w:rsidRDefault="006478AD">
      <w:pPr>
        <w:autoSpaceDE w:val="0"/>
        <w:autoSpaceDN w:val="0"/>
        <w:adjustRightInd w:val="0"/>
        <w:spacing w:after="0" w:line="240" w:lineRule="auto"/>
        <w:rPr>
          <w:rFonts w:ascii="Times New Roman" w:hAnsi="Times New Roman"/>
          <w:lang w:val="da-DK"/>
        </w:rPr>
      </w:pPr>
    </w:p>
    <w:p w14:paraId="1FD85A47"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4B0E8AC3" w14:textId="77777777">
        <w:tc>
          <w:tcPr>
            <w:tcW w:w="9546" w:type="dxa"/>
          </w:tcPr>
          <w:p w14:paraId="4A0C0AF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9.</w:t>
            </w:r>
            <w:r w:rsidRPr="00AA499E">
              <w:rPr>
                <w:rFonts w:ascii="Times New Roman" w:hAnsi="Times New Roman"/>
                <w:b/>
                <w:bCs/>
                <w:lang w:val="da-DK"/>
              </w:rPr>
              <w:tab/>
              <w:t>SÆRLIGE OPBEVARINGSBETINGELSER</w:t>
            </w:r>
          </w:p>
        </w:tc>
      </w:tr>
    </w:tbl>
    <w:p w14:paraId="07EE488A" w14:textId="77777777" w:rsidR="006478AD" w:rsidRPr="00AA499E" w:rsidRDefault="006478AD">
      <w:pPr>
        <w:autoSpaceDE w:val="0"/>
        <w:autoSpaceDN w:val="0"/>
        <w:adjustRightInd w:val="0"/>
        <w:spacing w:after="0" w:line="240" w:lineRule="auto"/>
        <w:rPr>
          <w:rFonts w:ascii="Times New Roman" w:hAnsi="Times New Roman"/>
          <w:lang w:val="da-DK"/>
        </w:rPr>
      </w:pPr>
    </w:p>
    <w:p w14:paraId="5B61869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Må ikke opbevares ved temperaturer over 30°C.</w:t>
      </w:r>
    </w:p>
    <w:p w14:paraId="4775FC8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i den originale yderpakning for at beskytte mod fugt.</w:t>
      </w:r>
    </w:p>
    <w:p w14:paraId="146538BC" w14:textId="77777777" w:rsidR="006478AD" w:rsidRPr="00AA499E" w:rsidRDefault="006478AD">
      <w:pPr>
        <w:autoSpaceDE w:val="0"/>
        <w:autoSpaceDN w:val="0"/>
        <w:adjustRightInd w:val="0"/>
        <w:spacing w:after="0" w:line="240" w:lineRule="auto"/>
        <w:rPr>
          <w:rFonts w:ascii="Times New Roman" w:hAnsi="Times New Roman"/>
          <w:lang w:val="da-DK"/>
        </w:rPr>
      </w:pPr>
    </w:p>
    <w:p w14:paraId="0A3E438A"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6BC4762B" w14:textId="77777777">
        <w:tc>
          <w:tcPr>
            <w:tcW w:w="9546" w:type="dxa"/>
          </w:tcPr>
          <w:p w14:paraId="11B1C44D" w14:textId="77777777" w:rsidR="006478AD" w:rsidRPr="00AA499E" w:rsidRDefault="00616F3C">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10.</w:t>
            </w:r>
            <w:r w:rsidRPr="00AA499E">
              <w:rPr>
                <w:rFonts w:ascii="Times New Roman" w:hAnsi="Times New Roman"/>
                <w:b/>
                <w:bCs/>
                <w:lang w:val="da-DK"/>
              </w:rPr>
              <w:tab/>
              <w:t>EVENTUELLE SÆRLIGE FORHOLDSREGLER VED BORTSKAFFELSE AF IKKE ANVENDT LÆGEMIDDEL SAMT AFFALD HERAF</w:t>
            </w:r>
          </w:p>
        </w:tc>
      </w:tr>
    </w:tbl>
    <w:p w14:paraId="6AF6324D" w14:textId="77777777" w:rsidR="006478AD" w:rsidRPr="00AA499E" w:rsidRDefault="006478AD">
      <w:pPr>
        <w:autoSpaceDE w:val="0"/>
        <w:autoSpaceDN w:val="0"/>
        <w:adjustRightInd w:val="0"/>
        <w:spacing w:after="0" w:line="240" w:lineRule="auto"/>
        <w:rPr>
          <w:rFonts w:ascii="Times New Roman" w:hAnsi="Times New Roman"/>
          <w:lang w:val="da-DK"/>
        </w:rPr>
      </w:pPr>
    </w:p>
    <w:p w14:paraId="01F4965C"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65187C98" w14:textId="77777777">
        <w:tc>
          <w:tcPr>
            <w:tcW w:w="9546" w:type="dxa"/>
          </w:tcPr>
          <w:p w14:paraId="1F38E79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11.</w:t>
            </w:r>
            <w:r w:rsidRPr="00AA499E">
              <w:rPr>
                <w:rFonts w:ascii="Times New Roman" w:hAnsi="Times New Roman"/>
                <w:b/>
                <w:bCs/>
                <w:lang w:val="da-DK"/>
              </w:rPr>
              <w:tab/>
              <w:t>NAVN OG ADRESSE PÅ INDEHAVEREN AF MARKEDSFØRINGSTILLADELSEN</w:t>
            </w:r>
          </w:p>
        </w:tc>
      </w:tr>
    </w:tbl>
    <w:p w14:paraId="7770B8AB" w14:textId="77777777" w:rsidR="006478AD" w:rsidRPr="00AA499E" w:rsidRDefault="006478AD">
      <w:pPr>
        <w:autoSpaceDE w:val="0"/>
        <w:autoSpaceDN w:val="0"/>
        <w:adjustRightInd w:val="0"/>
        <w:spacing w:after="0" w:line="240" w:lineRule="auto"/>
        <w:rPr>
          <w:rFonts w:ascii="Times New Roman" w:hAnsi="Times New Roman"/>
          <w:lang w:val="da-DK"/>
        </w:rPr>
      </w:pPr>
    </w:p>
    <w:p w14:paraId="3A69761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7AE39DC7" w14:textId="77777777" w:rsidR="006478AD" w:rsidRPr="00AA499E" w:rsidRDefault="00CE7A7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220 </w:t>
      </w:r>
      <w:r w:rsidR="00616F3C" w:rsidRPr="00AA499E">
        <w:rPr>
          <w:rFonts w:ascii="Times New Roman" w:hAnsi="Times New Roman"/>
          <w:lang w:val="da-DK"/>
        </w:rPr>
        <w:t>Hafnarfjörður</w:t>
      </w:r>
    </w:p>
    <w:p w14:paraId="0928C43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7BFB7107" w14:textId="77777777" w:rsidR="006478AD" w:rsidRPr="00AA499E" w:rsidRDefault="006478AD">
      <w:pPr>
        <w:autoSpaceDE w:val="0"/>
        <w:autoSpaceDN w:val="0"/>
        <w:adjustRightInd w:val="0"/>
        <w:spacing w:after="0" w:line="240" w:lineRule="auto"/>
        <w:rPr>
          <w:rFonts w:ascii="Times New Roman" w:hAnsi="Times New Roman"/>
          <w:lang w:val="da-DK"/>
        </w:rPr>
      </w:pPr>
    </w:p>
    <w:p w14:paraId="782C0297"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14FFB671" w14:textId="77777777">
        <w:tc>
          <w:tcPr>
            <w:tcW w:w="9546" w:type="dxa"/>
          </w:tcPr>
          <w:p w14:paraId="4B6C4E2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12.</w:t>
            </w:r>
            <w:r w:rsidRPr="00AA499E">
              <w:rPr>
                <w:rFonts w:ascii="Times New Roman" w:hAnsi="Times New Roman"/>
                <w:b/>
                <w:bCs/>
                <w:lang w:val="da-DK"/>
              </w:rPr>
              <w:tab/>
              <w:t>MARKEDSFØRINGSTILLADELSESNUMMER (NUMRE)</w:t>
            </w:r>
          </w:p>
        </w:tc>
      </w:tr>
    </w:tbl>
    <w:p w14:paraId="3106D954" w14:textId="77777777" w:rsidR="006478AD" w:rsidRPr="00AA499E" w:rsidRDefault="006478AD">
      <w:pPr>
        <w:autoSpaceDE w:val="0"/>
        <w:autoSpaceDN w:val="0"/>
        <w:adjustRightInd w:val="0"/>
        <w:spacing w:after="0" w:line="240" w:lineRule="auto"/>
        <w:rPr>
          <w:rFonts w:ascii="Times New Roman" w:hAnsi="Times New Roman"/>
          <w:lang w:val="da-DK"/>
        </w:rPr>
      </w:pPr>
    </w:p>
    <w:p w14:paraId="6ECC41E8" w14:textId="77777777" w:rsidR="00F635EC" w:rsidRPr="00AA499E" w:rsidRDefault="00F635EC"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lang w:val="da-DK"/>
        </w:rPr>
        <w:t xml:space="preserve">EU/1/13/825/008 </w:t>
      </w:r>
      <w:r w:rsidRPr="00AA499E">
        <w:rPr>
          <w:rFonts w:ascii="Times New Roman" w:hAnsi="Times New Roman"/>
          <w:highlight w:val="lightGray"/>
          <w:lang w:val="da-DK"/>
        </w:rPr>
        <w:t>10  table</w:t>
      </w:r>
      <w:r w:rsidR="00F665D3" w:rsidRPr="00AA499E">
        <w:rPr>
          <w:rFonts w:ascii="Times New Roman" w:hAnsi="Times New Roman"/>
          <w:highlight w:val="lightGray"/>
          <w:lang w:val="da-DK"/>
        </w:rPr>
        <w:t>tter</w:t>
      </w:r>
    </w:p>
    <w:p w14:paraId="2D094BAE" w14:textId="77777777" w:rsidR="00F635EC" w:rsidRPr="00AA499E" w:rsidRDefault="00F665D3"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EU/1/13/825/009 20  tabletter</w:t>
      </w:r>
    </w:p>
    <w:p w14:paraId="58A9295A" w14:textId="77777777" w:rsidR="00F635EC" w:rsidRPr="00AA499E" w:rsidRDefault="00F665D3"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EU/1/13/825/010 30  tabletter</w:t>
      </w:r>
    </w:p>
    <w:p w14:paraId="6CA4450C" w14:textId="77777777" w:rsidR="00F635EC" w:rsidRPr="00AA499E" w:rsidRDefault="00F665D3"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EU/1/13/825/011 60  tabletter</w:t>
      </w:r>
    </w:p>
    <w:p w14:paraId="74F9D804" w14:textId="77777777" w:rsidR="00F635EC" w:rsidRPr="00AA499E" w:rsidRDefault="00F665D3"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EU/1/13/825/012 90  tabletter</w:t>
      </w:r>
    </w:p>
    <w:p w14:paraId="2FE0F8A1" w14:textId="77777777" w:rsidR="00F635EC" w:rsidRPr="00AA499E" w:rsidRDefault="00F665D3"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EU/1/13/825/013 120  tabletter</w:t>
      </w:r>
    </w:p>
    <w:p w14:paraId="64AF16F9" w14:textId="77777777" w:rsidR="006478AD" w:rsidRPr="00AA499E" w:rsidRDefault="00F665D3" w:rsidP="00F635EC">
      <w:pPr>
        <w:autoSpaceDE w:val="0"/>
        <w:autoSpaceDN w:val="0"/>
        <w:adjustRightInd w:val="0"/>
        <w:spacing w:after="0" w:line="240" w:lineRule="auto"/>
        <w:rPr>
          <w:rFonts w:ascii="Times New Roman" w:hAnsi="Times New Roman"/>
          <w:lang w:val="da-DK"/>
        </w:rPr>
      </w:pPr>
      <w:r w:rsidRPr="00AA499E">
        <w:rPr>
          <w:rFonts w:ascii="Times New Roman" w:hAnsi="Times New Roman"/>
          <w:highlight w:val="lightGray"/>
          <w:lang w:val="da-DK"/>
        </w:rPr>
        <w:t>EU/1/13/825/014 180  tabletter</w:t>
      </w:r>
    </w:p>
    <w:p w14:paraId="2C112A2C" w14:textId="77777777" w:rsidR="006478AD" w:rsidRPr="00AA499E" w:rsidRDefault="006478AD">
      <w:pPr>
        <w:autoSpaceDE w:val="0"/>
        <w:autoSpaceDN w:val="0"/>
        <w:adjustRightInd w:val="0"/>
        <w:spacing w:after="0" w:line="240" w:lineRule="auto"/>
        <w:rPr>
          <w:rFonts w:ascii="Times New Roman" w:hAnsi="Times New Roman"/>
          <w:lang w:val="da-DK"/>
        </w:rPr>
      </w:pPr>
    </w:p>
    <w:p w14:paraId="298B9A0D"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33163A28" w14:textId="77777777">
        <w:tc>
          <w:tcPr>
            <w:tcW w:w="9546" w:type="dxa"/>
          </w:tcPr>
          <w:p w14:paraId="6BA1A3CF" w14:textId="2BC7240D"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13.</w:t>
            </w:r>
            <w:r w:rsidRPr="00AA499E">
              <w:rPr>
                <w:rFonts w:ascii="Times New Roman" w:hAnsi="Times New Roman"/>
                <w:b/>
                <w:bCs/>
                <w:lang w:val="da-DK"/>
              </w:rPr>
              <w:tab/>
              <w:t>BATCHNUMMER</w:t>
            </w:r>
          </w:p>
        </w:tc>
      </w:tr>
    </w:tbl>
    <w:p w14:paraId="76C1D10B" w14:textId="77777777" w:rsidR="006478AD" w:rsidRPr="00AA499E" w:rsidRDefault="006478AD">
      <w:pPr>
        <w:autoSpaceDE w:val="0"/>
        <w:autoSpaceDN w:val="0"/>
        <w:adjustRightInd w:val="0"/>
        <w:spacing w:after="0" w:line="240" w:lineRule="auto"/>
        <w:rPr>
          <w:rFonts w:ascii="Times New Roman" w:hAnsi="Times New Roman"/>
          <w:lang w:val="da-DK"/>
        </w:rPr>
      </w:pPr>
    </w:p>
    <w:p w14:paraId="047D7BE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5D06E56B" w14:textId="77777777" w:rsidR="006478AD" w:rsidRPr="00AA499E" w:rsidRDefault="006478AD">
      <w:pPr>
        <w:autoSpaceDE w:val="0"/>
        <w:autoSpaceDN w:val="0"/>
        <w:adjustRightInd w:val="0"/>
        <w:spacing w:after="0" w:line="240" w:lineRule="auto"/>
        <w:rPr>
          <w:rFonts w:ascii="Times New Roman" w:hAnsi="Times New Roman"/>
          <w:lang w:val="da-DK"/>
        </w:rPr>
      </w:pPr>
    </w:p>
    <w:p w14:paraId="6C9C22EB"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B8D5CA8" w14:textId="77777777">
        <w:tc>
          <w:tcPr>
            <w:tcW w:w="9546" w:type="dxa"/>
          </w:tcPr>
          <w:p w14:paraId="3CF4848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14.</w:t>
            </w:r>
            <w:r w:rsidRPr="00AA499E">
              <w:rPr>
                <w:rFonts w:ascii="Times New Roman" w:hAnsi="Times New Roman"/>
                <w:b/>
                <w:bCs/>
                <w:lang w:val="da-DK"/>
              </w:rPr>
              <w:tab/>
              <w:t>GENEREL KLASSIFIKATION FOR UDLEVERING</w:t>
            </w:r>
          </w:p>
        </w:tc>
      </w:tr>
    </w:tbl>
    <w:p w14:paraId="49284730" w14:textId="77777777" w:rsidR="006478AD" w:rsidRPr="00AA499E" w:rsidRDefault="006478AD">
      <w:pPr>
        <w:autoSpaceDE w:val="0"/>
        <w:autoSpaceDN w:val="0"/>
        <w:adjustRightInd w:val="0"/>
        <w:spacing w:after="0" w:line="240" w:lineRule="auto"/>
        <w:rPr>
          <w:rFonts w:ascii="Times New Roman" w:hAnsi="Times New Roman"/>
          <w:lang w:val="da-DK"/>
        </w:rPr>
      </w:pPr>
    </w:p>
    <w:p w14:paraId="293FD215"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7CB80BBD" w14:textId="77777777">
        <w:tc>
          <w:tcPr>
            <w:tcW w:w="9546" w:type="dxa"/>
          </w:tcPr>
          <w:p w14:paraId="106B3AB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15.</w:t>
            </w:r>
            <w:r w:rsidRPr="00AA499E">
              <w:rPr>
                <w:rFonts w:ascii="Times New Roman" w:hAnsi="Times New Roman"/>
                <w:b/>
                <w:bCs/>
                <w:lang w:val="da-DK"/>
              </w:rPr>
              <w:tab/>
              <w:t>INSTRUKTIONER VEDRØRENDE ANVENDELSEN</w:t>
            </w:r>
          </w:p>
        </w:tc>
      </w:tr>
    </w:tbl>
    <w:p w14:paraId="3BA757A2" w14:textId="77777777" w:rsidR="006478AD" w:rsidRPr="00AA499E" w:rsidRDefault="006478AD">
      <w:pPr>
        <w:autoSpaceDE w:val="0"/>
        <w:autoSpaceDN w:val="0"/>
        <w:adjustRightInd w:val="0"/>
        <w:spacing w:after="0" w:line="240" w:lineRule="auto"/>
        <w:rPr>
          <w:rFonts w:ascii="Times New Roman" w:hAnsi="Times New Roman"/>
          <w:lang w:val="da-DK"/>
        </w:rPr>
      </w:pPr>
    </w:p>
    <w:p w14:paraId="1DD9B300"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B819C88" w14:textId="77777777">
        <w:tc>
          <w:tcPr>
            <w:tcW w:w="9546" w:type="dxa"/>
          </w:tcPr>
          <w:p w14:paraId="43B4D5F9" w14:textId="77777777" w:rsidR="006478AD" w:rsidRPr="00AA499E" w:rsidRDefault="00616F3C"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lastRenderedPageBreak/>
              <w:t>16.</w:t>
            </w:r>
            <w:r w:rsidRPr="00AA499E">
              <w:rPr>
                <w:rFonts w:ascii="Times New Roman" w:hAnsi="Times New Roman"/>
                <w:b/>
                <w:bCs/>
                <w:lang w:val="da-DK"/>
              </w:rPr>
              <w:tab/>
              <w:t>INFORMATION I BRAILLE-SKRIFT</w:t>
            </w:r>
          </w:p>
        </w:tc>
      </w:tr>
    </w:tbl>
    <w:p w14:paraId="065ED68A" w14:textId="77777777" w:rsidR="006478AD" w:rsidRPr="00AA499E" w:rsidRDefault="006478AD" w:rsidP="00A50D16">
      <w:pPr>
        <w:keepNext/>
        <w:autoSpaceDE w:val="0"/>
        <w:autoSpaceDN w:val="0"/>
        <w:adjustRightInd w:val="0"/>
        <w:spacing w:after="0" w:line="240" w:lineRule="auto"/>
        <w:rPr>
          <w:rFonts w:ascii="Times New Roman" w:hAnsi="Times New Roman"/>
          <w:lang w:val="da-DK"/>
        </w:rPr>
      </w:pPr>
    </w:p>
    <w:p w14:paraId="7F592A65" w14:textId="77777777" w:rsidR="006478AD" w:rsidRPr="00AA499E" w:rsidRDefault="00616F3C">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w:t>
      </w:r>
    </w:p>
    <w:p w14:paraId="1ABC62B9" w14:textId="77777777" w:rsidR="006478AD" w:rsidRPr="00AA499E" w:rsidRDefault="006478AD">
      <w:pPr>
        <w:keepNext/>
        <w:autoSpaceDE w:val="0"/>
        <w:autoSpaceDN w:val="0"/>
        <w:adjustRightInd w:val="0"/>
        <w:spacing w:after="0" w:line="240" w:lineRule="auto"/>
        <w:rPr>
          <w:rFonts w:ascii="Times New Roman" w:hAnsi="Times New Roman"/>
          <w:lang w:val="da-DK"/>
        </w:rPr>
      </w:pPr>
    </w:p>
    <w:p w14:paraId="48241AC3" w14:textId="77777777" w:rsidR="001B065F" w:rsidRPr="00AA499E" w:rsidRDefault="001B065F" w:rsidP="001B065F">
      <w:pPr>
        <w:spacing w:after="0" w:line="240" w:lineRule="auto"/>
        <w:ind w:left="567" w:hanging="567"/>
        <w:rPr>
          <w:rFonts w:ascii="Times New Roman" w:eastAsia="Times New Roman" w:hAnsi="Times New Roman"/>
          <w:szCs w:val="20"/>
          <w:lang w:val="da-DK"/>
        </w:rPr>
      </w:pPr>
    </w:p>
    <w:p w14:paraId="2C239697" w14:textId="77777777" w:rsidR="001B065F" w:rsidRPr="00AA499E" w:rsidRDefault="001B065F" w:rsidP="001B065F">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t>17</w:t>
      </w:r>
      <w:r w:rsidRPr="00AA499E">
        <w:rPr>
          <w:rFonts w:ascii="Times New Roman" w:eastAsia="Times New Roman" w:hAnsi="Times New Roman"/>
          <w:b/>
          <w:noProof/>
          <w:lang w:val="da-DK"/>
        </w:rPr>
        <w:tab/>
        <w:t>ENTYDIG IDENTIFIKATOR – 2D-STREGKODE</w:t>
      </w:r>
    </w:p>
    <w:p w14:paraId="6C54D9F9" w14:textId="77777777" w:rsidR="001B065F" w:rsidRPr="00AA499E" w:rsidRDefault="001B065F" w:rsidP="001B065F">
      <w:pPr>
        <w:tabs>
          <w:tab w:val="left" w:pos="720"/>
        </w:tabs>
        <w:spacing w:after="0" w:line="240" w:lineRule="auto"/>
        <w:rPr>
          <w:rFonts w:ascii="Times New Roman" w:eastAsia="Times New Roman" w:hAnsi="Times New Roman"/>
          <w:noProof/>
          <w:lang w:val="da-DK"/>
        </w:rPr>
      </w:pPr>
    </w:p>
    <w:p w14:paraId="0E3B0B5D" w14:textId="77777777" w:rsidR="001B065F" w:rsidRPr="00AA499E" w:rsidRDefault="007C29DA" w:rsidP="001B065F">
      <w:pPr>
        <w:tabs>
          <w:tab w:val="left" w:pos="720"/>
        </w:tabs>
        <w:spacing w:after="0" w:line="240" w:lineRule="auto"/>
        <w:rPr>
          <w:rFonts w:ascii="Times New Roman" w:eastAsia="Times New Roman" w:hAnsi="Times New Roman"/>
          <w:noProof/>
          <w:lang w:val="da-DK"/>
        </w:rPr>
      </w:pPr>
      <w:r w:rsidRPr="00AA499E">
        <w:rPr>
          <w:rFonts w:ascii="Times New Roman" w:eastAsia="Times New Roman" w:hAnsi="Times New Roman"/>
          <w:noProof/>
          <w:highlight w:val="lightGray"/>
          <w:lang w:val="da-DK"/>
        </w:rPr>
        <w:t>&lt;2D barcode carrying the unique identifier included.&gt;</w:t>
      </w:r>
    </w:p>
    <w:p w14:paraId="0A2FA377"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p>
    <w:p w14:paraId="609EB3F1"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p>
    <w:p w14:paraId="436A08BB" w14:textId="77777777" w:rsidR="001B065F" w:rsidRPr="00AA499E" w:rsidRDefault="001B065F" w:rsidP="001B065F">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t>18.</w:t>
      </w:r>
      <w:r w:rsidRPr="00AA499E">
        <w:rPr>
          <w:rFonts w:ascii="Times New Roman" w:eastAsia="Times New Roman" w:hAnsi="Times New Roman"/>
          <w:b/>
          <w:noProof/>
          <w:lang w:val="da-DK"/>
        </w:rPr>
        <w:tab/>
        <w:t>ENTYDIG IDENTIFIKATOR - MENNESKELIGT LÆSBARE DATA</w:t>
      </w:r>
    </w:p>
    <w:p w14:paraId="55DDC227" w14:textId="77777777" w:rsidR="006478AD" w:rsidRPr="00AA499E" w:rsidRDefault="006478AD">
      <w:pPr>
        <w:keepNext/>
        <w:autoSpaceDE w:val="0"/>
        <w:autoSpaceDN w:val="0"/>
        <w:adjustRightInd w:val="0"/>
        <w:spacing w:after="0" w:line="240" w:lineRule="auto"/>
        <w:rPr>
          <w:rFonts w:ascii="Times New Roman" w:hAnsi="Times New Roman"/>
          <w:lang w:val="da-DK"/>
        </w:rPr>
      </w:pPr>
    </w:p>
    <w:p w14:paraId="376E324D" w14:textId="11BEE2BD" w:rsidR="007C29DA"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PC {nummer} </w:t>
      </w:r>
    </w:p>
    <w:p w14:paraId="198C8F8A" w14:textId="630D223B" w:rsidR="007C29DA"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SN {nummer} </w:t>
      </w:r>
    </w:p>
    <w:p w14:paraId="406B5343" w14:textId="09E72CC5" w:rsidR="00B94682"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NN {nummer}</w:t>
      </w:r>
      <w:r w:rsidR="00B94682"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47F98F00" w14:textId="77777777" w:rsidTr="00B94682">
        <w:tc>
          <w:tcPr>
            <w:tcW w:w="9546" w:type="dxa"/>
          </w:tcPr>
          <w:p w14:paraId="7065F8AB" w14:textId="77777777" w:rsidR="00B94682" w:rsidRPr="00AA499E" w:rsidRDefault="00B94682" w:rsidP="00B94682">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MÆRKNING, DER SKAL ANFØRES PÅ DEN YDRE EMBALLAGE</w:t>
            </w:r>
          </w:p>
          <w:p w14:paraId="1301B554"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43961F12"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KARTON</w:t>
            </w:r>
          </w:p>
          <w:p w14:paraId="7132E149"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c>
      </w:tr>
    </w:tbl>
    <w:p w14:paraId="4BEFD8FA"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4B63D0D3"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2963F4A6" w14:textId="77777777" w:rsidTr="00B94682">
        <w:tc>
          <w:tcPr>
            <w:tcW w:w="9546" w:type="dxa"/>
          </w:tcPr>
          <w:p w14:paraId="4F4F1EF8"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7AAD550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66A2D2E4"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 filmovertrukne tabletter</w:t>
      </w:r>
    </w:p>
    <w:p w14:paraId="0F815244" w14:textId="77777777" w:rsidR="00B94682" w:rsidRPr="00AA499E" w:rsidRDefault="00A16B85"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B94682" w:rsidRPr="00AA499E">
        <w:rPr>
          <w:rFonts w:ascii="Times New Roman" w:hAnsi="Times New Roman"/>
          <w:lang w:val="da-DK"/>
        </w:rPr>
        <w:t>matinib</w:t>
      </w:r>
    </w:p>
    <w:p w14:paraId="6F3DC195"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2F386AE4"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409796E3" w14:textId="77777777" w:rsidTr="00B94682">
        <w:tc>
          <w:tcPr>
            <w:tcW w:w="9546" w:type="dxa"/>
          </w:tcPr>
          <w:p w14:paraId="226966C0"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ANGIVELSE AF AKTIVT STOF/AKTIVE STOFFER</w:t>
            </w:r>
          </w:p>
        </w:tc>
      </w:tr>
    </w:tbl>
    <w:p w14:paraId="128452B7"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965FE8F"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Hver filmovertrukken tablet indeholder 400 mg imatinib (som mesilat).</w:t>
      </w:r>
    </w:p>
    <w:p w14:paraId="58E3AA1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3101DF3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7BD7A714" w14:textId="77777777" w:rsidTr="00B94682">
        <w:tc>
          <w:tcPr>
            <w:tcW w:w="9546" w:type="dxa"/>
          </w:tcPr>
          <w:p w14:paraId="2FDE3D05"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LISTE OVER HJÆLPESTOFFER</w:t>
            </w:r>
          </w:p>
        </w:tc>
      </w:tr>
    </w:tbl>
    <w:p w14:paraId="1B31A84C"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B12332A"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Indeholder lecithin (soya) (E322).</w:t>
      </w:r>
    </w:p>
    <w:p w14:paraId="6441BE01"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 indlægssedlen for yderligere oplysninger.</w:t>
      </w:r>
    </w:p>
    <w:p w14:paraId="49230DD8"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60D6FD5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7DF8EF4B" w14:textId="77777777" w:rsidTr="00B94682">
        <w:tc>
          <w:tcPr>
            <w:tcW w:w="9546" w:type="dxa"/>
          </w:tcPr>
          <w:p w14:paraId="32C3008D"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LÆGEMIDDELFORM OG ANTAL (PAKNINGSSTØRRELSE)</w:t>
            </w:r>
          </w:p>
        </w:tc>
      </w:tr>
    </w:tbl>
    <w:p w14:paraId="52011ACA" w14:textId="77777777" w:rsidR="00B94682" w:rsidRPr="00AA499E" w:rsidRDefault="00B94682" w:rsidP="00847287">
      <w:pPr>
        <w:pStyle w:val="KeinLeerraum"/>
        <w:rPr>
          <w:rFonts w:ascii="Times New Roman" w:hAnsi="Times New Roman"/>
          <w:highlight w:val="lightGray"/>
          <w:lang w:val="da-DK"/>
        </w:rPr>
      </w:pPr>
    </w:p>
    <w:p w14:paraId="0F6D8BAE" w14:textId="77777777" w:rsidR="00B94682" w:rsidRPr="00AA499E" w:rsidRDefault="00B94682" w:rsidP="00B94682">
      <w:pPr>
        <w:pStyle w:val="KeinLeerraum"/>
        <w:rPr>
          <w:rFonts w:ascii="Times New Roman" w:hAnsi="Times New Roman"/>
          <w:lang w:val="da-DK"/>
        </w:rPr>
      </w:pPr>
      <w:r w:rsidRPr="00AA499E">
        <w:rPr>
          <w:rFonts w:ascii="Times New Roman" w:hAnsi="Times New Roman"/>
          <w:lang w:val="da-DK"/>
        </w:rPr>
        <w:t>10 tabletter</w:t>
      </w:r>
    </w:p>
    <w:p w14:paraId="789452F2" w14:textId="77777777" w:rsidR="00B94682" w:rsidRPr="00AA499E" w:rsidRDefault="00B94682" w:rsidP="00B94682">
      <w:pPr>
        <w:pStyle w:val="KeinLeerraum"/>
        <w:rPr>
          <w:rFonts w:ascii="Times New Roman" w:hAnsi="Times New Roman"/>
          <w:highlight w:val="lightGray"/>
          <w:lang w:val="da-DK"/>
        </w:rPr>
      </w:pPr>
      <w:r w:rsidRPr="00AA499E">
        <w:rPr>
          <w:rFonts w:ascii="Times New Roman" w:hAnsi="Times New Roman"/>
          <w:highlight w:val="lightGray"/>
          <w:lang w:val="da-DK"/>
        </w:rPr>
        <w:t>30</w:t>
      </w:r>
      <w:r w:rsidR="00F45CC9" w:rsidRPr="00AA499E">
        <w:rPr>
          <w:rFonts w:ascii="Times New Roman" w:hAnsi="Times New Roman"/>
          <w:highlight w:val="lightGray"/>
          <w:lang w:val="da-DK"/>
        </w:rPr>
        <w:t xml:space="preserve"> filmovertrukne</w:t>
      </w:r>
      <w:r w:rsidRPr="00AA499E">
        <w:rPr>
          <w:rFonts w:ascii="Times New Roman" w:hAnsi="Times New Roman"/>
          <w:highlight w:val="lightGray"/>
          <w:lang w:val="da-DK"/>
        </w:rPr>
        <w:t xml:space="preserve"> tabletter</w:t>
      </w:r>
    </w:p>
    <w:p w14:paraId="6D3F0BB7" w14:textId="77777777" w:rsidR="00B94682" w:rsidRPr="00AA499E" w:rsidRDefault="00B94682" w:rsidP="00B94682">
      <w:pPr>
        <w:pStyle w:val="KeinLeerraum"/>
        <w:rPr>
          <w:rFonts w:ascii="Times New Roman" w:hAnsi="Times New Roman"/>
          <w:highlight w:val="lightGray"/>
          <w:lang w:val="da-DK"/>
        </w:rPr>
      </w:pPr>
      <w:r w:rsidRPr="00AA499E">
        <w:rPr>
          <w:rFonts w:ascii="Times New Roman" w:hAnsi="Times New Roman"/>
          <w:highlight w:val="lightGray"/>
          <w:lang w:val="da-DK"/>
        </w:rPr>
        <w:t>60</w:t>
      </w:r>
      <w:r w:rsidR="00F45CC9" w:rsidRPr="00AA499E">
        <w:rPr>
          <w:rFonts w:ascii="Times New Roman" w:hAnsi="Times New Roman"/>
          <w:highlight w:val="lightGray"/>
          <w:lang w:val="da-DK"/>
        </w:rPr>
        <w:t xml:space="preserve"> filmovertrukne</w:t>
      </w:r>
      <w:r w:rsidRPr="00AA499E">
        <w:rPr>
          <w:rFonts w:ascii="Times New Roman" w:hAnsi="Times New Roman"/>
          <w:highlight w:val="lightGray"/>
          <w:lang w:val="da-DK"/>
        </w:rPr>
        <w:t xml:space="preserve"> tabletter</w:t>
      </w:r>
    </w:p>
    <w:p w14:paraId="26B16AC9" w14:textId="77777777" w:rsidR="00B94682" w:rsidRPr="00AA499E" w:rsidRDefault="00B94682" w:rsidP="00B94682">
      <w:pPr>
        <w:pStyle w:val="KeinLeerraum"/>
        <w:rPr>
          <w:rFonts w:ascii="Times New Roman" w:hAnsi="Times New Roman"/>
          <w:lang w:val="da-DK"/>
        </w:rPr>
      </w:pPr>
      <w:r w:rsidRPr="00AA499E">
        <w:rPr>
          <w:rFonts w:ascii="Times New Roman" w:hAnsi="Times New Roman"/>
          <w:highlight w:val="lightGray"/>
          <w:lang w:val="da-DK"/>
        </w:rPr>
        <w:t xml:space="preserve">90 </w:t>
      </w:r>
      <w:r w:rsidR="00F45CC9" w:rsidRPr="00AA499E">
        <w:rPr>
          <w:rFonts w:ascii="Times New Roman" w:hAnsi="Times New Roman"/>
          <w:highlight w:val="lightGray"/>
          <w:lang w:val="da-DK"/>
        </w:rPr>
        <w:t xml:space="preserve">filmovertrukne </w:t>
      </w:r>
      <w:r w:rsidRPr="00AA499E">
        <w:rPr>
          <w:rFonts w:ascii="Times New Roman" w:hAnsi="Times New Roman"/>
          <w:highlight w:val="lightGray"/>
          <w:lang w:val="da-DK"/>
        </w:rPr>
        <w:t>tabletter</w:t>
      </w:r>
    </w:p>
    <w:p w14:paraId="7F5A6BD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4AE93575"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02A89917" w14:textId="77777777" w:rsidTr="00B94682">
        <w:tc>
          <w:tcPr>
            <w:tcW w:w="9546" w:type="dxa"/>
          </w:tcPr>
          <w:p w14:paraId="6FB4B59F"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ANVENDELSESMÅDE OG ADMINISTRATIONSVEJ(E)</w:t>
            </w:r>
          </w:p>
        </w:tc>
      </w:tr>
    </w:tbl>
    <w:p w14:paraId="1905B271"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A9B5D8B"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Oral anvendelse.</w:t>
      </w:r>
    </w:p>
    <w:p w14:paraId="0560425D"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Læs indlægssedlen inden brug.</w:t>
      </w:r>
    </w:p>
    <w:p w14:paraId="58DEAB59"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1604CB2"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2BA68C1B" w14:textId="77777777" w:rsidTr="00B94682">
        <w:tc>
          <w:tcPr>
            <w:tcW w:w="9546" w:type="dxa"/>
          </w:tcPr>
          <w:p w14:paraId="166B40ED" w14:textId="77777777" w:rsidR="00B94682" w:rsidRPr="00AA499E" w:rsidRDefault="00B94682" w:rsidP="00B94682">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SÆRLIG ADVARSEL OM, AT LÆGEMIDLET SKAL OPBEVARES UTILGÆNGELIGT FOR BØRN</w:t>
            </w:r>
          </w:p>
        </w:tc>
      </w:tr>
    </w:tbl>
    <w:p w14:paraId="2F59B0A4"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EDA4C56"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utilgængeligt for børn.</w:t>
      </w:r>
    </w:p>
    <w:p w14:paraId="37AF4108"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95E95D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2FD0CFEC" w14:textId="77777777" w:rsidTr="00B94682">
        <w:tc>
          <w:tcPr>
            <w:tcW w:w="9546" w:type="dxa"/>
          </w:tcPr>
          <w:p w14:paraId="1CA63876" w14:textId="77777777" w:rsidR="00B94682" w:rsidRPr="00AA499E" w:rsidRDefault="00B94682"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7.</w:t>
            </w:r>
            <w:r w:rsidRPr="00AA499E">
              <w:rPr>
                <w:rFonts w:ascii="Times New Roman" w:hAnsi="Times New Roman"/>
                <w:b/>
                <w:bCs/>
                <w:lang w:val="da-DK"/>
              </w:rPr>
              <w:tab/>
              <w:t>EVENTUELLE ANDRE SÆRLIGE ADVARSLER</w:t>
            </w:r>
          </w:p>
        </w:tc>
      </w:tr>
    </w:tbl>
    <w:p w14:paraId="78C56E64" w14:textId="77777777" w:rsidR="00B94682" w:rsidRPr="00AA499E" w:rsidRDefault="00B94682" w:rsidP="00A50D16">
      <w:pPr>
        <w:keepNext/>
        <w:autoSpaceDE w:val="0"/>
        <w:autoSpaceDN w:val="0"/>
        <w:adjustRightInd w:val="0"/>
        <w:spacing w:after="0" w:line="240" w:lineRule="auto"/>
        <w:rPr>
          <w:rFonts w:ascii="Times New Roman" w:hAnsi="Times New Roman"/>
          <w:lang w:val="da-DK"/>
        </w:rPr>
      </w:pPr>
    </w:p>
    <w:p w14:paraId="4928F47A"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Anvendes som foreskrevet af lægen.</w:t>
      </w:r>
    </w:p>
    <w:p w14:paraId="4337D9CA"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0AB02A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58F93786" w14:textId="77777777" w:rsidTr="00B94682">
        <w:tc>
          <w:tcPr>
            <w:tcW w:w="9546" w:type="dxa"/>
          </w:tcPr>
          <w:p w14:paraId="4B92C76B" w14:textId="77777777" w:rsidR="00B94682" w:rsidRPr="00AA499E" w:rsidRDefault="00B94682"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lastRenderedPageBreak/>
              <w:t>8.</w:t>
            </w:r>
            <w:r w:rsidRPr="00AA499E">
              <w:rPr>
                <w:rFonts w:ascii="Times New Roman" w:hAnsi="Times New Roman"/>
                <w:b/>
                <w:bCs/>
                <w:lang w:val="da-DK"/>
              </w:rPr>
              <w:tab/>
              <w:t>UDLØBSDATO</w:t>
            </w:r>
          </w:p>
        </w:tc>
      </w:tr>
    </w:tbl>
    <w:p w14:paraId="6BD3FFD8" w14:textId="77777777" w:rsidR="00B94682" w:rsidRPr="00AA499E" w:rsidRDefault="00B94682" w:rsidP="00A50D16">
      <w:pPr>
        <w:keepNext/>
        <w:autoSpaceDE w:val="0"/>
        <w:autoSpaceDN w:val="0"/>
        <w:adjustRightInd w:val="0"/>
        <w:spacing w:after="0" w:line="240" w:lineRule="auto"/>
        <w:rPr>
          <w:rFonts w:ascii="Times New Roman" w:hAnsi="Times New Roman"/>
          <w:lang w:val="da-DK"/>
        </w:rPr>
      </w:pPr>
    </w:p>
    <w:p w14:paraId="3F0AFE73"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23D05AB8"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B350FA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1478B342" w14:textId="77777777" w:rsidTr="00B94682">
        <w:tc>
          <w:tcPr>
            <w:tcW w:w="9546" w:type="dxa"/>
          </w:tcPr>
          <w:p w14:paraId="0DA52B3E"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9.</w:t>
            </w:r>
            <w:r w:rsidRPr="00AA499E">
              <w:rPr>
                <w:rFonts w:ascii="Times New Roman" w:hAnsi="Times New Roman"/>
                <w:b/>
                <w:bCs/>
                <w:lang w:val="da-DK"/>
              </w:rPr>
              <w:tab/>
              <w:t>SÆRLIGE OPBEVARINGSBETINGELSER</w:t>
            </w:r>
          </w:p>
        </w:tc>
      </w:tr>
    </w:tbl>
    <w:p w14:paraId="75819442"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721AB68"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Må ikke opbevares ved temperaturer over 30°C.</w:t>
      </w:r>
    </w:p>
    <w:p w14:paraId="31B958F9"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Opbevares i den originale yderpakning for at beskytte mod fugt.</w:t>
      </w:r>
    </w:p>
    <w:p w14:paraId="2E971808"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581C0F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62B95B4E" w14:textId="77777777" w:rsidTr="00B94682">
        <w:tc>
          <w:tcPr>
            <w:tcW w:w="9546" w:type="dxa"/>
          </w:tcPr>
          <w:p w14:paraId="0DD5EB87" w14:textId="77777777" w:rsidR="00B94682" w:rsidRPr="00AA499E" w:rsidRDefault="00B94682" w:rsidP="00B94682">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10.</w:t>
            </w:r>
            <w:r w:rsidRPr="00AA499E">
              <w:rPr>
                <w:rFonts w:ascii="Times New Roman" w:hAnsi="Times New Roman"/>
                <w:b/>
                <w:bCs/>
                <w:lang w:val="da-DK"/>
              </w:rPr>
              <w:tab/>
              <w:t>EVENTUELLE SÆRLIGE FORHOLDSREGLER VED BORTSKAFFELSE AF IKKE ANVENDT LÆGEMIDDEL SAMT AFFALD HERAF</w:t>
            </w:r>
          </w:p>
        </w:tc>
      </w:tr>
    </w:tbl>
    <w:p w14:paraId="7BF0A13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964B72E"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768AC70B" w14:textId="77777777" w:rsidTr="00B94682">
        <w:tc>
          <w:tcPr>
            <w:tcW w:w="9546" w:type="dxa"/>
          </w:tcPr>
          <w:p w14:paraId="07D44C96"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11.</w:t>
            </w:r>
            <w:r w:rsidRPr="00AA499E">
              <w:rPr>
                <w:rFonts w:ascii="Times New Roman" w:hAnsi="Times New Roman"/>
                <w:b/>
                <w:bCs/>
                <w:lang w:val="da-DK"/>
              </w:rPr>
              <w:tab/>
              <w:t>NAVN OG ADRESSE PÅ INDEHAVEREN AF MARKEDSFØRINGSTILLADELSEN</w:t>
            </w:r>
          </w:p>
        </w:tc>
      </w:tr>
    </w:tbl>
    <w:p w14:paraId="4502E5C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1B3716EF"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2B779569" w14:textId="77777777" w:rsidR="00B94682" w:rsidRPr="00AA499E" w:rsidRDefault="00CE7A7F"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220 </w:t>
      </w:r>
      <w:r w:rsidR="00B94682" w:rsidRPr="00AA499E">
        <w:rPr>
          <w:rFonts w:ascii="Times New Roman" w:hAnsi="Times New Roman"/>
          <w:lang w:val="da-DK"/>
        </w:rPr>
        <w:t>Hafnarfjörður</w:t>
      </w:r>
    </w:p>
    <w:p w14:paraId="25AB94AB"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42732E73"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57C9D2CF"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19E2C76F" w14:textId="77777777" w:rsidTr="00B94682">
        <w:tc>
          <w:tcPr>
            <w:tcW w:w="9546" w:type="dxa"/>
          </w:tcPr>
          <w:p w14:paraId="74A931A7"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12.</w:t>
            </w:r>
            <w:r w:rsidRPr="00AA499E">
              <w:rPr>
                <w:rFonts w:ascii="Times New Roman" w:hAnsi="Times New Roman"/>
                <w:b/>
                <w:bCs/>
                <w:lang w:val="da-DK"/>
              </w:rPr>
              <w:tab/>
              <w:t>MARKEDSFØRINGSTILLADELSESNUMMER (NUMRE)</w:t>
            </w:r>
          </w:p>
        </w:tc>
      </w:tr>
    </w:tbl>
    <w:p w14:paraId="2C09B93A"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C13BFFD" w14:textId="77777777" w:rsidR="00F635EC" w:rsidRPr="00AA499E" w:rsidRDefault="00F665D3"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lang w:val="da-DK"/>
        </w:rPr>
        <w:t xml:space="preserve">EU/1/13/825/015 </w:t>
      </w:r>
      <w:r w:rsidRPr="00AA499E">
        <w:rPr>
          <w:rFonts w:ascii="Times New Roman" w:hAnsi="Times New Roman"/>
          <w:highlight w:val="lightGray"/>
          <w:lang w:val="da-DK"/>
        </w:rPr>
        <w:t>10  tabletter</w:t>
      </w:r>
    </w:p>
    <w:p w14:paraId="6CB8FF2F" w14:textId="77777777" w:rsidR="00F635EC" w:rsidRPr="00AA499E" w:rsidRDefault="00F665D3"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EU/1/13/825/016 30  tabletter</w:t>
      </w:r>
    </w:p>
    <w:p w14:paraId="1022A9B6" w14:textId="77777777" w:rsidR="00F635EC" w:rsidRPr="00AA499E" w:rsidRDefault="00F665D3" w:rsidP="00F635EC">
      <w:pPr>
        <w:autoSpaceDE w:val="0"/>
        <w:autoSpaceDN w:val="0"/>
        <w:adjustRightInd w:val="0"/>
        <w:spacing w:after="0" w:line="240" w:lineRule="auto"/>
        <w:rPr>
          <w:rFonts w:ascii="Times New Roman" w:hAnsi="Times New Roman"/>
          <w:highlight w:val="lightGray"/>
          <w:lang w:val="da-DK"/>
        </w:rPr>
      </w:pPr>
      <w:r w:rsidRPr="00AA499E">
        <w:rPr>
          <w:rFonts w:ascii="Times New Roman" w:hAnsi="Times New Roman"/>
          <w:highlight w:val="lightGray"/>
          <w:lang w:val="da-DK"/>
        </w:rPr>
        <w:t>EU/1/13/825/017 60  tabletter</w:t>
      </w:r>
    </w:p>
    <w:p w14:paraId="1CD55382" w14:textId="77777777" w:rsidR="00B94682" w:rsidRPr="00AA499E" w:rsidRDefault="00F635EC" w:rsidP="00F635EC">
      <w:pPr>
        <w:autoSpaceDE w:val="0"/>
        <w:autoSpaceDN w:val="0"/>
        <w:adjustRightInd w:val="0"/>
        <w:spacing w:after="0" w:line="240" w:lineRule="auto"/>
        <w:rPr>
          <w:rFonts w:ascii="Times New Roman" w:hAnsi="Times New Roman"/>
          <w:lang w:val="da-DK"/>
        </w:rPr>
      </w:pPr>
      <w:r w:rsidRPr="00AA499E">
        <w:rPr>
          <w:rFonts w:ascii="Times New Roman" w:hAnsi="Times New Roman"/>
          <w:highlight w:val="lightGray"/>
          <w:lang w:val="da-DK"/>
        </w:rPr>
        <w:t>EU/1/13/825/018 90  tablet</w:t>
      </w:r>
      <w:r w:rsidR="00F665D3" w:rsidRPr="00AA499E">
        <w:rPr>
          <w:rFonts w:ascii="Times New Roman" w:hAnsi="Times New Roman"/>
          <w:highlight w:val="lightGray"/>
          <w:lang w:val="da-DK"/>
        </w:rPr>
        <w:t>ter</w:t>
      </w:r>
    </w:p>
    <w:p w14:paraId="3EF15208"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4AE4D266"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0D992E2F" w14:textId="77777777" w:rsidTr="00B94682">
        <w:tc>
          <w:tcPr>
            <w:tcW w:w="9546" w:type="dxa"/>
          </w:tcPr>
          <w:p w14:paraId="4768768F" w14:textId="04AD344C"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13.</w:t>
            </w:r>
            <w:r w:rsidRPr="00AA499E">
              <w:rPr>
                <w:rFonts w:ascii="Times New Roman" w:hAnsi="Times New Roman"/>
                <w:b/>
                <w:bCs/>
                <w:lang w:val="da-DK"/>
              </w:rPr>
              <w:tab/>
              <w:t>BATCHNUMMER</w:t>
            </w:r>
          </w:p>
        </w:tc>
      </w:tr>
    </w:tbl>
    <w:p w14:paraId="488D7992"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67DAE3A"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4E91DF41"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4D2EA7F0"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6181EA45" w14:textId="77777777" w:rsidTr="00B94682">
        <w:tc>
          <w:tcPr>
            <w:tcW w:w="9546" w:type="dxa"/>
          </w:tcPr>
          <w:p w14:paraId="11ED8E89"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14.</w:t>
            </w:r>
            <w:r w:rsidRPr="00AA499E">
              <w:rPr>
                <w:rFonts w:ascii="Times New Roman" w:hAnsi="Times New Roman"/>
                <w:b/>
                <w:bCs/>
                <w:lang w:val="da-DK"/>
              </w:rPr>
              <w:tab/>
              <w:t>GENEREL KLASSIFIKATION FOR UDLEVERING</w:t>
            </w:r>
          </w:p>
        </w:tc>
      </w:tr>
    </w:tbl>
    <w:p w14:paraId="5005445D"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51C81D1"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4BB97987" w14:textId="77777777" w:rsidTr="00B94682">
        <w:tc>
          <w:tcPr>
            <w:tcW w:w="9546" w:type="dxa"/>
          </w:tcPr>
          <w:p w14:paraId="61AD2D8E" w14:textId="77777777" w:rsidR="00B94682" w:rsidRPr="00AA499E" w:rsidRDefault="00B94682" w:rsidP="00B94682">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15.</w:t>
            </w:r>
            <w:r w:rsidRPr="00AA499E">
              <w:rPr>
                <w:rFonts w:ascii="Times New Roman" w:hAnsi="Times New Roman"/>
                <w:b/>
                <w:bCs/>
                <w:lang w:val="da-DK"/>
              </w:rPr>
              <w:tab/>
              <w:t>INSTRUKTIONER VEDRØRENDE ANVENDELSEN</w:t>
            </w:r>
          </w:p>
        </w:tc>
      </w:tr>
    </w:tbl>
    <w:p w14:paraId="2577FAD3"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06DE2EC6" w14:textId="77777777" w:rsidR="00B94682" w:rsidRPr="00AA499E" w:rsidRDefault="00B94682" w:rsidP="00B94682">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94682" w:rsidRPr="00AA499E" w14:paraId="7F990441" w14:textId="77777777" w:rsidTr="00B94682">
        <w:tc>
          <w:tcPr>
            <w:tcW w:w="9546" w:type="dxa"/>
          </w:tcPr>
          <w:p w14:paraId="14B5054C" w14:textId="77777777" w:rsidR="00B94682" w:rsidRPr="00AA499E" w:rsidRDefault="00B94682" w:rsidP="00B94682">
            <w:pPr>
              <w:keepNext/>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16.</w:t>
            </w:r>
            <w:r w:rsidRPr="00AA499E">
              <w:rPr>
                <w:rFonts w:ascii="Times New Roman" w:hAnsi="Times New Roman"/>
                <w:b/>
                <w:bCs/>
                <w:lang w:val="da-DK"/>
              </w:rPr>
              <w:tab/>
              <w:t>INFORMATION I BRAILLE-SKRIFT</w:t>
            </w:r>
          </w:p>
        </w:tc>
      </w:tr>
    </w:tbl>
    <w:p w14:paraId="2C45350A" w14:textId="77777777" w:rsidR="00B94682" w:rsidRPr="00AA499E" w:rsidRDefault="00B94682" w:rsidP="00B94682">
      <w:pPr>
        <w:autoSpaceDE w:val="0"/>
        <w:autoSpaceDN w:val="0"/>
        <w:adjustRightInd w:val="0"/>
        <w:spacing w:after="0" w:line="240" w:lineRule="auto"/>
        <w:rPr>
          <w:rFonts w:ascii="Times New Roman" w:hAnsi="Times New Roman"/>
          <w:lang w:val="da-DK"/>
        </w:rPr>
      </w:pPr>
    </w:p>
    <w:p w14:paraId="76108B2F" w14:textId="77777777" w:rsidR="00B94682" w:rsidRPr="00AA499E" w:rsidRDefault="00B94682" w:rsidP="00B94682">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w:t>
      </w:r>
    </w:p>
    <w:p w14:paraId="73B88002" w14:textId="77777777" w:rsidR="00B94682" w:rsidRPr="00AA499E" w:rsidRDefault="00B94682" w:rsidP="00B94682">
      <w:pPr>
        <w:keepNext/>
        <w:autoSpaceDE w:val="0"/>
        <w:autoSpaceDN w:val="0"/>
        <w:adjustRightInd w:val="0"/>
        <w:spacing w:after="0" w:line="240" w:lineRule="auto"/>
        <w:rPr>
          <w:rFonts w:ascii="Times New Roman" w:hAnsi="Times New Roman"/>
          <w:lang w:val="da-DK"/>
        </w:rPr>
      </w:pPr>
    </w:p>
    <w:p w14:paraId="0813C956" w14:textId="77777777" w:rsidR="001B065F" w:rsidRPr="00AA499E" w:rsidRDefault="001B065F" w:rsidP="001B065F">
      <w:pPr>
        <w:spacing w:after="0" w:line="240" w:lineRule="auto"/>
        <w:ind w:left="567" w:hanging="567"/>
        <w:rPr>
          <w:rFonts w:ascii="Times New Roman" w:eastAsia="Times New Roman" w:hAnsi="Times New Roman"/>
          <w:szCs w:val="20"/>
          <w:lang w:val="da-DK"/>
        </w:rPr>
      </w:pPr>
    </w:p>
    <w:p w14:paraId="7A1F9E6A" w14:textId="77777777" w:rsidR="001B065F" w:rsidRPr="00AA499E" w:rsidRDefault="001B065F" w:rsidP="00A50D16">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t>17</w:t>
      </w:r>
      <w:r w:rsidRPr="00AA499E">
        <w:rPr>
          <w:rFonts w:ascii="Times New Roman" w:eastAsia="Times New Roman" w:hAnsi="Times New Roman"/>
          <w:b/>
          <w:noProof/>
          <w:lang w:val="da-DK"/>
        </w:rPr>
        <w:tab/>
        <w:t>ENTYDIG IDENTIFIKATOR – 2D-STREGKODE</w:t>
      </w:r>
    </w:p>
    <w:p w14:paraId="2A0D2EDD" w14:textId="77777777" w:rsidR="001B065F" w:rsidRPr="00AA499E" w:rsidRDefault="001B065F" w:rsidP="00A50D16">
      <w:pPr>
        <w:keepNext/>
        <w:tabs>
          <w:tab w:val="left" w:pos="720"/>
        </w:tabs>
        <w:spacing w:after="0" w:line="240" w:lineRule="auto"/>
        <w:rPr>
          <w:rFonts w:ascii="Times New Roman" w:eastAsia="Times New Roman" w:hAnsi="Times New Roman"/>
          <w:noProof/>
          <w:lang w:val="da-DK"/>
        </w:rPr>
      </w:pPr>
    </w:p>
    <w:p w14:paraId="56CB8C8E" w14:textId="77777777" w:rsidR="001B065F" w:rsidRPr="00AA499E" w:rsidRDefault="007C29DA" w:rsidP="001B065F">
      <w:pPr>
        <w:tabs>
          <w:tab w:val="left" w:pos="720"/>
        </w:tabs>
        <w:spacing w:after="0" w:line="240" w:lineRule="auto"/>
        <w:rPr>
          <w:rFonts w:ascii="Times New Roman" w:eastAsia="Times New Roman" w:hAnsi="Times New Roman"/>
          <w:noProof/>
          <w:lang w:val="da-DK"/>
        </w:rPr>
      </w:pPr>
      <w:r w:rsidRPr="00AA499E">
        <w:rPr>
          <w:rFonts w:ascii="Times New Roman" w:eastAsia="Times New Roman" w:hAnsi="Times New Roman"/>
          <w:noProof/>
          <w:highlight w:val="lightGray"/>
          <w:lang w:val="da-DK"/>
        </w:rPr>
        <w:t>&lt;2D barcode carrying the unique identifier included.&gt;</w:t>
      </w:r>
    </w:p>
    <w:p w14:paraId="59DC0D3C"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p>
    <w:p w14:paraId="69F494FB" w14:textId="77777777" w:rsidR="007C29DA" w:rsidRPr="00AA499E" w:rsidRDefault="007C29DA" w:rsidP="001B065F">
      <w:pPr>
        <w:tabs>
          <w:tab w:val="left" w:pos="720"/>
        </w:tabs>
        <w:spacing w:after="0" w:line="240" w:lineRule="auto"/>
        <w:rPr>
          <w:rFonts w:ascii="Times New Roman" w:eastAsia="Times New Roman" w:hAnsi="Times New Roman"/>
          <w:noProof/>
          <w:lang w:val="da-DK"/>
        </w:rPr>
      </w:pPr>
    </w:p>
    <w:p w14:paraId="67044762" w14:textId="77777777" w:rsidR="001B065F" w:rsidRPr="00AA499E" w:rsidRDefault="001B065F" w:rsidP="00A50D16">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da-DK"/>
        </w:rPr>
      </w:pPr>
      <w:r w:rsidRPr="00AA499E">
        <w:rPr>
          <w:rFonts w:ascii="Times New Roman" w:eastAsia="Times New Roman" w:hAnsi="Times New Roman"/>
          <w:b/>
          <w:noProof/>
          <w:lang w:val="da-DK"/>
        </w:rPr>
        <w:t>18.</w:t>
      </w:r>
      <w:r w:rsidRPr="00AA499E">
        <w:rPr>
          <w:rFonts w:ascii="Times New Roman" w:eastAsia="Times New Roman" w:hAnsi="Times New Roman"/>
          <w:b/>
          <w:noProof/>
          <w:lang w:val="da-DK"/>
        </w:rPr>
        <w:tab/>
        <w:t>ENTYDIG IDENTIFIKATOR - MENNESKELIGT LÆSBARE DATA</w:t>
      </w:r>
    </w:p>
    <w:p w14:paraId="2A337184" w14:textId="77777777" w:rsidR="00B94682" w:rsidRPr="00AA499E" w:rsidRDefault="00B94682" w:rsidP="00A50D16">
      <w:pPr>
        <w:keepNext/>
        <w:autoSpaceDE w:val="0"/>
        <w:autoSpaceDN w:val="0"/>
        <w:adjustRightInd w:val="0"/>
        <w:spacing w:after="0" w:line="240" w:lineRule="auto"/>
        <w:rPr>
          <w:rFonts w:ascii="Times New Roman" w:hAnsi="Times New Roman"/>
          <w:lang w:val="da-DK"/>
        </w:rPr>
      </w:pPr>
    </w:p>
    <w:p w14:paraId="1296928C" w14:textId="03BBF9F7" w:rsidR="007C29DA" w:rsidRPr="00AA499E" w:rsidRDefault="007C29DA"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PC {nummer} </w:t>
      </w:r>
    </w:p>
    <w:p w14:paraId="3580C42D" w14:textId="5D712E9A" w:rsidR="007C29DA" w:rsidRPr="00AA499E" w:rsidRDefault="007C29DA" w:rsidP="00A50D16">
      <w:pPr>
        <w:keepNext/>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SN {nummer} </w:t>
      </w:r>
    </w:p>
    <w:p w14:paraId="27F2B87B" w14:textId="5A15BAC9" w:rsidR="006478AD" w:rsidRPr="00AA499E" w:rsidRDefault="007C29DA" w:rsidP="007C29D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NN {nummer}</w:t>
      </w:r>
      <w:r w:rsidR="00616F3C"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3C770FEA" w14:textId="77777777">
        <w:tc>
          <w:tcPr>
            <w:tcW w:w="9546" w:type="dxa"/>
          </w:tcPr>
          <w:p w14:paraId="259C212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MINDSTEKRAV TIL MÆRKNING PÅ BLISTER ELLER STRIP</w:t>
            </w:r>
          </w:p>
          <w:p w14:paraId="71AF8550" w14:textId="77777777" w:rsidR="006478AD" w:rsidRPr="00AA499E" w:rsidRDefault="006478AD">
            <w:pPr>
              <w:autoSpaceDE w:val="0"/>
              <w:autoSpaceDN w:val="0"/>
              <w:adjustRightInd w:val="0"/>
              <w:spacing w:after="0" w:line="240" w:lineRule="auto"/>
              <w:rPr>
                <w:rFonts w:ascii="Times New Roman" w:hAnsi="Times New Roman"/>
                <w:lang w:val="da-DK"/>
              </w:rPr>
            </w:pPr>
          </w:p>
          <w:p w14:paraId="759A533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BLISTERPAKNINGER</w:t>
            </w:r>
          </w:p>
        </w:tc>
      </w:tr>
    </w:tbl>
    <w:p w14:paraId="3EAA60FF" w14:textId="77777777" w:rsidR="006478AD" w:rsidRPr="00AA499E" w:rsidRDefault="006478AD">
      <w:pPr>
        <w:autoSpaceDE w:val="0"/>
        <w:autoSpaceDN w:val="0"/>
        <w:adjustRightInd w:val="0"/>
        <w:spacing w:after="0" w:line="240" w:lineRule="auto"/>
        <w:rPr>
          <w:rFonts w:ascii="Times New Roman" w:hAnsi="Times New Roman"/>
          <w:lang w:val="da-DK"/>
        </w:rPr>
      </w:pPr>
    </w:p>
    <w:p w14:paraId="2957DA13"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3932C15B" w14:textId="77777777">
        <w:tc>
          <w:tcPr>
            <w:tcW w:w="9546" w:type="dxa"/>
          </w:tcPr>
          <w:p w14:paraId="2A55D0A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6B30915A" w14:textId="77777777" w:rsidR="006478AD" w:rsidRPr="00AA499E" w:rsidRDefault="006478AD">
      <w:pPr>
        <w:autoSpaceDE w:val="0"/>
        <w:autoSpaceDN w:val="0"/>
        <w:adjustRightInd w:val="0"/>
        <w:spacing w:after="0" w:line="240" w:lineRule="auto"/>
        <w:rPr>
          <w:rFonts w:ascii="Times New Roman" w:hAnsi="Times New Roman"/>
          <w:lang w:val="da-DK"/>
        </w:rPr>
      </w:pPr>
    </w:p>
    <w:p w14:paraId="41452CF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100 mg tabletter</w:t>
      </w:r>
    </w:p>
    <w:p w14:paraId="15DB08ED" w14:textId="77777777" w:rsidR="006478AD" w:rsidRPr="00AA499E" w:rsidRDefault="00A16B85">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616F3C" w:rsidRPr="00AA499E">
        <w:rPr>
          <w:rFonts w:ascii="Times New Roman" w:hAnsi="Times New Roman"/>
          <w:lang w:val="da-DK"/>
        </w:rPr>
        <w:t>matinib</w:t>
      </w:r>
    </w:p>
    <w:p w14:paraId="0EF235FB" w14:textId="77777777" w:rsidR="006478AD" w:rsidRPr="00AA499E" w:rsidRDefault="006478AD">
      <w:pPr>
        <w:autoSpaceDE w:val="0"/>
        <w:autoSpaceDN w:val="0"/>
        <w:adjustRightInd w:val="0"/>
        <w:spacing w:after="0" w:line="240" w:lineRule="auto"/>
        <w:rPr>
          <w:rFonts w:ascii="Times New Roman" w:hAnsi="Times New Roman"/>
          <w:lang w:val="da-DK"/>
        </w:rPr>
      </w:pPr>
    </w:p>
    <w:p w14:paraId="7D0D9567"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DDD5E1A" w14:textId="77777777">
        <w:tc>
          <w:tcPr>
            <w:tcW w:w="9546" w:type="dxa"/>
          </w:tcPr>
          <w:p w14:paraId="0D298B9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NAVN PÅ INDEHAVEREN AF MARKEDSFØRINGSTILLADELSEN</w:t>
            </w:r>
          </w:p>
        </w:tc>
      </w:tr>
    </w:tbl>
    <w:p w14:paraId="006FC60B" w14:textId="77777777" w:rsidR="006478AD" w:rsidRPr="00AA499E" w:rsidRDefault="006478AD">
      <w:pPr>
        <w:autoSpaceDE w:val="0"/>
        <w:autoSpaceDN w:val="0"/>
        <w:adjustRightInd w:val="0"/>
        <w:spacing w:after="0" w:line="240" w:lineRule="auto"/>
        <w:rPr>
          <w:rFonts w:ascii="Times New Roman" w:hAnsi="Times New Roman"/>
          <w:lang w:val="da-DK"/>
        </w:rPr>
      </w:pPr>
    </w:p>
    <w:p w14:paraId="5B0D491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[Actavis-logo]</w:t>
      </w:r>
    </w:p>
    <w:p w14:paraId="27BAFBC9" w14:textId="77777777" w:rsidR="006478AD" w:rsidRPr="00AA499E" w:rsidRDefault="006478AD">
      <w:pPr>
        <w:autoSpaceDE w:val="0"/>
        <w:autoSpaceDN w:val="0"/>
        <w:adjustRightInd w:val="0"/>
        <w:spacing w:after="0" w:line="240" w:lineRule="auto"/>
        <w:rPr>
          <w:rFonts w:ascii="Times New Roman" w:hAnsi="Times New Roman"/>
          <w:lang w:val="da-DK"/>
        </w:rPr>
      </w:pPr>
    </w:p>
    <w:p w14:paraId="4B5A24F0"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4B7522DF" w14:textId="77777777">
        <w:tc>
          <w:tcPr>
            <w:tcW w:w="9546" w:type="dxa"/>
          </w:tcPr>
          <w:p w14:paraId="5C47D9A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UDLØBSDATO</w:t>
            </w:r>
          </w:p>
        </w:tc>
      </w:tr>
    </w:tbl>
    <w:p w14:paraId="67C7AAFD" w14:textId="77777777" w:rsidR="006478AD" w:rsidRPr="00AA499E" w:rsidRDefault="006478AD">
      <w:pPr>
        <w:autoSpaceDE w:val="0"/>
        <w:autoSpaceDN w:val="0"/>
        <w:adjustRightInd w:val="0"/>
        <w:spacing w:after="0" w:line="240" w:lineRule="auto"/>
        <w:rPr>
          <w:rFonts w:ascii="Times New Roman" w:hAnsi="Times New Roman"/>
          <w:lang w:val="da-DK"/>
        </w:rPr>
      </w:pPr>
    </w:p>
    <w:p w14:paraId="71F78DE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410C3A53" w14:textId="77777777" w:rsidR="006478AD" w:rsidRPr="00AA499E" w:rsidRDefault="006478AD">
      <w:pPr>
        <w:autoSpaceDE w:val="0"/>
        <w:autoSpaceDN w:val="0"/>
        <w:adjustRightInd w:val="0"/>
        <w:spacing w:after="0" w:line="240" w:lineRule="auto"/>
        <w:rPr>
          <w:rFonts w:ascii="Times New Roman" w:hAnsi="Times New Roman"/>
          <w:lang w:val="da-DK"/>
        </w:rPr>
      </w:pPr>
    </w:p>
    <w:p w14:paraId="0D2666C9"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1AFADD90" w14:textId="77777777">
        <w:tc>
          <w:tcPr>
            <w:tcW w:w="9546" w:type="dxa"/>
          </w:tcPr>
          <w:p w14:paraId="1541DE53" w14:textId="17D3EBB2"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FREMSTILLERENS BATCHNUMMER</w:t>
            </w:r>
          </w:p>
        </w:tc>
      </w:tr>
    </w:tbl>
    <w:p w14:paraId="251294C3" w14:textId="77777777" w:rsidR="006478AD" w:rsidRPr="00AA499E" w:rsidRDefault="006478AD">
      <w:pPr>
        <w:autoSpaceDE w:val="0"/>
        <w:autoSpaceDN w:val="0"/>
        <w:adjustRightInd w:val="0"/>
        <w:spacing w:after="0" w:line="240" w:lineRule="auto"/>
        <w:rPr>
          <w:rFonts w:ascii="Times New Roman" w:hAnsi="Times New Roman"/>
          <w:lang w:val="da-DK"/>
        </w:rPr>
      </w:pPr>
    </w:p>
    <w:p w14:paraId="54E1C03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739749AD" w14:textId="77777777" w:rsidR="006478AD" w:rsidRPr="00AA499E" w:rsidRDefault="006478AD">
      <w:pPr>
        <w:autoSpaceDE w:val="0"/>
        <w:autoSpaceDN w:val="0"/>
        <w:adjustRightInd w:val="0"/>
        <w:spacing w:after="0" w:line="240" w:lineRule="auto"/>
        <w:rPr>
          <w:rFonts w:ascii="Times New Roman" w:hAnsi="Times New Roman"/>
          <w:lang w:val="da-DK"/>
        </w:rPr>
      </w:pPr>
    </w:p>
    <w:p w14:paraId="0DF27A4C" w14:textId="77777777" w:rsidR="006478AD" w:rsidRPr="00AA499E" w:rsidRDefault="006478AD">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6478AD" w:rsidRPr="00AA499E" w14:paraId="025B11EE" w14:textId="77777777">
        <w:tc>
          <w:tcPr>
            <w:tcW w:w="9546" w:type="dxa"/>
          </w:tcPr>
          <w:p w14:paraId="2A4A603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ANDET</w:t>
            </w:r>
          </w:p>
        </w:tc>
      </w:tr>
    </w:tbl>
    <w:p w14:paraId="7ACB7E0C" w14:textId="77777777" w:rsidR="006478AD" w:rsidRPr="00AA499E" w:rsidRDefault="006478AD">
      <w:pPr>
        <w:autoSpaceDE w:val="0"/>
        <w:autoSpaceDN w:val="0"/>
        <w:adjustRightInd w:val="0"/>
        <w:spacing w:after="0" w:line="240" w:lineRule="auto"/>
        <w:rPr>
          <w:rFonts w:ascii="Times New Roman" w:hAnsi="Times New Roman"/>
          <w:lang w:val="da-DK"/>
        </w:rPr>
      </w:pPr>
    </w:p>
    <w:p w14:paraId="6BAF811A" w14:textId="77777777" w:rsidR="006478AD" w:rsidRPr="00AA499E" w:rsidRDefault="006478AD">
      <w:pPr>
        <w:autoSpaceDE w:val="0"/>
        <w:autoSpaceDN w:val="0"/>
        <w:adjustRightInd w:val="0"/>
        <w:spacing w:after="0" w:line="240" w:lineRule="auto"/>
        <w:rPr>
          <w:rFonts w:ascii="Times New Roman" w:hAnsi="Times New Roman"/>
          <w:lang w:val="da-DK"/>
        </w:rPr>
      </w:pPr>
    </w:p>
    <w:p w14:paraId="46F8C532"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847287" w:rsidRPr="00AA499E" w14:paraId="4424ECF8" w14:textId="77777777" w:rsidTr="00CD2DAD">
        <w:tc>
          <w:tcPr>
            <w:tcW w:w="9546" w:type="dxa"/>
          </w:tcPr>
          <w:p w14:paraId="50B1E7A7" w14:textId="77777777" w:rsidR="00847287" w:rsidRPr="00AA499E" w:rsidRDefault="00847287" w:rsidP="00CD2DA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MINDSTEKRAV TIL MÆRKNING PÅ BLISTER ELLER STRIP</w:t>
            </w:r>
          </w:p>
          <w:p w14:paraId="5410DF5D" w14:textId="77777777" w:rsidR="00847287" w:rsidRPr="00AA499E" w:rsidRDefault="00847287" w:rsidP="00CD2DAD">
            <w:pPr>
              <w:autoSpaceDE w:val="0"/>
              <w:autoSpaceDN w:val="0"/>
              <w:adjustRightInd w:val="0"/>
              <w:spacing w:after="0" w:line="240" w:lineRule="auto"/>
              <w:rPr>
                <w:rFonts w:ascii="Times New Roman" w:hAnsi="Times New Roman"/>
                <w:lang w:val="da-DK"/>
              </w:rPr>
            </w:pPr>
          </w:p>
          <w:p w14:paraId="2655C9A1" w14:textId="77777777" w:rsidR="00847287" w:rsidRPr="00AA499E" w:rsidRDefault="00847287" w:rsidP="00CD2DA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BLISTERPAKNINGER</w:t>
            </w:r>
          </w:p>
        </w:tc>
      </w:tr>
    </w:tbl>
    <w:p w14:paraId="57A3CADF"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41AAB29D" w14:textId="77777777" w:rsidR="00847287" w:rsidRPr="00AA499E" w:rsidRDefault="00847287" w:rsidP="00847287">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847287" w:rsidRPr="00AA499E" w14:paraId="41D570DF" w14:textId="77777777" w:rsidTr="00CD2DAD">
        <w:tc>
          <w:tcPr>
            <w:tcW w:w="9546" w:type="dxa"/>
          </w:tcPr>
          <w:p w14:paraId="4C931690" w14:textId="77777777" w:rsidR="00847287" w:rsidRPr="00AA499E" w:rsidRDefault="00847287" w:rsidP="00CD2DA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LÆGEMIDLETS NAVN</w:t>
            </w:r>
          </w:p>
        </w:tc>
      </w:tr>
    </w:tbl>
    <w:p w14:paraId="3457FDB1"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EAC519C"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400 mg tabletter</w:t>
      </w:r>
    </w:p>
    <w:p w14:paraId="23C38D23" w14:textId="77777777" w:rsidR="00847287" w:rsidRPr="00AA499E" w:rsidRDefault="00A16B85"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w:t>
      </w:r>
      <w:r w:rsidR="00847287" w:rsidRPr="00AA499E">
        <w:rPr>
          <w:rFonts w:ascii="Times New Roman" w:hAnsi="Times New Roman"/>
          <w:lang w:val="da-DK"/>
        </w:rPr>
        <w:t>matinib</w:t>
      </w:r>
    </w:p>
    <w:p w14:paraId="200A4BC9"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460A3037" w14:textId="77777777" w:rsidR="00847287" w:rsidRPr="00AA499E" w:rsidRDefault="00847287" w:rsidP="00847287">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847287" w:rsidRPr="00AA499E" w14:paraId="682DA3C2" w14:textId="77777777" w:rsidTr="00CD2DAD">
        <w:tc>
          <w:tcPr>
            <w:tcW w:w="9546" w:type="dxa"/>
          </w:tcPr>
          <w:p w14:paraId="0FE891CA" w14:textId="77777777" w:rsidR="00847287" w:rsidRPr="00AA499E" w:rsidRDefault="00847287" w:rsidP="00CD2DA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2.</w:t>
            </w:r>
            <w:r w:rsidRPr="00AA499E">
              <w:rPr>
                <w:rFonts w:ascii="Times New Roman" w:hAnsi="Times New Roman"/>
                <w:b/>
                <w:bCs/>
                <w:lang w:val="da-DK"/>
              </w:rPr>
              <w:tab/>
              <w:t>NAVN PÅ INDEHAVEREN AF MARKEDSFØRINGSTILLADELSEN</w:t>
            </w:r>
          </w:p>
        </w:tc>
      </w:tr>
    </w:tbl>
    <w:p w14:paraId="39F03E37"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508F9DAB"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[Actavis-logo]</w:t>
      </w:r>
    </w:p>
    <w:p w14:paraId="30A09339"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1B3CACFA" w14:textId="77777777" w:rsidR="00847287" w:rsidRPr="00AA499E" w:rsidRDefault="00847287" w:rsidP="00847287">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847287" w:rsidRPr="00AA499E" w14:paraId="7411F667" w14:textId="77777777" w:rsidTr="00CD2DAD">
        <w:tc>
          <w:tcPr>
            <w:tcW w:w="9546" w:type="dxa"/>
          </w:tcPr>
          <w:p w14:paraId="01C4C04D" w14:textId="77777777" w:rsidR="00847287" w:rsidRPr="00AA499E" w:rsidRDefault="00847287" w:rsidP="00CD2DA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3.</w:t>
            </w:r>
            <w:r w:rsidRPr="00AA499E">
              <w:rPr>
                <w:rFonts w:ascii="Times New Roman" w:hAnsi="Times New Roman"/>
                <w:b/>
                <w:bCs/>
                <w:lang w:val="da-DK"/>
              </w:rPr>
              <w:tab/>
              <w:t>UDLØBSDATO</w:t>
            </w:r>
          </w:p>
        </w:tc>
      </w:tr>
    </w:tbl>
    <w:p w14:paraId="7026C29B"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1A04A886"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EXP</w:t>
      </w:r>
    </w:p>
    <w:p w14:paraId="3FC1EC07"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D88B019" w14:textId="77777777" w:rsidR="00847287" w:rsidRPr="00AA499E" w:rsidRDefault="00847287" w:rsidP="00847287">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847287" w:rsidRPr="00AA499E" w14:paraId="3B7217D0" w14:textId="77777777" w:rsidTr="00CD2DAD">
        <w:tc>
          <w:tcPr>
            <w:tcW w:w="9546" w:type="dxa"/>
          </w:tcPr>
          <w:p w14:paraId="4FD8639B" w14:textId="77777777" w:rsidR="00847287" w:rsidRPr="00AA499E" w:rsidRDefault="00847287" w:rsidP="00CD2DA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4.</w:t>
            </w:r>
            <w:r w:rsidRPr="00AA499E">
              <w:rPr>
                <w:rFonts w:ascii="Times New Roman" w:hAnsi="Times New Roman"/>
                <w:b/>
                <w:bCs/>
                <w:lang w:val="da-DK"/>
              </w:rPr>
              <w:tab/>
              <w:t>FREMSTILLERENS BATCHNUMMER</w:t>
            </w:r>
          </w:p>
        </w:tc>
      </w:tr>
    </w:tbl>
    <w:p w14:paraId="23084C9F"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1070433C"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Lot</w:t>
      </w:r>
    </w:p>
    <w:p w14:paraId="3DD0159C"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72D9E014" w14:textId="77777777" w:rsidR="00847287" w:rsidRPr="00AA499E" w:rsidRDefault="00847287" w:rsidP="00847287">
      <w:pPr>
        <w:autoSpaceDE w:val="0"/>
        <w:autoSpaceDN w:val="0"/>
        <w:adjustRightInd w:val="0"/>
        <w:spacing w:after="0" w:line="240" w:lineRule="auto"/>
        <w:rPr>
          <w:rFonts w:ascii="Times New Roman" w:hAnsi="Times New Roman"/>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847287" w:rsidRPr="00AA499E" w14:paraId="7675D922" w14:textId="77777777" w:rsidTr="00CD2DAD">
        <w:tc>
          <w:tcPr>
            <w:tcW w:w="9546" w:type="dxa"/>
          </w:tcPr>
          <w:p w14:paraId="2B765A60" w14:textId="77777777" w:rsidR="00847287" w:rsidRPr="00AA499E" w:rsidRDefault="00847287" w:rsidP="00CD2DA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5.</w:t>
            </w:r>
            <w:r w:rsidRPr="00AA499E">
              <w:rPr>
                <w:rFonts w:ascii="Times New Roman" w:hAnsi="Times New Roman"/>
                <w:b/>
                <w:bCs/>
                <w:lang w:val="da-DK"/>
              </w:rPr>
              <w:tab/>
              <w:t>ANDET</w:t>
            </w:r>
          </w:p>
        </w:tc>
      </w:tr>
    </w:tbl>
    <w:p w14:paraId="2217D966"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7FBF533"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7FA6284" w14:textId="77777777" w:rsidR="006478AD" w:rsidRPr="00AA499E" w:rsidRDefault="00616F3C">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br w:type="page"/>
      </w:r>
    </w:p>
    <w:p w14:paraId="0BA25C9D"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6EC7B3C5"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7E488A5E"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3FF13774"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23E927FF"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42B026B9"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7ACA4CD0"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3DF1BDF3"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7E10ECD0"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6A59EA16"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16763805"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504FCC1E"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20566C7F"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2E8D168F"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75A73E4B"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2C0DB4FD"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24E51D90"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04ABD404"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4EF1417E"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186A66C7"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44F59844"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1CDF367B"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3A39D4FD" w14:textId="77777777" w:rsidR="006478AD" w:rsidRPr="00AA499E" w:rsidRDefault="00616F3C" w:rsidP="00C316BC">
      <w:pPr>
        <w:pStyle w:val="TitleA"/>
      </w:pPr>
      <w:r w:rsidRPr="00AA499E">
        <w:t>B. INDLÆGSSEDDEL</w:t>
      </w:r>
    </w:p>
    <w:p w14:paraId="57ACD29D"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1C18AFAC" w14:textId="77777777" w:rsidR="006478AD" w:rsidRPr="00AA499E" w:rsidRDefault="00616F3C">
      <w:pPr>
        <w:spacing w:before="80" w:after="0" w:line="240" w:lineRule="auto"/>
        <w:ind w:left="2684" w:right="2646"/>
        <w:jc w:val="center"/>
        <w:rPr>
          <w:rFonts w:ascii="Times New Roman" w:eastAsia="Times New Roman" w:hAnsi="Times New Roman"/>
          <w:lang w:val="da-DK"/>
        </w:rPr>
      </w:pPr>
      <w:r w:rsidRPr="00AA499E">
        <w:rPr>
          <w:rFonts w:ascii="Times New Roman" w:hAnsi="Times New Roman"/>
          <w:lang w:val="da-DK"/>
        </w:rPr>
        <w:br w:type="page"/>
      </w:r>
      <w:r w:rsidRPr="00AA499E">
        <w:rPr>
          <w:rFonts w:ascii="Times New Roman" w:eastAsia="Times New Roman" w:hAnsi="Times New Roman"/>
          <w:b/>
          <w:bCs/>
          <w:lang w:val="da-DK"/>
        </w:rPr>
        <w:lastRenderedPageBreak/>
        <w:t>Indlægsseddel: Information til brugeren</w:t>
      </w:r>
    </w:p>
    <w:p w14:paraId="7A181CC4"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0A148FC1" w14:textId="77777777" w:rsidR="006478AD" w:rsidRPr="00AA499E" w:rsidRDefault="00616F3C">
      <w:pPr>
        <w:widowControl w:val="0"/>
        <w:tabs>
          <w:tab w:val="left" w:pos="9356"/>
        </w:tabs>
        <w:autoSpaceDE w:val="0"/>
        <w:autoSpaceDN w:val="0"/>
        <w:adjustRightInd w:val="0"/>
        <w:spacing w:after="0" w:line="240" w:lineRule="auto"/>
        <w:ind w:right="50"/>
        <w:jc w:val="center"/>
        <w:rPr>
          <w:rFonts w:ascii="Times New Roman" w:hAnsi="Times New Roman"/>
          <w:lang w:val="da-DK"/>
        </w:rPr>
      </w:pPr>
      <w:r w:rsidRPr="00AA499E">
        <w:rPr>
          <w:rFonts w:ascii="Times New Roman" w:hAnsi="Times New Roman"/>
          <w:b/>
          <w:bCs/>
          <w:lang w:val="da-DK"/>
        </w:rPr>
        <w:t>Imatinib Actavis 50 mg hårde kapsler</w:t>
      </w:r>
    </w:p>
    <w:p w14:paraId="51DB9F07" w14:textId="77777777" w:rsidR="006478AD" w:rsidRPr="00AA499E" w:rsidRDefault="007C29DA">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i</w:t>
      </w:r>
      <w:r w:rsidR="00616F3C" w:rsidRPr="00AA499E">
        <w:rPr>
          <w:rFonts w:ascii="Times New Roman" w:hAnsi="Times New Roman"/>
          <w:lang w:val="da-DK"/>
        </w:rPr>
        <w:t>matinib</w:t>
      </w:r>
    </w:p>
    <w:p w14:paraId="7170A70E" w14:textId="77777777" w:rsidR="006478AD" w:rsidRPr="00AA499E" w:rsidRDefault="006478AD">
      <w:pPr>
        <w:autoSpaceDE w:val="0"/>
        <w:autoSpaceDN w:val="0"/>
        <w:adjustRightInd w:val="0"/>
        <w:spacing w:after="0" w:line="240" w:lineRule="auto"/>
        <w:rPr>
          <w:rFonts w:ascii="Times New Roman" w:hAnsi="Times New Roman"/>
          <w:lang w:val="da-DK"/>
        </w:rPr>
      </w:pPr>
    </w:p>
    <w:p w14:paraId="09C5CA49" w14:textId="77777777" w:rsidR="006478AD" w:rsidRPr="00AA499E" w:rsidRDefault="006478AD">
      <w:pPr>
        <w:autoSpaceDE w:val="0"/>
        <w:autoSpaceDN w:val="0"/>
        <w:adjustRightInd w:val="0"/>
        <w:spacing w:after="0" w:line="240" w:lineRule="auto"/>
        <w:rPr>
          <w:rFonts w:ascii="Times New Roman" w:hAnsi="Times New Roman"/>
          <w:lang w:val="da-DK"/>
        </w:rPr>
      </w:pPr>
    </w:p>
    <w:p w14:paraId="03EE124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Læs denne indlægsseddel grundigt, inden du begynder at tage dette lægemiddel, </w:t>
      </w:r>
      <w:r w:rsidRPr="00AA499E">
        <w:rPr>
          <w:rFonts w:ascii="Times New Roman" w:hAnsi="Times New Roman"/>
          <w:lang w:val="da-DK"/>
        </w:rPr>
        <w:t xml:space="preserve"> </w:t>
      </w:r>
      <w:r w:rsidRPr="00AA499E">
        <w:rPr>
          <w:rFonts w:ascii="Times New Roman" w:hAnsi="Times New Roman"/>
          <w:b/>
          <w:bCs/>
          <w:lang w:val="da-DK"/>
        </w:rPr>
        <w:t>da den indeholder vigtige oplysninger.</w:t>
      </w:r>
    </w:p>
    <w:p w14:paraId="5F40441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Gem indlægssedlen. Du kan få brug for at læse den igen.</w:t>
      </w:r>
    </w:p>
    <w:p w14:paraId="3F815B28" w14:textId="0EAB9FFE"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Spørg lægen, apotekspersonalet eller </w:t>
      </w:r>
      <w:r w:rsidR="006B0B7E" w:rsidRPr="00AA499E">
        <w:rPr>
          <w:rFonts w:ascii="Times New Roman" w:hAnsi="Times New Roman"/>
          <w:lang w:val="da-DK"/>
        </w:rPr>
        <w:t>sygeplejersken</w:t>
      </w:r>
      <w:r w:rsidRPr="00AA499E">
        <w:rPr>
          <w:rFonts w:ascii="Times New Roman" w:hAnsi="Times New Roman"/>
          <w:lang w:val="da-DK"/>
        </w:rPr>
        <w:t>, hvis der er mere, du vil vide.</w:t>
      </w:r>
    </w:p>
    <w:p w14:paraId="6092F2D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Lægen har ordineret lægemidlet til dig personligt. Lad derfor være med at give </w:t>
      </w:r>
      <w:r w:rsidR="00992498" w:rsidRPr="00AA499E">
        <w:rPr>
          <w:rFonts w:ascii="Times New Roman" w:hAnsi="Times New Roman"/>
          <w:lang w:val="da-DK"/>
        </w:rPr>
        <w:t>medicinen</w:t>
      </w:r>
      <w:r w:rsidRPr="00AA499E">
        <w:rPr>
          <w:rFonts w:ascii="Times New Roman" w:hAnsi="Times New Roman"/>
          <w:lang w:val="da-DK"/>
        </w:rPr>
        <w:t xml:space="preserve"> til andre. Det kan være skadeligt for andre, selvom de har de samme symptomer, som du har.</w:t>
      </w:r>
    </w:p>
    <w:p w14:paraId="007AC567" w14:textId="5FBDA4C6"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Tal med lægen, apotekspersonalet eller </w:t>
      </w:r>
      <w:r w:rsidR="006B0B7E" w:rsidRPr="00AA499E">
        <w:rPr>
          <w:rFonts w:ascii="Times New Roman" w:hAnsi="Times New Roman"/>
          <w:lang w:val="da-DK"/>
        </w:rPr>
        <w:t>sygeplejersken</w:t>
      </w:r>
      <w:r w:rsidRPr="00AA499E">
        <w:rPr>
          <w:rFonts w:ascii="Times New Roman" w:hAnsi="Times New Roman"/>
          <w:lang w:val="da-DK"/>
        </w:rPr>
        <w:t>, hvis du får bivirkninger</w:t>
      </w:r>
      <w:r w:rsidR="009E015C" w:rsidRPr="00AA499E">
        <w:rPr>
          <w:rFonts w:ascii="Times New Roman" w:hAnsi="Times New Roman"/>
          <w:lang w:val="da-DK"/>
        </w:rPr>
        <w:t>, herunder</w:t>
      </w:r>
      <w:r w:rsidRPr="00AA499E">
        <w:rPr>
          <w:rFonts w:ascii="Times New Roman" w:hAnsi="Times New Roman"/>
          <w:lang w:val="da-DK"/>
        </w:rPr>
        <w:t xml:space="preserve"> bivirkninger, som ikke er nævnt </w:t>
      </w:r>
      <w:r w:rsidR="00C52C8F" w:rsidRPr="00AA499E">
        <w:rPr>
          <w:rFonts w:ascii="Times New Roman" w:hAnsi="Times New Roman"/>
          <w:lang w:val="da-DK"/>
        </w:rPr>
        <w:t>i denne indlægsseddel</w:t>
      </w:r>
      <w:r w:rsidRPr="00AA499E">
        <w:rPr>
          <w:rFonts w:ascii="Times New Roman" w:hAnsi="Times New Roman"/>
          <w:lang w:val="da-DK"/>
        </w:rPr>
        <w:t>.</w:t>
      </w:r>
      <w:r w:rsidR="00FD32CC" w:rsidRPr="00AA499E">
        <w:rPr>
          <w:rFonts w:ascii="Times New Roman" w:hAnsi="Times New Roman"/>
          <w:lang w:val="da-DK"/>
        </w:rPr>
        <w:t xml:space="preserve"> Se afsnit 4.</w:t>
      </w:r>
    </w:p>
    <w:p w14:paraId="00F3A2BD" w14:textId="77777777" w:rsidR="006478AD" w:rsidRPr="00AA499E" w:rsidRDefault="006478AD">
      <w:pPr>
        <w:autoSpaceDE w:val="0"/>
        <w:autoSpaceDN w:val="0"/>
        <w:adjustRightInd w:val="0"/>
        <w:spacing w:after="0" w:line="240" w:lineRule="auto"/>
        <w:rPr>
          <w:rFonts w:ascii="Times New Roman" w:hAnsi="Times New Roman"/>
          <w:lang w:val="da-DK"/>
        </w:rPr>
      </w:pPr>
    </w:p>
    <w:p w14:paraId="1DB6E77C" w14:textId="77777777" w:rsidR="009E015C" w:rsidRPr="00AA499E" w:rsidRDefault="009E015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 den nyeste indlægsseddel på www.indlaegsseddel.dk.</w:t>
      </w:r>
    </w:p>
    <w:p w14:paraId="0CDB2F37" w14:textId="77777777" w:rsidR="006478AD" w:rsidRPr="00AA499E" w:rsidRDefault="006478AD">
      <w:pPr>
        <w:autoSpaceDE w:val="0"/>
        <w:autoSpaceDN w:val="0"/>
        <w:adjustRightInd w:val="0"/>
        <w:spacing w:after="0" w:line="240" w:lineRule="auto"/>
        <w:rPr>
          <w:rFonts w:ascii="Times New Roman" w:hAnsi="Times New Roman"/>
          <w:lang w:val="da-DK"/>
        </w:rPr>
      </w:pPr>
    </w:p>
    <w:p w14:paraId="4FAF0DC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Oversigt over indlægssedlen</w:t>
      </w:r>
    </w:p>
    <w:p w14:paraId="09B0AE14" w14:textId="77777777" w:rsidR="006478AD" w:rsidRPr="00AA499E" w:rsidRDefault="006478AD">
      <w:pPr>
        <w:autoSpaceDE w:val="0"/>
        <w:autoSpaceDN w:val="0"/>
        <w:adjustRightInd w:val="0"/>
        <w:spacing w:after="0" w:line="240" w:lineRule="auto"/>
        <w:rPr>
          <w:rFonts w:ascii="Times New Roman" w:hAnsi="Times New Roman"/>
          <w:lang w:val="da-DK"/>
        </w:rPr>
      </w:pPr>
    </w:p>
    <w:p w14:paraId="5A12ED2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Virkning og anvendelse</w:t>
      </w:r>
    </w:p>
    <w:p w14:paraId="23212B11" w14:textId="77777777" w:rsidR="006478AD" w:rsidRPr="00AA499E" w:rsidRDefault="00616F3C">
      <w:pPr>
        <w:tabs>
          <w:tab w:val="left" w:pos="567"/>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Det skal du vide, før du begynder at tage Imatinib Actavis</w:t>
      </w:r>
    </w:p>
    <w:p w14:paraId="4A7DF79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Sådan skal du tage Imatinib Actavis</w:t>
      </w:r>
    </w:p>
    <w:p w14:paraId="5D90B34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Bivirkninger</w:t>
      </w:r>
    </w:p>
    <w:p w14:paraId="133A669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5.</w:t>
      </w:r>
      <w:r w:rsidRPr="00AA499E">
        <w:rPr>
          <w:rFonts w:ascii="Times New Roman" w:hAnsi="Times New Roman"/>
          <w:lang w:val="da-DK"/>
        </w:rPr>
        <w:tab/>
        <w:t>Opbevaring</w:t>
      </w:r>
    </w:p>
    <w:p w14:paraId="427E606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6.</w:t>
      </w:r>
      <w:r w:rsidRPr="00AA499E">
        <w:rPr>
          <w:rFonts w:ascii="Times New Roman" w:hAnsi="Times New Roman"/>
          <w:lang w:val="da-DK"/>
        </w:rPr>
        <w:tab/>
        <w:t>Pakningsstørrelser og yderligere oplysninger</w:t>
      </w:r>
    </w:p>
    <w:p w14:paraId="05446BEB" w14:textId="77777777" w:rsidR="006478AD" w:rsidRPr="00AA499E" w:rsidRDefault="006478AD">
      <w:pPr>
        <w:autoSpaceDE w:val="0"/>
        <w:autoSpaceDN w:val="0"/>
        <w:adjustRightInd w:val="0"/>
        <w:spacing w:after="0" w:line="240" w:lineRule="auto"/>
        <w:rPr>
          <w:rFonts w:ascii="Times New Roman" w:hAnsi="Times New Roman"/>
          <w:lang w:val="da-DK"/>
        </w:rPr>
      </w:pPr>
    </w:p>
    <w:p w14:paraId="2CECC175" w14:textId="77777777" w:rsidR="006478AD" w:rsidRPr="00AA499E" w:rsidRDefault="006478AD">
      <w:pPr>
        <w:autoSpaceDE w:val="0"/>
        <w:autoSpaceDN w:val="0"/>
        <w:adjustRightInd w:val="0"/>
        <w:spacing w:after="0" w:line="240" w:lineRule="auto"/>
        <w:rPr>
          <w:rFonts w:ascii="Times New Roman" w:hAnsi="Times New Roman"/>
          <w:lang w:val="da-DK"/>
        </w:rPr>
      </w:pPr>
    </w:p>
    <w:p w14:paraId="11C669F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Virkning og anvendelse</w:t>
      </w:r>
    </w:p>
    <w:p w14:paraId="03DCE981" w14:textId="77777777" w:rsidR="006478AD" w:rsidRPr="00AA499E" w:rsidRDefault="006478AD">
      <w:pPr>
        <w:autoSpaceDE w:val="0"/>
        <w:autoSpaceDN w:val="0"/>
        <w:adjustRightInd w:val="0"/>
        <w:spacing w:after="0" w:line="240" w:lineRule="auto"/>
        <w:rPr>
          <w:rFonts w:ascii="Times New Roman" w:hAnsi="Times New Roman"/>
          <w:lang w:val="da-DK"/>
        </w:rPr>
      </w:pPr>
    </w:p>
    <w:p w14:paraId="4CF69E2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 Actavis er et lægemiddel, der indeholder et aktivt stof kaldet imatinib. Dette lægemiddel virker ved at hæmme væksten af unormale celler </w:t>
      </w:r>
      <w:r w:rsidR="00220D03" w:rsidRPr="00AA499E">
        <w:rPr>
          <w:rFonts w:ascii="Times New Roman" w:hAnsi="Times New Roman"/>
          <w:lang w:val="da-DK"/>
        </w:rPr>
        <w:t>ved de sygdomme, der er nævnt nedenfor. Disse omfatter nogle former for kræft.</w:t>
      </w:r>
    </w:p>
    <w:p w14:paraId="2C1D2E88" w14:textId="77777777" w:rsidR="006478AD" w:rsidRPr="00AA499E" w:rsidRDefault="006478AD">
      <w:pPr>
        <w:autoSpaceDE w:val="0"/>
        <w:autoSpaceDN w:val="0"/>
        <w:adjustRightInd w:val="0"/>
        <w:spacing w:after="0" w:line="240" w:lineRule="auto"/>
        <w:rPr>
          <w:rFonts w:ascii="Times New Roman" w:hAnsi="Times New Roman"/>
          <w:lang w:val="da-DK"/>
        </w:rPr>
      </w:pPr>
    </w:p>
    <w:p w14:paraId="768EE960" w14:textId="77777777" w:rsidR="003E5DE2"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bruges til behandling af</w:t>
      </w:r>
      <w:r w:rsidR="003E5DE2" w:rsidRPr="00AA499E">
        <w:rPr>
          <w:rFonts w:ascii="Times New Roman" w:hAnsi="Times New Roman"/>
          <w:b/>
          <w:bCs/>
          <w:lang w:val="da-DK"/>
        </w:rPr>
        <w:t>:</w:t>
      </w:r>
    </w:p>
    <w:p w14:paraId="639BFD23" w14:textId="77777777" w:rsidR="003E5DE2" w:rsidRPr="00AA499E" w:rsidRDefault="003E5DE2">
      <w:pPr>
        <w:autoSpaceDE w:val="0"/>
        <w:autoSpaceDN w:val="0"/>
        <w:adjustRightInd w:val="0"/>
        <w:spacing w:after="0" w:line="240" w:lineRule="auto"/>
        <w:rPr>
          <w:rFonts w:ascii="Times New Roman" w:hAnsi="Times New Roman"/>
          <w:b/>
          <w:bCs/>
          <w:lang w:val="da-DK"/>
        </w:rPr>
      </w:pPr>
    </w:p>
    <w:p w14:paraId="724B0BE4" w14:textId="77777777" w:rsidR="006478AD" w:rsidRPr="00AA499E" w:rsidRDefault="003E5DE2" w:rsidP="00063A26">
      <w:pPr>
        <w:numPr>
          <w:ilvl w:val="0"/>
          <w:numId w:val="7"/>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w:t>
      </w:r>
      <w:r w:rsidR="00616F3C" w:rsidRPr="00AA499E">
        <w:rPr>
          <w:rFonts w:ascii="Times New Roman" w:hAnsi="Times New Roman"/>
          <w:b/>
          <w:bCs/>
          <w:lang w:val="da-DK"/>
        </w:rPr>
        <w:t>ronisk myeloid leukæmi (CML).</w:t>
      </w:r>
      <w:r w:rsidRPr="00AA499E">
        <w:rPr>
          <w:rFonts w:ascii="Times New Roman" w:hAnsi="Times New Roman"/>
          <w:lang w:val="da-DK"/>
        </w:rPr>
        <w:t xml:space="preserve"> </w:t>
      </w:r>
      <w:r w:rsidR="00616F3C" w:rsidRPr="00AA499E">
        <w:rPr>
          <w:rFonts w:ascii="Times New Roman" w:hAnsi="Times New Roman"/>
          <w:lang w:val="da-DK"/>
        </w:rPr>
        <w:t>Leukæmi er kræft i de hvide blodlegemer. Hvide blodlegemer hjælper som regel kroppen med at bekæmpe infektioner. Kronisk myeloid leukæmi er en type leukæmi, hvor nogle bestemte unormale hvide blodlegemer (der kaldes myeloide celler) vokser ukontrolleret.</w:t>
      </w:r>
    </w:p>
    <w:p w14:paraId="44142469" w14:textId="77777777" w:rsidR="006478AD" w:rsidRPr="00AA499E" w:rsidRDefault="006478AD">
      <w:pPr>
        <w:autoSpaceDE w:val="0"/>
        <w:autoSpaceDN w:val="0"/>
        <w:adjustRightInd w:val="0"/>
        <w:spacing w:after="0" w:line="240" w:lineRule="auto"/>
        <w:rPr>
          <w:rFonts w:ascii="Times New Roman" w:hAnsi="Times New Roman"/>
          <w:lang w:val="da-DK"/>
        </w:rPr>
      </w:pPr>
    </w:p>
    <w:p w14:paraId="53C5B04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voksne patienter er Imatinib Actavis beregnet til brug i den mest fremskredne fase af sygdommen (blastkrise). Hos børn og teenagere kan Imatinib Actavis bruges i forskellige sygdomsfaser (kronisk, accelereret fase og blastkrise).</w:t>
      </w:r>
    </w:p>
    <w:p w14:paraId="62086F5B" w14:textId="77777777" w:rsidR="00220D03" w:rsidRPr="00AA499E" w:rsidRDefault="00220D03">
      <w:pPr>
        <w:autoSpaceDE w:val="0"/>
        <w:autoSpaceDN w:val="0"/>
        <w:adjustRightInd w:val="0"/>
        <w:spacing w:after="0" w:line="240" w:lineRule="auto"/>
        <w:rPr>
          <w:rFonts w:ascii="Times New Roman" w:hAnsi="Times New Roman"/>
          <w:lang w:val="da-DK"/>
        </w:rPr>
      </w:pPr>
    </w:p>
    <w:p w14:paraId="78A4CE8C" w14:textId="77777777" w:rsidR="003E5DE2" w:rsidRPr="00AA499E" w:rsidRDefault="003E5DE2" w:rsidP="00063A26">
      <w:pPr>
        <w:numPr>
          <w:ilvl w:val="0"/>
          <w:numId w:val="22"/>
        </w:num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 xml:space="preserve">Philadelphia-kromosom-positiv akut lymfoblastær leukæmi (Ph-positiv ALL). </w:t>
      </w:r>
    </w:p>
    <w:p w14:paraId="6594BE8D" w14:textId="77777777" w:rsidR="003E5DE2" w:rsidRPr="00AA499E" w:rsidRDefault="003E5DE2" w:rsidP="00063A26">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Leukæmi er kræft i de hvide blodlegemer. Hvide blodlegemer hjælper som regel kroppen med at bekæmpe infektioner. Akut lymfoblastær leukæmi er en form af leukæmi, hvor visse abnorme hvide blodlegemer (kaldet lymfoblaster) vokser ukontrolleret. Imatinib Actavis hæmmer væksten af disse celler.</w:t>
      </w:r>
    </w:p>
    <w:p w14:paraId="165F246E" w14:textId="77777777" w:rsidR="00DD6B09" w:rsidRPr="00AA499E" w:rsidRDefault="00DD6B09" w:rsidP="00DD6B09">
      <w:pPr>
        <w:autoSpaceDE w:val="0"/>
        <w:autoSpaceDN w:val="0"/>
        <w:adjustRightInd w:val="0"/>
        <w:spacing w:after="0" w:line="240" w:lineRule="auto"/>
        <w:rPr>
          <w:rFonts w:ascii="Times New Roman" w:hAnsi="Times New Roman"/>
          <w:lang w:val="da-DK"/>
        </w:rPr>
      </w:pPr>
    </w:p>
    <w:p w14:paraId="5B055771" w14:textId="77777777" w:rsidR="00DD6B09" w:rsidRPr="00AA499E" w:rsidRDefault="00DD6B09" w:rsidP="003F3252">
      <w:pPr>
        <w:keepNext/>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lastRenderedPageBreak/>
        <w:t>Imatinib Actavis anvendes også til behandling af voksne med:</w:t>
      </w:r>
    </w:p>
    <w:p w14:paraId="76F86ED4" w14:textId="77777777" w:rsidR="00DD6B09" w:rsidRPr="00AA499E" w:rsidRDefault="00DD6B09" w:rsidP="003F3252">
      <w:pPr>
        <w:keepNext/>
        <w:autoSpaceDE w:val="0"/>
        <w:autoSpaceDN w:val="0"/>
        <w:adjustRightInd w:val="0"/>
        <w:spacing w:after="0" w:line="240" w:lineRule="auto"/>
        <w:rPr>
          <w:rFonts w:ascii="Times New Roman" w:hAnsi="Times New Roman"/>
          <w:lang w:val="da-DK"/>
        </w:rPr>
      </w:pPr>
    </w:p>
    <w:p w14:paraId="33C0A09F" w14:textId="77777777" w:rsidR="003E5DE2" w:rsidRPr="00AA499E" w:rsidRDefault="003E5DE2" w:rsidP="00063A26">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Myelodysplastiske/myeloproliferative sygdomme (MDS/MDP). </w:t>
      </w:r>
      <w:r w:rsidRPr="00AA499E">
        <w:rPr>
          <w:rFonts w:ascii="Times New Roman" w:hAnsi="Times New Roman"/>
          <w:lang w:val="da-DK"/>
        </w:rPr>
        <w:t>Disse er en gruppe af sygdomme i blodet, hvor nogle blodlegemer begynder at vokse ukontrolleret. Imatinib Actavis hæmmer væksten af disse blodlegemer i en vis undergruppe af disse sygdomme.</w:t>
      </w:r>
    </w:p>
    <w:p w14:paraId="7FDEB2EC" w14:textId="77777777" w:rsidR="003E5DE2" w:rsidRPr="00AA499E" w:rsidRDefault="003E5DE2" w:rsidP="00063A26">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Hypereosinofil syndrom (HES) og/eller kronisk eosinofil leukæmi (CEL). </w:t>
      </w:r>
      <w:r w:rsidRPr="00AA499E">
        <w:rPr>
          <w:rFonts w:ascii="Times New Roman" w:hAnsi="Times New Roman"/>
          <w:lang w:val="da-DK"/>
        </w:rPr>
        <w:t>Disse er sygdomme i blodet, i hvilke visse blodlegemer (kaldet eosinofile celler) begynder at vokse ukontrolleret. Imatinib Actavis hæmmer væksten af disse celler i en vis undergruppe af disse sygdomme.</w:t>
      </w:r>
    </w:p>
    <w:p w14:paraId="1D830CA9" w14:textId="77777777" w:rsidR="00EF357A" w:rsidRPr="00AA499E" w:rsidRDefault="00EF357A" w:rsidP="00063A26">
      <w:pPr>
        <w:pStyle w:val="Default"/>
        <w:numPr>
          <w:ilvl w:val="0"/>
          <w:numId w:val="23"/>
        </w:numPr>
        <w:ind w:left="567" w:hanging="567"/>
        <w:rPr>
          <w:sz w:val="22"/>
          <w:szCs w:val="22"/>
          <w:lang w:val="da-DK"/>
        </w:rPr>
      </w:pPr>
      <w:r w:rsidRPr="00AA499E">
        <w:rPr>
          <w:b/>
          <w:bCs/>
          <w:sz w:val="22"/>
          <w:szCs w:val="22"/>
          <w:lang w:val="da-DK"/>
        </w:rPr>
        <w:t xml:space="preserve">Dermatofibrosarkom protuberans (DFSP). </w:t>
      </w:r>
      <w:r w:rsidRPr="00AA499E">
        <w:rPr>
          <w:sz w:val="22"/>
          <w:szCs w:val="22"/>
          <w:lang w:val="da-DK"/>
        </w:rPr>
        <w:t>DFSP er en kræftform i vævet under huden, hvor visse celler vokser ukontrolleret. Imatinib Actavis</w:t>
      </w:r>
      <w:r w:rsidRPr="00AA499E">
        <w:rPr>
          <w:lang w:val="da-DK"/>
        </w:rPr>
        <w:t xml:space="preserve"> </w:t>
      </w:r>
      <w:r w:rsidRPr="00AA499E">
        <w:rPr>
          <w:sz w:val="22"/>
          <w:szCs w:val="22"/>
          <w:lang w:val="da-DK"/>
        </w:rPr>
        <w:t xml:space="preserve">hæmmer væksten af disse celler. </w:t>
      </w:r>
    </w:p>
    <w:p w14:paraId="47896BDD" w14:textId="77777777" w:rsidR="00DD6B09" w:rsidRPr="00AA499E" w:rsidRDefault="00DD6B09" w:rsidP="00EF357A">
      <w:pPr>
        <w:autoSpaceDE w:val="0"/>
        <w:autoSpaceDN w:val="0"/>
        <w:adjustRightInd w:val="0"/>
        <w:spacing w:after="0" w:line="240" w:lineRule="auto"/>
        <w:rPr>
          <w:rFonts w:ascii="Times New Roman" w:hAnsi="Times New Roman"/>
          <w:lang w:val="da-DK"/>
        </w:rPr>
      </w:pPr>
    </w:p>
    <w:p w14:paraId="7DFBC729" w14:textId="77777777" w:rsidR="003E5DE2" w:rsidRPr="00AA499E" w:rsidRDefault="00EF357A" w:rsidP="00EF357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resten af denne indlægsseddel vil vi bruge forkortelserne, når vi omtaler disse sygdomme.</w:t>
      </w:r>
    </w:p>
    <w:p w14:paraId="3F1473D8" w14:textId="77777777" w:rsidR="006478AD" w:rsidRPr="00AA499E" w:rsidRDefault="006478AD">
      <w:pPr>
        <w:autoSpaceDE w:val="0"/>
        <w:autoSpaceDN w:val="0"/>
        <w:adjustRightInd w:val="0"/>
        <w:spacing w:after="0" w:line="240" w:lineRule="auto"/>
        <w:rPr>
          <w:rFonts w:ascii="Times New Roman" w:hAnsi="Times New Roman"/>
          <w:lang w:val="da-DK"/>
        </w:rPr>
      </w:pPr>
    </w:p>
    <w:p w14:paraId="0EACFA5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har spørgsmål om, hvordan Imatinib Actavis virker, eller hvorfor du har fået ordineret dette lægemiddel, kontakt din læge.</w:t>
      </w:r>
    </w:p>
    <w:p w14:paraId="1D0D93E9" w14:textId="77777777" w:rsidR="006478AD" w:rsidRPr="00AA499E" w:rsidRDefault="006478AD">
      <w:pPr>
        <w:autoSpaceDE w:val="0"/>
        <w:autoSpaceDN w:val="0"/>
        <w:adjustRightInd w:val="0"/>
        <w:spacing w:after="0" w:line="240" w:lineRule="auto"/>
        <w:rPr>
          <w:rFonts w:ascii="Times New Roman" w:hAnsi="Times New Roman"/>
          <w:lang w:val="da-DK"/>
        </w:rPr>
      </w:pPr>
    </w:p>
    <w:p w14:paraId="2CF0081E" w14:textId="77777777" w:rsidR="006478AD" w:rsidRPr="00AA499E" w:rsidRDefault="006478AD">
      <w:pPr>
        <w:autoSpaceDE w:val="0"/>
        <w:autoSpaceDN w:val="0"/>
        <w:adjustRightInd w:val="0"/>
        <w:spacing w:after="0" w:line="240" w:lineRule="auto"/>
        <w:rPr>
          <w:rFonts w:ascii="Times New Roman" w:hAnsi="Times New Roman"/>
          <w:lang w:val="da-DK"/>
        </w:rPr>
      </w:pPr>
    </w:p>
    <w:p w14:paraId="0F7442C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2.</w:t>
      </w:r>
      <w:r w:rsidRPr="00AA499E">
        <w:rPr>
          <w:rFonts w:ascii="Times New Roman" w:hAnsi="Times New Roman"/>
          <w:b/>
          <w:bCs/>
          <w:lang w:val="da-DK"/>
        </w:rPr>
        <w:tab/>
        <w:t>Det skal du vide, før du begynder at tage Imatinib Actavis</w:t>
      </w:r>
    </w:p>
    <w:p w14:paraId="7A3200D6" w14:textId="77777777" w:rsidR="006478AD" w:rsidRPr="00AA499E" w:rsidRDefault="006478AD">
      <w:pPr>
        <w:autoSpaceDE w:val="0"/>
        <w:autoSpaceDN w:val="0"/>
        <w:adjustRightInd w:val="0"/>
        <w:spacing w:after="0" w:line="240" w:lineRule="auto"/>
        <w:rPr>
          <w:rFonts w:ascii="Times New Roman" w:hAnsi="Times New Roman"/>
          <w:lang w:val="da-DK"/>
        </w:rPr>
      </w:pPr>
    </w:p>
    <w:p w14:paraId="6B57155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vil kun blive ordineret til dig af en læge med erfaring i behandlingen af kræft i blodet</w:t>
      </w:r>
      <w:r w:rsidR="00ED0F1C" w:rsidRPr="00AA499E">
        <w:rPr>
          <w:rFonts w:ascii="Times New Roman" w:hAnsi="Times New Roman"/>
          <w:lang w:val="da-DK"/>
        </w:rPr>
        <w:t xml:space="preserve"> eller </w:t>
      </w:r>
      <w:r w:rsidR="00EF357A" w:rsidRPr="00AA499E">
        <w:rPr>
          <w:rFonts w:ascii="Times New Roman" w:hAnsi="Times New Roman"/>
          <w:lang w:val="da-DK"/>
        </w:rPr>
        <w:t>kræftknuder.</w:t>
      </w:r>
    </w:p>
    <w:p w14:paraId="06D99CC5" w14:textId="77777777" w:rsidR="006478AD" w:rsidRPr="00AA499E" w:rsidRDefault="006478AD">
      <w:pPr>
        <w:autoSpaceDE w:val="0"/>
        <w:autoSpaceDN w:val="0"/>
        <w:adjustRightInd w:val="0"/>
        <w:spacing w:after="0" w:line="240" w:lineRule="auto"/>
        <w:rPr>
          <w:rFonts w:ascii="Times New Roman" w:hAnsi="Times New Roman"/>
          <w:lang w:val="da-DK"/>
        </w:rPr>
      </w:pPr>
    </w:p>
    <w:p w14:paraId="655FEB0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Følg omhyggeligt din læges anvisninger, selvom de er forskellige fra den generelle information i denne indlægsseddel.</w:t>
      </w:r>
    </w:p>
    <w:p w14:paraId="2BC89E53" w14:textId="77777777" w:rsidR="006478AD" w:rsidRPr="00AA499E" w:rsidRDefault="006478AD">
      <w:pPr>
        <w:autoSpaceDE w:val="0"/>
        <w:autoSpaceDN w:val="0"/>
        <w:adjustRightInd w:val="0"/>
        <w:spacing w:after="0" w:line="240" w:lineRule="auto"/>
        <w:rPr>
          <w:rFonts w:ascii="Times New Roman" w:hAnsi="Times New Roman"/>
          <w:lang w:val="da-DK"/>
        </w:rPr>
      </w:pPr>
    </w:p>
    <w:p w14:paraId="4A6E98C3" w14:textId="09672B15"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Tag ikke Imatinib Actavis</w:t>
      </w:r>
    </w:p>
    <w:p w14:paraId="0FE75D0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allergisk over for imatinib eller et af de øvrige indholdsstoffer i lægemidlet (angivet i punkt 6).</w:t>
      </w:r>
    </w:p>
    <w:p w14:paraId="39E90733" w14:textId="77777777" w:rsidR="006478AD" w:rsidRPr="00AA499E" w:rsidRDefault="006478AD">
      <w:pPr>
        <w:autoSpaceDE w:val="0"/>
        <w:autoSpaceDN w:val="0"/>
        <w:adjustRightInd w:val="0"/>
        <w:spacing w:after="0" w:line="240" w:lineRule="auto"/>
        <w:ind w:left="567" w:hanging="567"/>
        <w:rPr>
          <w:rFonts w:ascii="Times New Roman" w:hAnsi="Times New Roman"/>
          <w:lang w:val="da-DK"/>
        </w:rPr>
      </w:pPr>
    </w:p>
    <w:p w14:paraId="3BC5FCB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dette gælder for dig, </w:t>
      </w:r>
      <w:r w:rsidRPr="00AA499E">
        <w:rPr>
          <w:rFonts w:ascii="Times New Roman" w:hAnsi="Times New Roman"/>
          <w:b/>
          <w:bCs/>
          <w:lang w:val="da-DK"/>
        </w:rPr>
        <w:t>skal du fortælle din læge det, før du tager Imatinib Actavis.</w:t>
      </w:r>
    </w:p>
    <w:p w14:paraId="357C62AD" w14:textId="77777777" w:rsidR="006478AD" w:rsidRPr="00AA499E" w:rsidRDefault="006478AD">
      <w:pPr>
        <w:autoSpaceDE w:val="0"/>
        <w:autoSpaceDN w:val="0"/>
        <w:adjustRightInd w:val="0"/>
        <w:spacing w:after="0" w:line="240" w:lineRule="auto"/>
        <w:rPr>
          <w:rFonts w:ascii="Times New Roman" w:hAnsi="Times New Roman"/>
          <w:lang w:val="da-DK"/>
        </w:rPr>
      </w:pPr>
    </w:p>
    <w:p w14:paraId="7FE2662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tror, du er allergisk, men ikke er sikker, skal du kontakte din læge for at få rådgivning.</w:t>
      </w:r>
    </w:p>
    <w:p w14:paraId="2B75E82C" w14:textId="77777777" w:rsidR="006478AD" w:rsidRPr="00AA499E" w:rsidRDefault="006478AD">
      <w:pPr>
        <w:autoSpaceDE w:val="0"/>
        <w:autoSpaceDN w:val="0"/>
        <w:adjustRightInd w:val="0"/>
        <w:spacing w:after="0" w:line="240" w:lineRule="auto"/>
        <w:rPr>
          <w:rFonts w:ascii="Times New Roman" w:hAnsi="Times New Roman"/>
          <w:lang w:val="da-DK"/>
        </w:rPr>
      </w:pPr>
    </w:p>
    <w:p w14:paraId="6558992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Advarsler og forsigtighedsregler</w:t>
      </w:r>
    </w:p>
    <w:p w14:paraId="12F85DB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Kontakt lægen, før du tager Imatinib Actavis:</w:t>
      </w:r>
    </w:p>
    <w:p w14:paraId="5D2FE23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har eller har haft lever-, nyre- eller hjerteproblemer.</w:t>
      </w:r>
    </w:p>
    <w:p w14:paraId="11061C5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tager medicin indeholdende levothyroxin, fordi din skjoldbruskkirtel er blevet fjernet.</w:t>
      </w:r>
    </w:p>
    <w:p w14:paraId="32791C14" w14:textId="77777777" w:rsidR="0017077B" w:rsidRPr="00AA499E" w:rsidRDefault="00B70E7C"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nogensinde har været eller måske er smittet med hepatitis B-virus. Dette skyldes, at (</w:t>
      </w:r>
      <w:r w:rsidR="002A7A45" w:rsidRPr="00AA499E">
        <w:rPr>
          <w:rFonts w:ascii="Times New Roman" w:hAnsi="Times New Roman"/>
          <w:lang w:val="da-DK"/>
        </w:rPr>
        <w:t>Imatinib Actavis</w:t>
      </w:r>
      <w:r w:rsidRPr="00AA499E">
        <w:rPr>
          <w:rFonts w:ascii="Times New Roman" w:hAnsi="Times New Roman"/>
          <w:lang w:val="da-DK"/>
        </w:rPr>
        <w:t>) kan forårsage, at hepatitis B-infektionen bliver aktiv igen, hvilket undertiden kan være dødeligt. Lægen vil omhyggeligt kontrolleres dig for tegn på denne infektion, før behandlingen påbegyndes.</w:t>
      </w:r>
    </w:p>
    <w:p w14:paraId="6B36FE22" w14:textId="77777777" w:rsidR="00B70E7C" w:rsidRPr="00AA499E" w:rsidRDefault="0017077B"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får blå mærker, blødninger, feber, træthed og oplever forvirring, mens du tager Imatinib Actavis, skal du kontakte din læge. Dette kan være tegn på beskadigelse af dine blodkar, hvilket kaldes trombotisk mikroangiopati (TMA).</w:t>
      </w:r>
    </w:p>
    <w:p w14:paraId="37C05A8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noget af det ovenstående gælder for dig, </w:t>
      </w:r>
      <w:r w:rsidRPr="00AA499E">
        <w:rPr>
          <w:rFonts w:ascii="Times New Roman" w:hAnsi="Times New Roman"/>
          <w:b/>
          <w:bCs/>
          <w:lang w:val="da-DK"/>
        </w:rPr>
        <w:t>skal du fortælle din læge det, før du tager Imatinib Actavis.</w:t>
      </w:r>
    </w:p>
    <w:p w14:paraId="695D0650" w14:textId="77777777" w:rsidR="006478AD" w:rsidRPr="00AA499E" w:rsidRDefault="006478AD">
      <w:pPr>
        <w:autoSpaceDE w:val="0"/>
        <w:autoSpaceDN w:val="0"/>
        <w:adjustRightInd w:val="0"/>
        <w:spacing w:after="0" w:line="240" w:lineRule="auto"/>
        <w:rPr>
          <w:rFonts w:ascii="Times New Roman" w:hAnsi="Times New Roman"/>
          <w:lang w:val="da-DK"/>
        </w:rPr>
      </w:pPr>
    </w:p>
    <w:p w14:paraId="30C82A24" w14:textId="77777777" w:rsidR="00A02D9A" w:rsidRPr="00AA499E" w:rsidRDefault="00A02D9A" w:rsidP="00A02D9A">
      <w:pPr>
        <w:pStyle w:val="BodyText22"/>
        <w:widowControl w:val="0"/>
        <w:tabs>
          <w:tab w:val="clear" w:pos="-720"/>
        </w:tabs>
        <w:rPr>
          <w:i w:val="0"/>
          <w:color w:val="000000"/>
          <w:szCs w:val="22"/>
        </w:rPr>
      </w:pPr>
      <w:r w:rsidRPr="00AA499E">
        <w:rPr>
          <w:i w:val="0"/>
          <w:color w:val="000000"/>
          <w:szCs w:val="22"/>
        </w:rPr>
        <w:t>Du kan blive mere følsom overfor sollys, når du tager Imatinib Actavis. Det er vigtigt at dække de områder af huden, som udsættes for solen, og at bruge solcreme med høj solbeskyttelsesfaktor (SPF). Disse forholdsregler gælder også for børn.</w:t>
      </w:r>
    </w:p>
    <w:p w14:paraId="0A058352" w14:textId="77777777" w:rsidR="00A02D9A" w:rsidRPr="00AA499E" w:rsidRDefault="00A02D9A">
      <w:pPr>
        <w:autoSpaceDE w:val="0"/>
        <w:autoSpaceDN w:val="0"/>
        <w:adjustRightInd w:val="0"/>
        <w:spacing w:after="0" w:line="240" w:lineRule="auto"/>
        <w:rPr>
          <w:rFonts w:ascii="Times New Roman" w:hAnsi="Times New Roman"/>
          <w:b/>
          <w:bCs/>
          <w:lang w:val="da-DK"/>
        </w:rPr>
      </w:pPr>
    </w:p>
    <w:p w14:paraId="108B84E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Du skal straks fortælle din læge, </w:t>
      </w:r>
      <w:r w:rsidRPr="00AA499E">
        <w:rPr>
          <w:rFonts w:ascii="Times New Roman" w:hAnsi="Times New Roman"/>
          <w:lang w:val="da-DK"/>
        </w:rPr>
        <w:t>hvis du meget hurtigt tager på i vægt, mens du er i behandling med Imatinib Actavis. Imatinib Actavis kan forårsage, at din krop begynder at ophobe væske (svær væskeretention).</w:t>
      </w:r>
    </w:p>
    <w:p w14:paraId="537680E3" w14:textId="77777777" w:rsidR="006478AD" w:rsidRPr="00AA499E" w:rsidRDefault="006478AD">
      <w:pPr>
        <w:autoSpaceDE w:val="0"/>
        <w:autoSpaceDN w:val="0"/>
        <w:adjustRightInd w:val="0"/>
        <w:spacing w:after="0" w:line="240" w:lineRule="auto"/>
        <w:rPr>
          <w:rFonts w:ascii="Times New Roman" w:hAnsi="Times New Roman"/>
          <w:lang w:val="da-DK"/>
        </w:rPr>
      </w:pPr>
    </w:p>
    <w:p w14:paraId="043B5EA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Mens du tager Imatinib Actavis, vil din læge regelmæssigt kontrollere, om lægemidlet virker. Du vil også få taget blodprøver og blive vejet regelmæssigt.</w:t>
      </w:r>
    </w:p>
    <w:p w14:paraId="74AC075C" w14:textId="77777777" w:rsidR="006478AD" w:rsidRPr="00AA499E" w:rsidRDefault="006478AD">
      <w:pPr>
        <w:autoSpaceDE w:val="0"/>
        <w:autoSpaceDN w:val="0"/>
        <w:adjustRightInd w:val="0"/>
        <w:spacing w:after="0" w:line="240" w:lineRule="auto"/>
        <w:rPr>
          <w:rFonts w:ascii="Times New Roman" w:hAnsi="Times New Roman"/>
          <w:lang w:val="da-DK"/>
        </w:rPr>
      </w:pPr>
    </w:p>
    <w:p w14:paraId="06A33F93" w14:textId="77777777" w:rsidR="006478AD" w:rsidRPr="00AA499E" w:rsidRDefault="00616F3C">
      <w:pPr>
        <w:autoSpaceDE w:val="0"/>
        <w:autoSpaceDN w:val="0"/>
        <w:adjustRightInd w:val="0"/>
        <w:spacing w:after="0" w:line="240" w:lineRule="auto"/>
        <w:rPr>
          <w:rFonts w:ascii="Times New Roman" w:eastAsia="Times New Roman" w:hAnsi="Times New Roman"/>
          <w:b/>
          <w:bCs/>
          <w:lang w:val="da-DK"/>
        </w:rPr>
      </w:pPr>
      <w:r w:rsidRPr="00AA499E">
        <w:rPr>
          <w:rFonts w:ascii="Times New Roman" w:eastAsia="Times New Roman" w:hAnsi="Times New Roman"/>
          <w:b/>
          <w:bCs/>
          <w:lang w:val="da-DK"/>
        </w:rPr>
        <w:t xml:space="preserve">Børn og </w:t>
      </w:r>
      <w:r w:rsidR="009E015C" w:rsidRPr="00AA499E">
        <w:rPr>
          <w:rFonts w:ascii="Times New Roman" w:eastAsia="Times New Roman" w:hAnsi="Times New Roman"/>
          <w:b/>
          <w:bCs/>
          <w:lang w:val="da-DK"/>
        </w:rPr>
        <w:t>unge</w:t>
      </w:r>
    </w:p>
    <w:p w14:paraId="3FCA944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bruges også til behandling af børn</w:t>
      </w:r>
      <w:r w:rsidR="009E015C" w:rsidRPr="00AA499E">
        <w:rPr>
          <w:rFonts w:ascii="Times New Roman" w:hAnsi="Times New Roman"/>
          <w:lang w:val="da-DK"/>
        </w:rPr>
        <w:t xml:space="preserve"> </w:t>
      </w:r>
      <w:r w:rsidRPr="00AA499E">
        <w:rPr>
          <w:rFonts w:ascii="Times New Roman" w:hAnsi="Times New Roman"/>
          <w:lang w:val="da-DK"/>
        </w:rPr>
        <w:t xml:space="preserve">med CML. Der er ingen erfaring med behandling af CML hos børn under 2 år. </w:t>
      </w:r>
      <w:r w:rsidR="00EF357A" w:rsidRPr="00AA499E">
        <w:rPr>
          <w:rFonts w:ascii="Times New Roman" w:hAnsi="Times New Roman"/>
          <w:lang w:val="da-DK"/>
        </w:rPr>
        <w:t>Der er begrænset erfaring hos børn</w:t>
      </w:r>
      <w:r w:rsidR="00CE7A7F" w:rsidRPr="00AA499E">
        <w:rPr>
          <w:rFonts w:ascii="Times New Roman" w:hAnsi="Times New Roman"/>
          <w:lang w:val="da-DK"/>
        </w:rPr>
        <w:t xml:space="preserve"> </w:t>
      </w:r>
      <w:r w:rsidR="00EF357A" w:rsidRPr="00AA499E">
        <w:rPr>
          <w:rFonts w:ascii="Times New Roman" w:hAnsi="Times New Roman"/>
          <w:lang w:val="da-DK"/>
        </w:rPr>
        <w:t>og Ph-positiv ALL og meget begrænset erfaring med børn</w:t>
      </w:r>
      <w:r w:rsidR="00CE7A7F" w:rsidRPr="00AA499E">
        <w:rPr>
          <w:rFonts w:ascii="Times New Roman" w:hAnsi="Times New Roman"/>
          <w:lang w:val="da-DK"/>
        </w:rPr>
        <w:t xml:space="preserve"> </w:t>
      </w:r>
      <w:r w:rsidR="00EF357A" w:rsidRPr="00AA499E">
        <w:rPr>
          <w:rFonts w:ascii="Times New Roman" w:hAnsi="Times New Roman"/>
          <w:lang w:val="da-DK"/>
        </w:rPr>
        <w:t xml:space="preserve">med MDS/MPD, DFSP </w:t>
      </w:r>
      <w:r w:rsidR="009822BB" w:rsidRPr="00AA499E">
        <w:rPr>
          <w:rFonts w:ascii="Times New Roman" w:hAnsi="Times New Roman"/>
          <w:lang w:val="da-DK"/>
        </w:rPr>
        <w:t>og HES</w:t>
      </w:r>
      <w:r w:rsidR="00EF357A" w:rsidRPr="00AA499E">
        <w:rPr>
          <w:rFonts w:ascii="Times New Roman" w:hAnsi="Times New Roman"/>
          <w:lang w:val="da-DK"/>
        </w:rPr>
        <w:t>/CEL.</w:t>
      </w:r>
    </w:p>
    <w:p w14:paraId="59A7A2F6" w14:textId="77777777" w:rsidR="006478AD" w:rsidRPr="00AA499E" w:rsidRDefault="006478AD">
      <w:pPr>
        <w:autoSpaceDE w:val="0"/>
        <w:autoSpaceDN w:val="0"/>
        <w:adjustRightInd w:val="0"/>
        <w:spacing w:after="0" w:line="240" w:lineRule="auto"/>
        <w:rPr>
          <w:rFonts w:ascii="Times New Roman" w:hAnsi="Times New Roman"/>
          <w:lang w:val="da-DK"/>
        </w:rPr>
      </w:pPr>
    </w:p>
    <w:p w14:paraId="0F23AD8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Nogle børn og unge, der får Imatinib Actavis, kan vokse langsommere end normalt. Lægen vil kontrollere væksten ved regelmæssige besøg.</w:t>
      </w:r>
    </w:p>
    <w:p w14:paraId="66C4FF0A" w14:textId="77777777" w:rsidR="006478AD" w:rsidRPr="00AA499E" w:rsidRDefault="006478AD">
      <w:pPr>
        <w:autoSpaceDE w:val="0"/>
        <w:autoSpaceDN w:val="0"/>
        <w:adjustRightInd w:val="0"/>
        <w:spacing w:after="0" w:line="240" w:lineRule="auto"/>
        <w:rPr>
          <w:rFonts w:ascii="Times New Roman" w:hAnsi="Times New Roman"/>
          <w:lang w:val="da-DK"/>
        </w:rPr>
      </w:pPr>
    </w:p>
    <w:p w14:paraId="2E790B29"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af anden medicin sammen med Imatinib Actavis</w:t>
      </w:r>
    </w:p>
    <w:p w14:paraId="74ADE647" w14:textId="55EC6E5D"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Fortæl altid lægen eller på apoteket, hvis du tager anden medicin for nylig</w:t>
      </w:r>
      <w:r w:rsidR="00537232" w:rsidRPr="00537232">
        <w:rPr>
          <w:rFonts w:ascii="Times New Roman" w:hAnsi="Times New Roman"/>
          <w:lang w:val="da-DK"/>
        </w:rPr>
        <w:t xml:space="preserve"> har taget </w:t>
      </w:r>
      <w:r w:rsidR="00537232" w:rsidRPr="008F3048">
        <w:rPr>
          <w:rFonts w:ascii="Times New Roman" w:hAnsi="Times New Roman"/>
          <w:lang w:val="da-DK"/>
        </w:rPr>
        <w:t>anden medicin eller planlægger at tage anden medicin</w:t>
      </w:r>
      <w:r w:rsidRPr="00AA499E">
        <w:rPr>
          <w:rFonts w:ascii="Times New Roman" w:hAnsi="Times New Roman"/>
          <w:lang w:val="da-DK"/>
        </w:rPr>
        <w:t>. Dette gælder også medicin, som ikke er købt på recept (såsom paracetamol), inklusive naturlægemidler (såsom perikon). Nogle lægemidler kan påvirke virkningen af Imatinib Actavis, når de bruges samtidigt. De kan enten øge eller nedsætte virkningen af Imatinib Actavis, hvilket kan resultere i enten flere bivirkninger, eller de kan gøre Imatinib Actavis mindre virksomt. Imatinib Actavis kan gøre det samme ved andre lægemidler.</w:t>
      </w:r>
    </w:p>
    <w:p w14:paraId="4E682F72" w14:textId="77777777" w:rsidR="006478AD" w:rsidRPr="00AA499E" w:rsidRDefault="006478AD">
      <w:pPr>
        <w:autoSpaceDE w:val="0"/>
        <w:autoSpaceDN w:val="0"/>
        <w:adjustRightInd w:val="0"/>
        <w:spacing w:after="0" w:line="240" w:lineRule="auto"/>
        <w:rPr>
          <w:rFonts w:ascii="Times New Roman" w:hAnsi="Times New Roman"/>
          <w:lang w:val="da-DK"/>
        </w:rPr>
      </w:pPr>
    </w:p>
    <w:p w14:paraId="0DF119C9" w14:textId="77777777" w:rsidR="004E4F39" w:rsidRPr="00AA499E" w:rsidRDefault="004E4F39" w:rsidP="007E16DF">
      <w:pPr>
        <w:widowControl w:val="0"/>
        <w:rPr>
          <w:rFonts w:ascii="Times New Roman" w:hAnsi="Times New Roman"/>
          <w:color w:val="000000"/>
          <w:lang w:val="da-DK"/>
        </w:rPr>
      </w:pPr>
      <w:r w:rsidRPr="00AA499E">
        <w:rPr>
          <w:rFonts w:ascii="Times New Roman" w:hAnsi="Times New Roman"/>
          <w:color w:val="000000"/>
          <w:lang w:val="da-DK"/>
        </w:rPr>
        <w:t>Fortæl din læge hvis du tager medicin, der forebygger dannelsen af blodpropper.</w:t>
      </w:r>
    </w:p>
    <w:p w14:paraId="7576E0AD"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Graviditet, amning og frugtbarhed</w:t>
      </w:r>
    </w:p>
    <w:p w14:paraId="6C963093"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gravid eller ammer, har mistanke om, at du er gravid, eller planlægger at blive gravid, skal du spørge din læge til råds, før du tager dette lægemiddel.</w:t>
      </w:r>
    </w:p>
    <w:p w14:paraId="58D26E9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Imatinib Actavis anbefales ikke under graviditeten, medmindre det er strengt nødvendigt, da det kan skade din baby. Din læge vil fortælle dig om de mulige risici, der er forbundet med brug af Imatinib Actavis under graviditeten.</w:t>
      </w:r>
    </w:p>
    <w:p w14:paraId="1BEA5694"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Under behandlingen </w:t>
      </w:r>
      <w:r w:rsidR="00C665E1" w:rsidRPr="00AA499E">
        <w:rPr>
          <w:rFonts w:ascii="Times New Roman" w:hAnsi="Times New Roman"/>
          <w:lang w:val="da-DK"/>
        </w:rPr>
        <w:t xml:space="preserve">og i 15 dage efter ophør af behandlingen </w:t>
      </w:r>
      <w:r w:rsidRPr="00AA499E">
        <w:rPr>
          <w:rFonts w:ascii="Times New Roman" w:hAnsi="Times New Roman"/>
          <w:lang w:val="da-DK"/>
        </w:rPr>
        <w:t>anbefales det, at kvinder som kan blive gravide, anvender effektiv beskyttelse mod graviditet.</w:t>
      </w:r>
    </w:p>
    <w:p w14:paraId="08082191" w14:textId="7E5CF67E"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Du må ikke amme, mens du er i behandling </w:t>
      </w:r>
      <w:r w:rsidR="00BA6EB9" w:rsidRPr="00A26B73">
        <w:rPr>
          <w:rFonts w:ascii="Times New Roman" w:hAnsi="Times New Roman"/>
          <w:lang w:val="da-DK"/>
        </w:rPr>
        <w:t xml:space="preserve">og i 15 dage efter ophør af behandling </w:t>
      </w:r>
      <w:r w:rsidRPr="00AA499E">
        <w:rPr>
          <w:rFonts w:ascii="Times New Roman" w:hAnsi="Times New Roman"/>
          <w:lang w:val="da-DK"/>
        </w:rPr>
        <w:t>med Imatinib Actavis</w:t>
      </w:r>
      <w:r w:rsidR="00C665E1" w:rsidRPr="00AA499E">
        <w:rPr>
          <w:rFonts w:ascii="Times New Roman" w:hAnsi="Times New Roman"/>
          <w:lang w:val="da-DK"/>
        </w:rPr>
        <w:t>,</w:t>
      </w:r>
      <w:r w:rsidR="00BA6EB9" w:rsidRPr="00AA499E">
        <w:rPr>
          <w:rFonts w:ascii="Times New Roman" w:hAnsi="Times New Roman"/>
          <w:lang w:val="da-DK"/>
        </w:rPr>
        <w:t xml:space="preserve"> </w:t>
      </w:r>
      <w:r w:rsidR="00BA6EB9" w:rsidRPr="00A26B73">
        <w:rPr>
          <w:rFonts w:ascii="Times New Roman" w:hAnsi="Times New Roman"/>
          <w:lang w:val="da-DK"/>
        </w:rPr>
        <w:t>da det kan skade din baby</w:t>
      </w:r>
      <w:r w:rsidRPr="00AA499E">
        <w:rPr>
          <w:rFonts w:ascii="Times New Roman" w:hAnsi="Times New Roman"/>
          <w:lang w:val="da-DK"/>
        </w:rPr>
        <w:t>.</w:t>
      </w:r>
    </w:p>
    <w:p w14:paraId="3AFC7B3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eastAsia="Times New Roman" w:hAnsi="Times New Roman"/>
          <w:lang w:val="da-DK"/>
        </w:rPr>
        <w:t xml:space="preserve">Hvis du er bekymret for din frugtbarhed, mens du tager </w:t>
      </w:r>
      <w:r w:rsidRPr="00AA499E">
        <w:rPr>
          <w:rFonts w:ascii="Times New Roman" w:hAnsi="Times New Roman"/>
          <w:lang w:val="da-DK"/>
        </w:rPr>
        <w:t>Imatinib Actavis,</w:t>
      </w:r>
      <w:r w:rsidRPr="00AA499E">
        <w:rPr>
          <w:rFonts w:ascii="Times New Roman" w:eastAsia="Times New Roman" w:hAnsi="Times New Roman"/>
          <w:lang w:val="da-DK"/>
        </w:rPr>
        <w:t xml:space="preserve"> skal du kontakte din læge.</w:t>
      </w:r>
    </w:p>
    <w:p w14:paraId="030EAD2B" w14:textId="77777777" w:rsidR="006478AD" w:rsidRPr="00AA499E" w:rsidRDefault="006478AD">
      <w:pPr>
        <w:autoSpaceDE w:val="0"/>
        <w:autoSpaceDN w:val="0"/>
        <w:adjustRightInd w:val="0"/>
        <w:spacing w:after="0" w:line="240" w:lineRule="auto"/>
        <w:rPr>
          <w:rFonts w:ascii="Times New Roman" w:hAnsi="Times New Roman"/>
          <w:lang w:val="da-DK"/>
        </w:rPr>
      </w:pPr>
    </w:p>
    <w:p w14:paraId="6515FE18"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Trafik- og arbejdssikkerhed</w:t>
      </w:r>
    </w:p>
    <w:p w14:paraId="17C1D6C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kan blive svimmel eller søvnig eller få sløret syn, mens du tager dette lægemiddel. Hvis dette sker, bør du ikke køre bil eller bruge værktøj og maskiner, før du føler dig godt tilpas igen.</w:t>
      </w:r>
    </w:p>
    <w:p w14:paraId="02589A83" w14:textId="77777777" w:rsidR="006478AD" w:rsidRPr="00AA499E" w:rsidRDefault="006478AD">
      <w:pPr>
        <w:autoSpaceDE w:val="0"/>
        <w:autoSpaceDN w:val="0"/>
        <w:adjustRightInd w:val="0"/>
        <w:spacing w:after="0" w:line="240" w:lineRule="auto"/>
        <w:rPr>
          <w:rFonts w:ascii="Times New Roman" w:hAnsi="Times New Roman"/>
          <w:lang w:val="da-DK"/>
        </w:rPr>
      </w:pPr>
    </w:p>
    <w:p w14:paraId="1C2C3263" w14:textId="77777777" w:rsidR="00EC450E" w:rsidRPr="00AA499E" w:rsidRDefault="00EC450E" w:rsidP="00EC450E">
      <w:pPr>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t>Imatinib Actavis indeholder natrium</w:t>
      </w:r>
    </w:p>
    <w:p w14:paraId="6695CC8B" w14:textId="77777777" w:rsidR="00EC450E" w:rsidRPr="00AA499E" w:rsidRDefault="00EC450E" w:rsidP="00EC450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Dette lægemiddel indeholder mindre end 1 mmol (23 mg) natrium pr. hård kapsel, dvs. det er i det væsentlige natrium-frit.</w:t>
      </w:r>
    </w:p>
    <w:p w14:paraId="1BD4D367" w14:textId="77777777" w:rsidR="00EC450E" w:rsidRPr="00AA499E" w:rsidRDefault="00EC450E" w:rsidP="00EC450E">
      <w:pPr>
        <w:autoSpaceDE w:val="0"/>
        <w:autoSpaceDN w:val="0"/>
        <w:adjustRightInd w:val="0"/>
        <w:spacing w:after="0" w:line="240" w:lineRule="auto"/>
        <w:rPr>
          <w:rFonts w:ascii="Times New Roman" w:hAnsi="Times New Roman"/>
          <w:lang w:val="da-DK"/>
        </w:rPr>
      </w:pPr>
    </w:p>
    <w:p w14:paraId="4EBEE744" w14:textId="77777777" w:rsidR="006478AD" w:rsidRPr="00AA499E" w:rsidRDefault="006478AD">
      <w:pPr>
        <w:autoSpaceDE w:val="0"/>
        <w:autoSpaceDN w:val="0"/>
        <w:adjustRightInd w:val="0"/>
        <w:spacing w:after="0" w:line="240" w:lineRule="auto"/>
        <w:rPr>
          <w:rFonts w:ascii="Times New Roman" w:hAnsi="Times New Roman"/>
          <w:lang w:val="da-DK"/>
        </w:rPr>
      </w:pPr>
    </w:p>
    <w:p w14:paraId="0CBAF52C"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3.</w:t>
      </w:r>
      <w:r w:rsidRPr="00AA499E">
        <w:rPr>
          <w:rFonts w:ascii="Times New Roman" w:hAnsi="Times New Roman"/>
          <w:b/>
          <w:bCs/>
          <w:lang w:val="da-DK"/>
        </w:rPr>
        <w:tab/>
        <w:t>Sådan skal du tage Imatinib Actavis</w:t>
      </w:r>
    </w:p>
    <w:p w14:paraId="7B5C47D0" w14:textId="77777777" w:rsidR="006478AD" w:rsidRPr="00AA499E" w:rsidRDefault="006478AD">
      <w:pPr>
        <w:autoSpaceDE w:val="0"/>
        <w:autoSpaceDN w:val="0"/>
        <w:adjustRightInd w:val="0"/>
        <w:spacing w:after="0" w:line="240" w:lineRule="auto"/>
        <w:rPr>
          <w:rFonts w:ascii="Times New Roman" w:hAnsi="Times New Roman"/>
          <w:lang w:val="da-DK"/>
        </w:rPr>
      </w:pPr>
    </w:p>
    <w:p w14:paraId="1E3BE48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Din læge har udskrevet Imatinib Actavis, fordi du lider af en alvorlig sygdom. Imatinib Actavis kan hjælpe dig med at bekæmpe denne tilstand.</w:t>
      </w:r>
    </w:p>
    <w:p w14:paraId="7ABC0E4C" w14:textId="77777777" w:rsidR="006478AD" w:rsidRPr="00AA499E" w:rsidRDefault="006478AD">
      <w:pPr>
        <w:autoSpaceDE w:val="0"/>
        <w:autoSpaceDN w:val="0"/>
        <w:adjustRightInd w:val="0"/>
        <w:spacing w:after="0" w:line="240" w:lineRule="auto"/>
        <w:rPr>
          <w:rFonts w:ascii="Times New Roman" w:hAnsi="Times New Roman"/>
          <w:lang w:val="da-DK"/>
        </w:rPr>
      </w:pPr>
    </w:p>
    <w:p w14:paraId="1B7D7D5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Tag altid dette lægemiddel nøjagtigt efter lægens eller apotekspersonalets anvisning. Det er vigtigt, at du tager det så længe, lægen eller apotekspersonalet fortæller dig, at du skal. Er du i tvivl, så spørg lægen eller på apoteket.</w:t>
      </w:r>
    </w:p>
    <w:p w14:paraId="383E0C4F" w14:textId="77777777" w:rsidR="006478AD" w:rsidRPr="00AA499E" w:rsidRDefault="006478AD">
      <w:pPr>
        <w:autoSpaceDE w:val="0"/>
        <w:autoSpaceDN w:val="0"/>
        <w:adjustRightInd w:val="0"/>
        <w:spacing w:after="0" w:line="240" w:lineRule="auto"/>
        <w:rPr>
          <w:rFonts w:ascii="Times New Roman" w:hAnsi="Times New Roman"/>
          <w:lang w:val="da-DK"/>
        </w:rPr>
      </w:pPr>
    </w:p>
    <w:p w14:paraId="3F6AF1C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må ikke stoppe med at tage Imatinib Actavis, medmindre din læge fortæller dig det. Hvis du ikke er i stand til at tage medicinen, som din læge har foreskrevet, eller hvis du føler, at du ikke længere behøver den, skal du kontakte din læge med det samme.</w:t>
      </w:r>
    </w:p>
    <w:p w14:paraId="04CAA9FA" w14:textId="77777777" w:rsidR="006478AD" w:rsidRPr="00AA499E" w:rsidRDefault="006478AD">
      <w:pPr>
        <w:autoSpaceDE w:val="0"/>
        <w:autoSpaceDN w:val="0"/>
        <w:adjustRightInd w:val="0"/>
        <w:spacing w:after="0" w:line="240" w:lineRule="auto"/>
        <w:rPr>
          <w:rFonts w:ascii="Times New Roman" w:hAnsi="Times New Roman"/>
          <w:lang w:val="da-DK"/>
        </w:rPr>
      </w:pPr>
    </w:p>
    <w:p w14:paraId="6DE79C42"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Den sædvanlige dosis af Imatinib Actavis er</w:t>
      </w:r>
    </w:p>
    <w:p w14:paraId="696271E8" w14:textId="77777777" w:rsidR="006478AD" w:rsidRPr="00AA499E" w:rsidRDefault="006478AD" w:rsidP="008370B1">
      <w:pPr>
        <w:keepNext/>
        <w:autoSpaceDE w:val="0"/>
        <w:autoSpaceDN w:val="0"/>
        <w:adjustRightInd w:val="0"/>
        <w:spacing w:after="0" w:line="240" w:lineRule="auto"/>
        <w:ind w:firstLine="567"/>
        <w:rPr>
          <w:rFonts w:ascii="Times New Roman" w:hAnsi="Times New Roman"/>
          <w:lang w:val="da-DK"/>
        </w:rPr>
      </w:pPr>
    </w:p>
    <w:p w14:paraId="00B8BAB6"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til voksne</w:t>
      </w:r>
    </w:p>
    <w:p w14:paraId="49DF7B0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vil fortælle dig, præcis hvor mange Imatinib Actavis-kapsler, du skal tage.</w:t>
      </w:r>
    </w:p>
    <w:p w14:paraId="1D7FD47A" w14:textId="77777777" w:rsidR="00536D0A" w:rsidRPr="00AA499E" w:rsidRDefault="00536D0A" w:rsidP="00536D0A">
      <w:pPr>
        <w:autoSpaceDE w:val="0"/>
        <w:autoSpaceDN w:val="0"/>
        <w:adjustRightInd w:val="0"/>
        <w:spacing w:after="0" w:line="240" w:lineRule="auto"/>
        <w:rPr>
          <w:rFonts w:ascii="Times New Roman" w:hAnsi="Times New Roman"/>
          <w:lang w:val="da-DK"/>
        </w:rPr>
      </w:pPr>
    </w:p>
    <w:p w14:paraId="4C0700D8" w14:textId="77777777" w:rsidR="00536D0A" w:rsidRPr="00AA499E" w:rsidRDefault="00536D0A" w:rsidP="00063A26">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er i behandling for CML: </w:t>
      </w:r>
    </w:p>
    <w:p w14:paraId="43B844F9" w14:textId="77777777" w:rsidR="006478AD" w:rsidRPr="00AA499E" w:rsidRDefault="00616F3C" w:rsidP="006D667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w:t>
      </w:r>
      <w:r w:rsidR="00536D0A" w:rsidRPr="00AA499E">
        <w:rPr>
          <w:rFonts w:ascii="Times New Roman" w:hAnsi="Times New Roman"/>
          <w:lang w:val="da-DK"/>
        </w:rPr>
        <w:t xml:space="preserve">sædvanlige </w:t>
      </w:r>
      <w:r w:rsidRPr="00AA499E">
        <w:rPr>
          <w:rFonts w:ascii="Times New Roman" w:hAnsi="Times New Roman"/>
          <w:lang w:val="da-DK"/>
        </w:rPr>
        <w:t xml:space="preserve">startdosis er </w:t>
      </w:r>
      <w:r w:rsidRPr="00AA499E">
        <w:rPr>
          <w:rFonts w:ascii="Times New Roman" w:hAnsi="Times New Roman"/>
          <w:bCs/>
          <w:lang w:val="da-DK"/>
        </w:rPr>
        <w:t>600 mg,</w:t>
      </w:r>
      <w:r w:rsidRPr="00AA499E">
        <w:rPr>
          <w:rFonts w:ascii="Times New Roman" w:hAnsi="Times New Roman"/>
          <w:b/>
          <w:bCs/>
          <w:lang w:val="da-DK"/>
        </w:rPr>
        <w:t xml:space="preserve"> </w:t>
      </w:r>
      <w:r w:rsidRPr="00AA499E">
        <w:rPr>
          <w:rFonts w:ascii="Times New Roman" w:hAnsi="Times New Roman"/>
          <w:lang w:val="da-DK"/>
        </w:rPr>
        <w:t xml:space="preserve">som skal tages som 12 kapsler </w:t>
      </w:r>
      <w:r w:rsidRPr="00AA499E">
        <w:rPr>
          <w:rFonts w:ascii="Times New Roman" w:hAnsi="Times New Roman"/>
          <w:b/>
          <w:bCs/>
          <w:lang w:val="da-DK"/>
        </w:rPr>
        <w:t xml:space="preserve">én gang </w:t>
      </w:r>
      <w:r w:rsidRPr="00AA499E">
        <w:rPr>
          <w:rFonts w:ascii="Times New Roman" w:hAnsi="Times New Roman"/>
          <w:lang w:val="da-DK"/>
        </w:rPr>
        <w:t>daglig.</w:t>
      </w:r>
    </w:p>
    <w:p w14:paraId="0F3ACA85" w14:textId="77777777" w:rsidR="006478AD" w:rsidRPr="00AA499E" w:rsidRDefault="006478AD" w:rsidP="006D6672">
      <w:pPr>
        <w:autoSpaceDE w:val="0"/>
        <w:autoSpaceDN w:val="0"/>
        <w:adjustRightInd w:val="0"/>
        <w:spacing w:after="0" w:line="240" w:lineRule="auto"/>
        <w:rPr>
          <w:rFonts w:ascii="Times New Roman" w:hAnsi="Times New Roman"/>
          <w:lang w:val="da-DK"/>
        </w:rPr>
      </w:pPr>
    </w:p>
    <w:p w14:paraId="5D77FD6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kan foreskrive højere eller lavere dosis afhængigt af, hvordan du reagerer på behandlingen. Hvis din daglige dosis er 800 mg (16 kapsler), skal du tage 8 kapsler om morgenen og 8 kapsler om aftenen.</w:t>
      </w:r>
    </w:p>
    <w:p w14:paraId="5F41FF69" w14:textId="77777777" w:rsidR="00536D0A" w:rsidRPr="00AA499E" w:rsidRDefault="00536D0A">
      <w:pPr>
        <w:autoSpaceDE w:val="0"/>
        <w:autoSpaceDN w:val="0"/>
        <w:adjustRightInd w:val="0"/>
        <w:spacing w:after="0" w:line="240" w:lineRule="auto"/>
        <w:rPr>
          <w:rFonts w:ascii="Times New Roman" w:hAnsi="Times New Roman"/>
          <w:lang w:val="da-DK"/>
        </w:rPr>
      </w:pPr>
    </w:p>
    <w:p w14:paraId="01F03D8F" w14:textId="77777777" w:rsidR="00536D0A" w:rsidRPr="00AA499E" w:rsidRDefault="00536D0A" w:rsidP="00063A26">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Ph-positiv ALL: </w:t>
      </w:r>
    </w:p>
    <w:p w14:paraId="78764554" w14:textId="77777777" w:rsidR="00536D0A" w:rsidRPr="00AA499E" w:rsidRDefault="00536D0A" w:rsidP="00063A26">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600 mg, som skal tages som 12 kapsler </w:t>
      </w:r>
      <w:r w:rsidRPr="00AA499E">
        <w:rPr>
          <w:rFonts w:ascii="Times New Roman" w:hAnsi="Times New Roman"/>
          <w:b/>
          <w:bCs/>
          <w:lang w:val="da-DK"/>
        </w:rPr>
        <w:t xml:space="preserve">én gang </w:t>
      </w:r>
      <w:r w:rsidRPr="00AA499E">
        <w:rPr>
          <w:rFonts w:ascii="Times New Roman" w:hAnsi="Times New Roman"/>
          <w:lang w:val="da-DK"/>
        </w:rPr>
        <w:t>daglig.</w:t>
      </w:r>
    </w:p>
    <w:p w14:paraId="6C4E9210" w14:textId="77777777" w:rsidR="00536D0A" w:rsidRPr="00AA499E" w:rsidRDefault="00536D0A" w:rsidP="00536D0A">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 </w:t>
      </w:r>
    </w:p>
    <w:p w14:paraId="1D466BF9" w14:textId="77777777" w:rsidR="00536D0A" w:rsidRPr="00AA499E" w:rsidRDefault="00536D0A" w:rsidP="00063A26">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MDS/MPD: </w:t>
      </w:r>
    </w:p>
    <w:p w14:paraId="31A8E22F" w14:textId="77777777" w:rsidR="00536D0A" w:rsidRPr="00AA499E" w:rsidRDefault="00536D0A" w:rsidP="00063A26">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400 mg, som skal tages som 8 kapsler </w:t>
      </w:r>
      <w:r w:rsidRPr="00AA499E">
        <w:rPr>
          <w:rFonts w:ascii="Times New Roman" w:hAnsi="Times New Roman"/>
          <w:b/>
          <w:bCs/>
          <w:lang w:val="da-DK"/>
        </w:rPr>
        <w:t xml:space="preserve">én gang </w:t>
      </w:r>
      <w:r w:rsidRPr="00AA499E">
        <w:rPr>
          <w:rFonts w:ascii="Times New Roman" w:hAnsi="Times New Roman"/>
          <w:lang w:val="da-DK"/>
        </w:rPr>
        <w:t>daglig.</w:t>
      </w:r>
    </w:p>
    <w:p w14:paraId="36F9FDCA" w14:textId="77777777" w:rsidR="00536D0A" w:rsidRPr="00AA499E" w:rsidRDefault="00536D0A" w:rsidP="00536D0A">
      <w:pPr>
        <w:autoSpaceDE w:val="0"/>
        <w:autoSpaceDN w:val="0"/>
        <w:adjustRightInd w:val="0"/>
        <w:spacing w:after="0" w:line="240" w:lineRule="auto"/>
        <w:rPr>
          <w:rFonts w:ascii="Times New Roman" w:hAnsi="Times New Roman"/>
          <w:lang w:val="da-DK"/>
        </w:rPr>
      </w:pPr>
    </w:p>
    <w:p w14:paraId="2F8A0A9F" w14:textId="77777777" w:rsidR="00536D0A" w:rsidRPr="00AA499E" w:rsidRDefault="00536D0A" w:rsidP="00063A26">
      <w:pPr>
        <w:pStyle w:val="Default"/>
        <w:numPr>
          <w:ilvl w:val="0"/>
          <w:numId w:val="24"/>
        </w:numPr>
        <w:ind w:left="567" w:hanging="567"/>
        <w:rPr>
          <w:sz w:val="22"/>
          <w:szCs w:val="22"/>
          <w:lang w:val="da-DK"/>
        </w:rPr>
      </w:pPr>
      <w:r w:rsidRPr="00AA499E">
        <w:rPr>
          <w:b/>
          <w:bCs/>
          <w:sz w:val="22"/>
          <w:szCs w:val="22"/>
          <w:lang w:val="da-DK"/>
        </w:rPr>
        <w:t xml:space="preserve">Hvis du behandles for HES/CEL: </w:t>
      </w:r>
    </w:p>
    <w:p w14:paraId="5DC6403D" w14:textId="77777777" w:rsidR="00536D0A" w:rsidRPr="00AA499E" w:rsidRDefault="00536D0A" w:rsidP="00063A26">
      <w:pPr>
        <w:pStyle w:val="Default"/>
        <w:ind w:left="567"/>
        <w:rPr>
          <w:sz w:val="22"/>
          <w:szCs w:val="22"/>
          <w:lang w:val="da-DK"/>
        </w:rPr>
      </w:pPr>
      <w:r w:rsidRPr="00AA499E">
        <w:rPr>
          <w:sz w:val="22"/>
          <w:szCs w:val="22"/>
          <w:lang w:val="da-DK"/>
        </w:rPr>
        <w:t xml:space="preserve">Startdosis er 100 mg, som skal tages som 2 kapsler </w:t>
      </w:r>
      <w:r w:rsidRPr="00AA499E">
        <w:rPr>
          <w:b/>
          <w:bCs/>
          <w:sz w:val="22"/>
          <w:szCs w:val="22"/>
          <w:lang w:val="da-DK"/>
        </w:rPr>
        <w:t xml:space="preserve">én gang </w:t>
      </w:r>
      <w:r w:rsidRPr="00AA499E">
        <w:rPr>
          <w:sz w:val="22"/>
          <w:szCs w:val="22"/>
          <w:lang w:val="da-DK"/>
        </w:rPr>
        <w:t xml:space="preserve">daglig. Din læge kan beslutte at øge dosis til 400 mg, som skal tages som 8 kapsler </w:t>
      </w:r>
      <w:r w:rsidRPr="00AA499E">
        <w:rPr>
          <w:b/>
          <w:bCs/>
          <w:sz w:val="22"/>
          <w:szCs w:val="22"/>
          <w:lang w:val="da-DK"/>
        </w:rPr>
        <w:t xml:space="preserve">én gang </w:t>
      </w:r>
      <w:r w:rsidRPr="00AA499E">
        <w:rPr>
          <w:sz w:val="22"/>
          <w:szCs w:val="22"/>
          <w:lang w:val="da-DK"/>
        </w:rPr>
        <w:t xml:space="preserve">daglig afhængig af, hvordan du responderer på behandlingen. </w:t>
      </w:r>
    </w:p>
    <w:p w14:paraId="199B5322" w14:textId="77777777" w:rsidR="00536D0A" w:rsidRPr="00AA499E" w:rsidRDefault="00536D0A" w:rsidP="00536D0A">
      <w:pPr>
        <w:pStyle w:val="Default"/>
        <w:rPr>
          <w:sz w:val="22"/>
          <w:szCs w:val="22"/>
          <w:lang w:val="da-DK"/>
        </w:rPr>
      </w:pPr>
    </w:p>
    <w:p w14:paraId="76D0F333" w14:textId="77777777" w:rsidR="00536D0A" w:rsidRPr="00AA499E" w:rsidRDefault="00536D0A" w:rsidP="00063A26">
      <w:pPr>
        <w:pStyle w:val="Default"/>
        <w:numPr>
          <w:ilvl w:val="0"/>
          <w:numId w:val="24"/>
        </w:numPr>
        <w:ind w:left="567" w:hanging="567"/>
        <w:rPr>
          <w:sz w:val="22"/>
          <w:szCs w:val="22"/>
          <w:lang w:val="da-DK"/>
        </w:rPr>
      </w:pPr>
      <w:r w:rsidRPr="00AA499E">
        <w:rPr>
          <w:b/>
          <w:bCs/>
          <w:sz w:val="22"/>
          <w:szCs w:val="22"/>
          <w:lang w:val="da-DK"/>
        </w:rPr>
        <w:t xml:space="preserve">Hvis du behandles for DSFP: </w:t>
      </w:r>
    </w:p>
    <w:p w14:paraId="490EE00A" w14:textId="77777777" w:rsidR="00536D0A" w:rsidRPr="00AA499E" w:rsidRDefault="00536D0A" w:rsidP="00063A26">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Dosis er 800 mg pr. dag (16 kapsler). Du skal tage 8 kapsler om morgenen og 8 kapsler om aftenen.</w:t>
      </w:r>
    </w:p>
    <w:p w14:paraId="5AB5CADB" w14:textId="77777777" w:rsidR="006478AD" w:rsidRPr="00AA499E" w:rsidRDefault="006478AD">
      <w:pPr>
        <w:autoSpaceDE w:val="0"/>
        <w:autoSpaceDN w:val="0"/>
        <w:adjustRightInd w:val="0"/>
        <w:spacing w:after="0" w:line="240" w:lineRule="auto"/>
        <w:rPr>
          <w:rFonts w:ascii="Times New Roman" w:hAnsi="Times New Roman"/>
          <w:lang w:val="da-DK"/>
        </w:rPr>
      </w:pPr>
    </w:p>
    <w:p w14:paraId="0B340AA1"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Brug til børn og </w:t>
      </w:r>
      <w:r w:rsidR="00551E6A" w:rsidRPr="00AA499E">
        <w:rPr>
          <w:rFonts w:ascii="Times New Roman" w:hAnsi="Times New Roman"/>
          <w:b/>
          <w:bCs/>
          <w:lang w:val="da-DK"/>
        </w:rPr>
        <w:t>unge</w:t>
      </w:r>
    </w:p>
    <w:p w14:paraId="66887882" w14:textId="77777777" w:rsidR="00CE7A7F"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Lægen vil fortælle dig, hvor mange Imatinib Actavis-kapsler, du skal give dit barn. Antallet af Imatinib Actavis-kapsler afhænger af barnets tilstand, kropsvægt og højde. </w:t>
      </w:r>
    </w:p>
    <w:p w14:paraId="1C841202" w14:textId="77777777" w:rsidR="006478AD" w:rsidRPr="00AA499E" w:rsidRDefault="009770B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totale daglige dosis til børn må ikke overstige 800 mg for CML-patienter og 600 mg for Ph+ALL-patienter. </w:t>
      </w:r>
      <w:r w:rsidR="00616F3C" w:rsidRPr="00AA499E">
        <w:rPr>
          <w:rFonts w:ascii="Times New Roman" w:hAnsi="Times New Roman"/>
          <w:lang w:val="da-DK"/>
        </w:rPr>
        <w:t>Behandlingen kan enten gives til dit barn som én daglig dosis, eller alternativt kan den daglige dosis deles og gives to gange (halvdelen om morgenen og den anden halvdel om aftenen).</w:t>
      </w:r>
    </w:p>
    <w:p w14:paraId="11B39718" w14:textId="77777777" w:rsidR="006478AD" w:rsidRPr="00AA499E" w:rsidRDefault="006478AD">
      <w:pPr>
        <w:autoSpaceDE w:val="0"/>
        <w:autoSpaceDN w:val="0"/>
        <w:adjustRightInd w:val="0"/>
        <w:spacing w:after="0" w:line="240" w:lineRule="auto"/>
        <w:rPr>
          <w:rFonts w:ascii="Times New Roman" w:hAnsi="Times New Roman"/>
          <w:lang w:val="da-DK"/>
        </w:rPr>
      </w:pPr>
    </w:p>
    <w:p w14:paraId="31B8285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Hvornår og hvordan skal du tage Imatinib Actavis</w:t>
      </w:r>
    </w:p>
    <w:p w14:paraId="00EF98E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
          <w:bCs/>
          <w:lang w:val="da-DK"/>
        </w:rPr>
        <w:t xml:space="preserve">Tag Imatinib Actavis sammen med et måltid. </w:t>
      </w:r>
      <w:r w:rsidRPr="00AA499E">
        <w:rPr>
          <w:rFonts w:ascii="Times New Roman" w:hAnsi="Times New Roman"/>
          <w:lang w:val="da-DK"/>
        </w:rPr>
        <w:t>Dette vil hjælpe med at beskytte dig mod maveproblemer, når du tager Imatinib Actavis.</w:t>
      </w:r>
    </w:p>
    <w:p w14:paraId="02C9717F" w14:textId="77777777" w:rsidR="006478AD" w:rsidRPr="00AA499E" w:rsidRDefault="00616F3C">
      <w:pPr>
        <w:pStyle w:val="Default"/>
        <w:spacing w:after="28"/>
        <w:ind w:left="567" w:hanging="567"/>
        <w:rPr>
          <w:sz w:val="22"/>
          <w:szCs w:val="22"/>
          <w:lang w:val="da-DK"/>
        </w:rPr>
      </w:pPr>
      <w:r w:rsidRPr="00AA499E">
        <w:rPr>
          <w:sz w:val="22"/>
          <w:szCs w:val="22"/>
          <w:lang w:val="da-DK"/>
        </w:rPr>
        <w:t xml:space="preserve">- </w:t>
      </w:r>
      <w:r w:rsidRPr="00AA499E">
        <w:rPr>
          <w:sz w:val="22"/>
          <w:szCs w:val="22"/>
          <w:lang w:val="da-DK"/>
        </w:rPr>
        <w:tab/>
      </w:r>
      <w:r w:rsidRPr="00AA499E">
        <w:rPr>
          <w:b/>
          <w:bCs/>
          <w:sz w:val="22"/>
          <w:szCs w:val="22"/>
          <w:lang w:val="da-DK"/>
        </w:rPr>
        <w:t xml:space="preserve">Synk kapslerne hele med et stort glas vand. </w:t>
      </w:r>
      <w:r w:rsidRPr="00AA499E">
        <w:rPr>
          <w:sz w:val="22"/>
          <w:szCs w:val="22"/>
          <w:lang w:val="da-DK"/>
        </w:rPr>
        <w:t xml:space="preserve">Du må ikke åbne eller knuse kapslerne med mindre du ikke er i stand til at synke (for eksempel hos børn). </w:t>
      </w:r>
    </w:p>
    <w:p w14:paraId="0513C2A0" w14:textId="77777777" w:rsidR="006478AD" w:rsidRPr="00AA499E" w:rsidRDefault="00616F3C">
      <w:pPr>
        <w:pStyle w:val="Default"/>
        <w:spacing w:after="28"/>
        <w:ind w:left="567" w:hanging="567"/>
        <w:rPr>
          <w:sz w:val="22"/>
          <w:szCs w:val="22"/>
          <w:lang w:val="da-DK"/>
        </w:rPr>
      </w:pPr>
      <w:r w:rsidRPr="00AA499E">
        <w:rPr>
          <w:sz w:val="22"/>
          <w:szCs w:val="22"/>
          <w:lang w:val="da-DK"/>
        </w:rPr>
        <w:t xml:space="preserve">- </w:t>
      </w:r>
      <w:r w:rsidRPr="00AA499E">
        <w:rPr>
          <w:sz w:val="22"/>
          <w:szCs w:val="22"/>
          <w:lang w:val="da-DK"/>
        </w:rPr>
        <w:tab/>
        <w:t xml:space="preserve">Hvis du ikke er i stand til at synke kapslerne, kan du åbne dem og opløse pulveret i et glas almindeligt vand eller æblejuice. </w:t>
      </w:r>
    </w:p>
    <w:p w14:paraId="621E168D" w14:textId="77777777" w:rsidR="006478AD" w:rsidRPr="00AA499E" w:rsidRDefault="00616F3C">
      <w:pPr>
        <w:pStyle w:val="Default"/>
        <w:ind w:left="567" w:hanging="567"/>
        <w:rPr>
          <w:sz w:val="22"/>
          <w:szCs w:val="22"/>
          <w:lang w:val="da-DK"/>
        </w:rPr>
      </w:pPr>
      <w:r w:rsidRPr="00AA499E">
        <w:rPr>
          <w:sz w:val="22"/>
          <w:szCs w:val="22"/>
          <w:lang w:val="da-DK"/>
        </w:rPr>
        <w:lastRenderedPageBreak/>
        <w:t xml:space="preserve">- </w:t>
      </w:r>
      <w:r w:rsidRPr="00AA499E">
        <w:rPr>
          <w:sz w:val="22"/>
          <w:szCs w:val="22"/>
          <w:lang w:val="da-DK"/>
        </w:rPr>
        <w:tab/>
        <w:t xml:space="preserve">Hvis du er kvinde og er gravid eller planlægger at blive gravid, skal du være forsigtig, når du åbner kasplerne og håndterer indholdet for at undgå hud- og øjenkontakt eller indånding af pulveret. Du skal vaske dine hænder straks efter, du har åbnet kapslerne. </w:t>
      </w:r>
    </w:p>
    <w:p w14:paraId="3754070C" w14:textId="77777777" w:rsidR="006478AD" w:rsidRPr="00AA499E" w:rsidRDefault="006478AD">
      <w:pPr>
        <w:pStyle w:val="KeinLeerraum"/>
        <w:rPr>
          <w:rFonts w:ascii="Times New Roman" w:hAnsi="Times New Roman"/>
          <w:highlight w:val="lightGray"/>
          <w:lang w:val="da-DK"/>
        </w:rPr>
      </w:pPr>
    </w:p>
    <w:p w14:paraId="2D9F205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 længe skal du tage Imatinib Actavis</w:t>
      </w:r>
    </w:p>
    <w:p w14:paraId="4CA8804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Bliv ved med at tage Imatinib Actavis hver dag, så længe som din læge har foreskevet det.</w:t>
      </w:r>
    </w:p>
    <w:p w14:paraId="774EC384" w14:textId="77777777" w:rsidR="006478AD" w:rsidRPr="00AA499E" w:rsidRDefault="006478AD">
      <w:pPr>
        <w:autoSpaceDE w:val="0"/>
        <w:autoSpaceDN w:val="0"/>
        <w:adjustRightInd w:val="0"/>
        <w:spacing w:after="0" w:line="240" w:lineRule="auto"/>
        <w:rPr>
          <w:rFonts w:ascii="Times New Roman" w:hAnsi="Times New Roman"/>
          <w:lang w:val="da-DK"/>
        </w:rPr>
      </w:pPr>
    </w:p>
    <w:p w14:paraId="23AF8BFA"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taget for meget Imatinib Actavis</w:t>
      </w:r>
    </w:p>
    <w:p w14:paraId="2099B46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Hvis du ved et uheld har indtaget for mange kapsler, skal du kontakte din læge  </w:t>
      </w:r>
      <w:r w:rsidRPr="00AA499E">
        <w:rPr>
          <w:rFonts w:ascii="Times New Roman" w:hAnsi="Times New Roman"/>
          <w:b/>
          <w:bCs/>
          <w:lang w:val="da-DK"/>
        </w:rPr>
        <w:t>med det samme</w:t>
      </w:r>
      <w:r w:rsidRPr="00AA499E">
        <w:rPr>
          <w:rFonts w:ascii="Times New Roman" w:hAnsi="Times New Roman"/>
          <w:lang w:val="da-DK"/>
        </w:rPr>
        <w:t>. Lægebehandling kan være nødvendig. Tag pakningen med dig.</w:t>
      </w:r>
    </w:p>
    <w:p w14:paraId="43AA0724" w14:textId="77777777" w:rsidR="006478AD" w:rsidRPr="00AA499E" w:rsidRDefault="006478AD">
      <w:pPr>
        <w:autoSpaceDE w:val="0"/>
        <w:autoSpaceDN w:val="0"/>
        <w:adjustRightInd w:val="0"/>
        <w:spacing w:after="0" w:line="240" w:lineRule="auto"/>
        <w:rPr>
          <w:rFonts w:ascii="Times New Roman" w:hAnsi="Times New Roman"/>
          <w:lang w:val="da-DK"/>
        </w:rPr>
      </w:pPr>
    </w:p>
    <w:p w14:paraId="6CE0CD5D"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glemt at tage Imatinib Actavis</w:t>
      </w:r>
    </w:p>
    <w:p w14:paraId="0733481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glemmer at tage en dosis, så tag den, så snart du kommer i tanke om det. Men hvis det næsten er tid til at tage den næste dosis, skal du springe den glemte dosis over.</w:t>
      </w:r>
    </w:p>
    <w:p w14:paraId="55619C5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Fortsæt derefter med den planlagte dosering.</w:t>
      </w:r>
    </w:p>
    <w:p w14:paraId="1CB82E8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Du må ikke tage en dobbeltdosis som erstatning for den glemte dosis.</w:t>
      </w:r>
    </w:p>
    <w:p w14:paraId="60DD6787" w14:textId="77777777" w:rsidR="006478AD" w:rsidRPr="00AA499E" w:rsidRDefault="006478AD">
      <w:pPr>
        <w:autoSpaceDE w:val="0"/>
        <w:autoSpaceDN w:val="0"/>
        <w:adjustRightInd w:val="0"/>
        <w:spacing w:after="0" w:line="240" w:lineRule="auto"/>
        <w:ind w:left="567" w:hanging="567"/>
        <w:rPr>
          <w:rFonts w:ascii="Times New Roman" w:hAnsi="Times New Roman"/>
          <w:lang w:val="da-DK"/>
        </w:rPr>
      </w:pPr>
    </w:p>
    <w:p w14:paraId="28D97D43" w14:textId="6A52C64A"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Spørg lægen, på apoteket </w:t>
      </w:r>
      <w:r w:rsidR="006B0B7E" w:rsidRPr="00AA499E">
        <w:rPr>
          <w:rFonts w:ascii="Times New Roman" w:hAnsi="Times New Roman"/>
          <w:lang w:val="da-DK"/>
        </w:rPr>
        <w:t>eller sygeplejersken</w:t>
      </w:r>
      <w:r w:rsidRPr="00AA499E">
        <w:rPr>
          <w:rFonts w:ascii="Times New Roman" w:hAnsi="Times New Roman"/>
          <w:lang w:val="da-DK"/>
        </w:rPr>
        <w:t>, hvis der er noget, du er i tvivl om.</w:t>
      </w:r>
    </w:p>
    <w:p w14:paraId="3AA7374D" w14:textId="77777777" w:rsidR="006478AD" w:rsidRPr="00AA499E" w:rsidRDefault="006478AD">
      <w:pPr>
        <w:autoSpaceDE w:val="0"/>
        <w:autoSpaceDN w:val="0"/>
        <w:adjustRightInd w:val="0"/>
        <w:spacing w:after="0" w:line="240" w:lineRule="auto"/>
        <w:rPr>
          <w:rFonts w:ascii="Times New Roman" w:hAnsi="Times New Roman"/>
          <w:lang w:val="da-DK"/>
        </w:rPr>
      </w:pPr>
    </w:p>
    <w:p w14:paraId="3C015526" w14:textId="77777777" w:rsidR="006478AD" w:rsidRPr="00AA499E" w:rsidRDefault="006478AD">
      <w:pPr>
        <w:autoSpaceDE w:val="0"/>
        <w:autoSpaceDN w:val="0"/>
        <w:adjustRightInd w:val="0"/>
        <w:spacing w:after="0" w:line="240" w:lineRule="auto"/>
        <w:rPr>
          <w:rFonts w:ascii="Times New Roman" w:hAnsi="Times New Roman"/>
          <w:lang w:val="da-DK"/>
        </w:rPr>
      </w:pPr>
    </w:p>
    <w:p w14:paraId="1A2C53EC"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w:t>
      </w:r>
      <w:r w:rsidRPr="00AA499E">
        <w:rPr>
          <w:rFonts w:ascii="Times New Roman" w:hAnsi="Times New Roman"/>
          <w:b/>
          <w:bCs/>
          <w:lang w:val="da-DK"/>
        </w:rPr>
        <w:tab/>
        <w:t>Bivirkninger</w:t>
      </w:r>
    </w:p>
    <w:p w14:paraId="319C324B" w14:textId="77777777" w:rsidR="006478AD" w:rsidRPr="00AA499E" w:rsidRDefault="006478AD">
      <w:pPr>
        <w:autoSpaceDE w:val="0"/>
        <w:autoSpaceDN w:val="0"/>
        <w:adjustRightInd w:val="0"/>
        <w:spacing w:after="0" w:line="240" w:lineRule="auto"/>
        <w:rPr>
          <w:rFonts w:ascii="Times New Roman" w:hAnsi="Times New Roman"/>
          <w:lang w:val="da-DK"/>
        </w:rPr>
      </w:pPr>
    </w:p>
    <w:p w14:paraId="50422B81" w14:textId="048E034A"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Dette lægemiddel kan</w:t>
      </w:r>
      <w:r w:rsidR="0060751F" w:rsidRPr="00AA499E">
        <w:rPr>
          <w:rFonts w:ascii="Times New Roman" w:hAnsi="Times New Roman"/>
          <w:lang w:val="da-DK"/>
        </w:rPr>
        <w:t xml:space="preserve"> som</w:t>
      </w:r>
      <w:r w:rsidRPr="00AA499E">
        <w:rPr>
          <w:rFonts w:ascii="Times New Roman" w:hAnsi="Times New Roman"/>
          <w:lang w:val="da-DK"/>
        </w:rPr>
        <w:t xml:space="preserve"> </w:t>
      </w:r>
      <w:r w:rsidR="0060751F" w:rsidRPr="00694BC7">
        <w:rPr>
          <w:rFonts w:ascii="Times New Roman" w:hAnsi="Times New Roman"/>
          <w:szCs w:val="24"/>
          <w:lang w:val="da-DK"/>
        </w:rPr>
        <w:t xml:space="preserve">alle andre lægemidler </w:t>
      </w:r>
      <w:r w:rsidRPr="00AA499E">
        <w:rPr>
          <w:rFonts w:ascii="Times New Roman" w:hAnsi="Times New Roman"/>
          <w:lang w:val="da-DK"/>
        </w:rPr>
        <w:t>give bivirkninger, men ikke alle får bivirkninger. De er som regel lette til moderate.</w:t>
      </w:r>
    </w:p>
    <w:p w14:paraId="158BDFEA" w14:textId="77777777" w:rsidR="006478AD" w:rsidRPr="00AA499E" w:rsidRDefault="006478AD">
      <w:pPr>
        <w:autoSpaceDE w:val="0"/>
        <w:autoSpaceDN w:val="0"/>
        <w:adjustRightInd w:val="0"/>
        <w:spacing w:after="0" w:line="240" w:lineRule="auto"/>
        <w:rPr>
          <w:rFonts w:ascii="Times New Roman" w:hAnsi="Times New Roman"/>
          <w:lang w:val="da-DK"/>
        </w:rPr>
      </w:pPr>
    </w:p>
    <w:p w14:paraId="3219C4A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Nogle bivirkninger kan være alvorlige. Kontakt din læge med det samme, hvis du oplever nogle af de følgende bivirkninger:</w:t>
      </w:r>
    </w:p>
    <w:p w14:paraId="219976A3" w14:textId="77777777" w:rsidR="006478AD" w:rsidRPr="00AA499E" w:rsidRDefault="006478AD">
      <w:pPr>
        <w:autoSpaceDE w:val="0"/>
        <w:autoSpaceDN w:val="0"/>
        <w:adjustRightInd w:val="0"/>
        <w:spacing w:after="0" w:line="240" w:lineRule="auto"/>
        <w:rPr>
          <w:rFonts w:ascii="Times New Roman" w:hAnsi="Times New Roman"/>
          <w:lang w:val="da-DK"/>
        </w:rPr>
      </w:pPr>
    </w:p>
    <w:p w14:paraId="1769016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Meget almindelige</w:t>
      </w:r>
      <w:r w:rsidR="004E4F39" w:rsidRPr="00AA499E">
        <w:rPr>
          <w:rFonts w:ascii="Times New Roman" w:hAnsi="Times New Roman"/>
          <w:b/>
          <w:bCs/>
          <w:lang w:val="da-DK"/>
        </w:rPr>
        <w:t xml:space="preserve"> (</w:t>
      </w:r>
      <w:r w:rsidR="004E4F39" w:rsidRPr="00AA499E">
        <w:rPr>
          <w:rFonts w:ascii="Times New Roman" w:hAnsi="Times New Roman"/>
          <w:lang w:val="da-DK"/>
        </w:rPr>
        <w:t>kan forekomme hos flere end 1 ud af 10 mennesker)</w:t>
      </w:r>
      <w:r w:rsidRPr="00AA499E">
        <w:rPr>
          <w:rFonts w:ascii="Times New Roman" w:hAnsi="Times New Roman"/>
          <w:b/>
          <w:bCs/>
          <w:lang w:val="da-DK"/>
        </w:rPr>
        <w:t xml:space="preserve"> eller almindelige (</w:t>
      </w:r>
      <w:r w:rsidRPr="00AA499E">
        <w:rPr>
          <w:rFonts w:ascii="Times New Roman" w:hAnsi="Times New Roman"/>
          <w:lang w:val="da-DK"/>
        </w:rPr>
        <w:t xml:space="preserve">kan forekomme </w:t>
      </w:r>
      <w:r w:rsidR="004E4F39" w:rsidRPr="00AA499E">
        <w:rPr>
          <w:rFonts w:ascii="Times New Roman" w:hAnsi="Times New Roman"/>
          <w:lang w:val="da-DK"/>
        </w:rPr>
        <w:t>op til</w:t>
      </w:r>
      <w:r w:rsidRPr="00AA499E">
        <w:rPr>
          <w:rFonts w:ascii="Times New Roman" w:hAnsi="Times New Roman"/>
          <w:lang w:val="da-DK"/>
        </w:rPr>
        <w:t xml:space="preserve"> 1 ud af 10 mennesker)</w:t>
      </w:r>
      <w:r w:rsidRPr="00AA499E">
        <w:rPr>
          <w:rFonts w:ascii="Times New Roman" w:hAnsi="Times New Roman"/>
          <w:b/>
          <w:bCs/>
          <w:lang w:val="da-DK"/>
        </w:rPr>
        <w:t>:</w:t>
      </w:r>
    </w:p>
    <w:p w14:paraId="32671951"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Hurtig vægtøgning. Imatinib Actavis kan forårsage, at din krop begynder at ophobe væske (svær væskeretention).</w:t>
      </w:r>
    </w:p>
    <w:p w14:paraId="384316E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Symptomer på infektioner såsom feber, kraftige kulderystelser, ondt i halsen eller sår i munden. Imatinib Actavis kan nedsætte antallet af hvide blodlegemer, så du lettere kan få infektioner.</w:t>
      </w:r>
    </w:p>
    <w:p w14:paraId="00D2C45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oplever uventede blødninger eller blå mærker (når du ikke er kommet til skade).</w:t>
      </w:r>
    </w:p>
    <w:p w14:paraId="30C3BD7D" w14:textId="77777777" w:rsidR="006478AD" w:rsidRPr="00AA499E" w:rsidRDefault="006478AD">
      <w:pPr>
        <w:autoSpaceDE w:val="0"/>
        <w:autoSpaceDN w:val="0"/>
        <w:adjustRightInd w:val="0"/>
        <w:spacing w:after="0" w:line="240" w:lineRule="auto"/>
        <w:rPr>
          <w:rFonts w:ascii="Times New Roman" w:hAnsi="Times New Roman"/>
          <w:lang w:val="da-DK"/>
        </w:rPr>
      </w:pPr>
    </w:p>
    <w:p w14:paraId="6049238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almindelige </w:t>
      </w:r>
      <w:r w:rsidRPr="00AA499E">
        <w:rPr>
          <w:rFonts w:ascii="Times New Roman" w:hAnsi="Times New Roman"/>
          <w:lang w:val="da-DK"/>
        </w:rPr>
        <w:t>(kan forekomme hos op til 1 ud af 100 mennesker)</w:t>
      </w:r>
      <w:r w:rsidR="004D0250" w:rsidRPr="00AA499E">
        <w:rPr>
          <w:rFonts w:ascii="Times New Roman" w:hAnsi="Times New Roman"/>
          <w:lang w:val="da-DK"/>
        </w:rPr>
        <w:t xml:space="preserve"> </w:t>
      </w:r>
      <w:r w:rsidRPr="00AA499E">
        <w:rPr>
          <w:rFonts w:ascii="Times New Roman" w:hAnsi="Times New Roman"/>
          <w:b/>
          <w:bCs/>
          <w:lang w:val="da-DK"/>
        </w:rPr>
        <w:t xml:space="preserve">til sjældne </w:t>
      </w:r>
      <w:r w:rsidRPr="00AA499E">
        <w:rPr>
          <w:rFonts w:ascii="Times New Roman" w:hAnsi="Times New Roman"/>
          <w:lang w:val="da-DK"/>
        </w:rPr>
        <w:t>(kan forekomme hos op til 1 ud af 1.000 mennesker)</w:t>
      </w:r>
      <w:r w:rsidRPr="00AA499E">
        <w:rPr>
          <w:rFonts w:ascii="Times New Roman" w:hAnsi="Times New Roman"/>
          <w:b/>
          <w:bCs/>
          <w:lang w:val="da-DK"/>
        </w:rPr>
        <w:t>:</w:t>
      </w:r>
    </w:p>
    <w:p w14:paraId="70E3C89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Brystsmerter, uregelmæssig hjerterytme (tegn på hjerteproblemer).</w:t>
      </w:r>
    </w:p>
    <w:p w14:paraId="6D933E5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Hoste, åndedrætsbesvær eller smerter ved vejrtrækning (tegn på lungeproblemer).</w:t>
      </w:r>
    </w:p>
    <w:p w14:paraId="44CB889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besvime (tegn på lavt blodtryk).</w:t>
      </w:r>
    </w:p>
    <w:p w14:paraId="4F44D65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Have kvalme med tab af appetitten, </w:t>
      </w:r>
      <w:r w:rsidR="00DE134F" w:rsidRPr="00AA499E">
        <w:rPr>
          <w:rFonts w:ascii="Times New Roman" w:hAnsi="Times New Roman"/>
          <w:lang w:val="da-DK"/>
        </w:rPr>
        <w:t>mørk</w:t>
      </w:r>
      <w:r w:rsidR="00DE134F" w:rsidRPr="00AA499E" w:rsidDel="00DE134F">
        <w:rPr>
          <w:rFonts w:ascii="Times New Roman" w:hAnsi="Times New Roman"/>
          <w:lang w:val="da-DK"/>
        </w:rPr>
        <w:t xml:space="preserve"> </w:t>
      </w:r>
      <w:r w:rsidRPr="00AA499E">
        <w:rPr>
          <w:rFonts w:ascii="Times New Roman" w:hAnsi="Times New Roman"/>
          <w:lang w:val="da-DK"/>
        </w:rPr>
        <w:t>urin, gul hud eller øjne (tegn på leverproblemer).</w:t>
      </w:r>
    </w:p>
    <w:p w14:paraId="1EE073C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Udslæt, rød hud med små blærer på læber, øjne, hud eller mund, afskallet hud, feber, hævede røde eller lilla hudområder, kløe, brændende fornemmelse, pustuløst udslæt (tegn på hudproblemer).</w:t>
      </w:r>
    </w:p>
    <w:p w14:paraId="23C61912"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Kraftige mavesmerter, blod i opkast, afføring eller urin, sortfarvet afføring (tegn på mave-tarm-sygdomme).</w:t>
      </w:r>
    </w:p>
    <w:p w14:paraId="01BC8C7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Kraftigt nedsat urinmængde, følelse af tørst (tegn på nyreproblemer).</w:t>
      </w:r>
    </w:p>
    <w:p w14:paraId="3965DBF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Have kvalme med diarré og opkastning, mavesmerter eller feber (tegn på tarmproblemer).</w:t>
      </w:r>
    </w:p>
    <w:p w14:paraId="13B5778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t>Kraftig hovedpine, svækkelse eller lammelser af lemmer eller ansigt, talebesvær, pludseligt bevidsthedstab (tegn på problemer med nervesystemet</w:t>
      </w:r>
      <w:r w:rsidR="00DE134F" w:rsidRPr="00AA499E">
        <w:rPr>
          <w:rFonts w:ascii="Times New Roman" w:hAnsi="Times New Roman"/>
          <w:lang w:val="da-DK"/>
        </w:rPr>
        <w:t xml:space="preserve"> såsom blødning eller hævelse i kranie/hjerne</w:t>
      </w:r>
      <w:r w:rsidRPr="00AA499E">
        <w:rPr>
          <w:rFonts w:ascii="Times New Roman" w:hAnsi="Times New Roman"/>
          <w:lang w:val="da-DK"/>
        </w:rPr>
        <w:t>).</w:t>
      </w:r>
    </w:p>
    <w:p w14:paraId="33B7D8E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Bleghed, føle sig træt og stakåndet og have mørk urin (tegn på lavt antal røde blodceller).</w:t>
      </w:r>
    </w:p>
    <w:p w14:paraId="2F09D63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Øjensmerter eller svækkelse af dit syn</w:t>
      </w:r>
      <w:r w:rsidR="00DE134F" w:rsidRPr="00AA499E">
        <w:rPr>
          <w:rFonts w:ascii="Times New Roman" w:hAnsi="Times New Roman"/>
          <w:lang w:val="da-DK"/>
        </w:rPr>
        <w:t>, blødning i øjnene.</w:t>
      </w:r>
    </w:p>
    <w:p w14:paraId="276CA95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i hoften eller svært ved at gå.</w:t>
      </w:r>
    </w:p>
    <w:p w14:paraId="0EA95DE1"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Følelsesløse eller kolde tæer og fingre (tegn på Raynaud´s syndrom).</w:t>
      </w:r>
    </w:p>
    <w:p w14:paraId="12832A1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Pludselig hævelse og rødme af huden (tegn på en hudinfektion kaldet cellulitis).</w:t>
      </w:r>
    </w:p>
    <w:p w14:paraId="4CF2E51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Hørebesvær.</w:t>
      </w:r>
    </w:p>
    <w:p w14:paraId="1D4C4FD2"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Muskelsvaghed, kramper og en unormal hjerterytme (tegn på ændringer i mængden af kalium i dit blod).</w:t>
      </w:r>
    </w:p>
    <w:p w14:paraId="139EED4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Let ved at få blå mærker.</w:t>
      </w:r>
    </w:p>
    <w:p w14:paraId="53027DC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Mavesmerter med kvalme.</w:t>
      </w:r>
    </w:p>
    <w:p w14:paraId="21A0678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med feber, rød-brun urin, smerter eller svaghed i dine muskler (tegn på muskelproblemer).</w:t>
      </w:r>
    </w:p>
    <w:p w14:paraId="21B17CC4"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Bækkensmerter, nogle gange med kvalme og opkastninger med uventet vaginalblødning, føle sig svimmel eller besvime pga. nedsat blodtryk (tegn på problemer med dine æggestokke eller livmoder).</w:t>
      </w:r>
    </w:p>
    <w:p w14:paraId="310C3E4D" w14:textId="77777777" w:rsidR="0017077B" w:rsidRPr="00AA499E" w:rsidRDefault="00616F3C"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Kvalme, åndenød, uregelmæssig hjerterytme (puls), uklar urin, træthed og/eller ubehag forbundet med abnorme resultater af laboratorieprøver (f.eks. højt kalium-, urinsyre- og </w:t>
      </w:r>
      <w:r w:rsidR="00CE7A7F" w:rsidRPr="00AA499E">
        <w:rPr>
          <w:rFonts w:ascii="Times New Roman" w:hAnsi="Times New Roman"/>
          <w:lang w:val="da-DK"/>
        </w:rPr>
        <w:t xml:space="preserve">calcium og lavt </w:t>
      </w:r>
      <w:r w:rsidRPr="00AA499E">
        <w:rPr>
          <w:rFonts w:ascii="Times New Roman" w:hAnsi="Times New Roman"/>
          <w:lang w:val="da-DK"/>
        </w:rPr>
        <w:t>fosforniveau i blodet).</w:t>
      </w:r>
    </w:p>
    <w:p w14:paraId="3DBED44F" w14:textId="77777777" w:rsidR="0017077B" w:rsidRPr="00C76A02" w:rsidRDefault="0017077B" w:rsidP="0017077B">
      <w:pPr>
        <w:autoSpaceDE w:val="0"/>
        <w:autoSpaceDN w:val="0"/>
        <w:adjustRightInd w:val="0"/>
        <w:spacing w:after="0" w:line="240" w:lineRule="auto"/>
        <w:ind w:left="567" w:hanging="567"/>
        <w:rPr>
          <w:rFonts w:ascii="Times New Roman" w:hAnsi="Times New Roman"/>
          <w:lang w:val="sv-SE"/>
        </w:rPr>
      </w:pPr>
      <w:r w:rsidRPr="00C76A02">
        <w:rPr>
          <w:rFonts w:ascii="Times New Roman" w:hAnsi="Times New Roman"/>
          <w:lang w:val="sv-SE"/>
        </w:rPr>
        <w:t>-</w:t>
      </w:r>
      <w:r w:rsidRPr="00C76A02">
        <w:rPr>
          <w:rFonts w:ascii="Times New Roman" w:hAnsi="Times New Roman"/>
          <w:lang w:val="sv-SE"/>
        </w:rPr>
        <w:tab/>
        <w:t>Blodpropper i små blodkar (trombotisk mikroangiopati).</w:t>
      </w:r>
    </w:p>
    <w:p w14:paraId="5CE3A759" w14:textId="77777777" w:rsidR="00CE7A7F" w:rsidRPr="00C76A02" w:rsidRDefault="00CE7A7F">
      <w:pPr>
        <w:autoSpaceDE w:val="0"/>
        <w:autoSpaceDN w:val="0"/>
        <w:adjustRightInd w:val="0"/>
        <w:spacing w:after="0" w:line="240" w:lineRule="auto"/>
        <w:ind w:left="567" w:hanging="567"/>
        <w:rPr>
          <w:rFonts w:ascii="Times New Roman" w:hAnsi="Times New Roman"/>
          <w:b/>
          <w:bCs/>
          <w:lang w:val="sv-SE"/>
        </w:rPr>
      </w:pPr>
    </w:p>
    <w:p w14:paraId="2497FA91" w14:textId="77777777" w:rsidR="00CE7A7F" w:rsidRPr="00AA499E" w:rsidRDefault="00CE7A7F" w:rsidP="00CE7A7F">
      <w:pPr>
        <w:pStyle w:val="Default"/>
        <w:rPr>
          <w:sz w:val="22"/>
          <w:szCs w:val="22"/>
          <w:lang w:val="da-DK"/>
        </w:rPr>
      </w:pPr>
      <w:r w:rsidRPr="00AA499E">
        <w:rPr>
          <w:b/>
          <w:bCs/>
          <w:sz w:val="22"/>
          <w:szCs w:val="22"/>
          <w:lang w:val="da-DK"/>
        </w:rPr>
        <w:t xml:space="preserve">Ikke kendt </w:t>
      </w:r>
      <w:r w:rsidRPr="00AA499E">
        <w:rPr>
          <w:sz w:val="22"/>
          <w:szCs w:val="22"/>
          <w:lang w:val="da-DK"/>
        </w:rPr>
        <w:t xml:space="preserve">(kan ikke vurderes ud fra tilgængelige data): </w:t>
      </w:r>
    </w:p>
    <w:p w14:paraId="75746277" w14:textId="77777777" w:rsidR="00CE7A7F" w:rsidRPr="00AA499E" w:rsidRDefault="00CE7A7F" w:rsidP="00CE7A7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Kombination af omfattende svært udslæt, følelse af at være syg, feber, højt indhold af visse hvide blodlegemer eller gul hud eller øjne (tegn på gulsot) med stakåndethed, brystsmerter/ubehag, svært nedsat urinproduktion og tørst osv. (tegn på en behandlingsrelateret allergisk reaktion).</w:t>
      </w:r>
    </w:p>
    <w:p w14:paraId="0CF26E9D" w14:textId="77777777" w:rsidR="00526431" w:rsidRPr="00AA499E" w:rsidRDefault="00526431" w:rsidP="00CE7A7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Kronisk nyresvigt.</w:t>
      </w:r>
    </w:p>
    <w:p w14:paraId="4B8A286B" w14:textId="77777777" w:rsidR="00A02D9A" w:rsidRPr="00AA499E" w:rsidRDefault="00D14BAB" w:rsidP="002151F3">
      <w:pPr>
        <w:autoSpaceDE w:val="0"/>
        <w:autoSpaceDN w:val="0"/>
        <w:adjustRightInd w:val="0"/>
        <w:spacing w:after="0" w:line="240" w:lineRule="auto"/>
        <w:ind w:left="567" w:hanging="567"/>
        <w:rPr>
          <w:rFonts w:ascii="Times New Roman" w:hAnsi="Times New Roman"/>
          <w:bCs/>
          <w:lang w:val="da-DK"/>
        </w:rPr>
      </w:pPr>
      <w:r w:rsidRPr="00AA499E">
        <w:rPr>
          <w:rFonts w:ascii="Times New Roman" w:hAnsi="Times New Roman"/>
          <w:lang w:val="da-DK"/>
        </w:rPr>
        <w:t>-</w:t>
      </w:r>
      <w:r w:rsidRPr="00AA499E">
        <w:rPr>
          <w:rFonts w:ascii="Times New Roman" w:hAnsi="Times New Roman"/>
          <w:lang w:val="da-DK"/>
        </w:rPr>
        <w:tab/>
      </w:r>
      <w:r w:rsidR="00A02D9A" w:rsidRPr="00AA499E">
        <w:rPr>
          <w:rFonts w:ascii="Times New Roman" w:hAnsi="Times New Roman"/>
          <w:bCs/>
          <w:lang w:val="da-DK"/>
        </w:rPr>
        <w:t xml:space="preserve">Genopblussen (reaktivering) af hepatitis B-infektion, hvis </w:t>
      </w:r>
      <w:r w:rsidR="002151F3" w:rsidRPr="00AA499E">
        <w:rPr>
          <w:rFonts w:ascii="Times New Roman" w:hAnsi="Times New Roman"/>
          <w:bCs/>
          <w:lang w:val="da-DK"/>
        </w:rPr>
        <w:t>du tidligere har haft hepatitis </w:t>
      </w:r>
      <w:r w:rsidR="00A02D9A" w:rsidRPr="00AA499E">
        <w:rPr>
          <w:rFonts w:ascii="Times New Roman" w:hAnsi="Times New Roman"/>
          <w:bCs/>
          <w:lang w:val="da-DK"/>
        </w:rPr>
        <w:t>B (leverbetændelse type B).</w:t>
      </w:r>
    </w:p>
    <w:p w14:paraId="0E3D713B" w14:textId="77777777" w:rsidR="00CE7A7F" w:rsidRPr="00AA499E" w:rsidRDefault="00CE7A7F">
      <w:pPr>
        <w:autoSpaceDE w:val="0"/>
        <w:autoSpaceDN w:val="0"/>
        <w:adjustRightInd w:val="0"/>
        <w:spacing w:after="0" w:line="240" w:lineRule="auto"/>
        <w:ind w:left="567" w:hanging="567"/>
        <w:rPr>
          <w:rFonts w:ascii="Times New Roman" w:hAnsi="Times New Roman"/>
          <w:b/>
          <w:bCs/>
          <w:lang w:val="da-DK"/>
        </w:rPr>
      </w:pPr>
    </w:p>
    <w:p w14:paraId="662DAE8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Kontakt din læge med det samme,</w:t>
      </w:r>
      <w:r w:rsidRPr="00AA499E">
        <w:rPr>
          <w:rFonts w:ascii="Times New Roman" w:hAnsi="Times New Roman"/>
          <w:lang w:val="da-DK"/>
        </w:rPr>
        <w:t xml:space="preserve"> hvis du oplever en af ovenstående bivirkninger.</w:t>
      </w:r>
    </w:p>
    <w:p w14:paraId="018DB044" w14:textId="77777777" w:rsidR="006478AD" w:rsidRPr="00AA499E" w:rsidRDefault="006478AD">
      <w:pPr>
        <w:autoSpaceDE w:val="0"/>
        <w:autoSpaceDN w:val="0"/>
        <w:adjustRightInd w:val="0"/>
        <w:spacing w:after="0" w:line="240" w:lineRule="auto"/>
        <w:rPr>
          <w:rFonts w:ascii="Times New Roman" w:hAnsi="Times New Roman"/>
          <w:lang w:val="da-DK"/>
        </w:rPr>
      </w:pPr>
    </w:p>
    <w:p w14:paraId="33AFC2CC"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Andre bivirkninger kan omfatte:</w:t>
      </w:r>
    </w:p>
    <w:p w14:paraId="78D0D862" w14:textId="77777777" w:rsidR="006478AD" w:rsidRPr="00AA499E" w:rsidRDefault="006478AD">
      <w:pPr>
        <w:autoSpaceDE w:val="0"/>
        <w:autoSpaceDN w:val="0"/>
        <w:adjustRightInd w:val="0"/>
        <w:spacing w:after="0" w:line="240" w:lineRule="auto"/>
        <w:rPr>
          <w:rFonts w:ascii="Times New Roman" w:hAnsi="Times New Roman"/>
          <w:lang w:val="da-DK"/>
        </w:rPr>
      </w:pPr>
    </w:p>
    <w:p w14:paraId="7F0A2FDB"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Meget almindelige </w:t>
      </w:r>
      <w:r w:rsidRPr="00AA499E">
        <w:rPr>
          <w:rFonts w:ascii="Times New Roman" w:hAnsi="Times New Roman"/>
          <w:lang w:val="da-DK"/>
        </w:rPr>
        <w:t>(kan forekomme hos flere end 1 af 10 brugere)</w:t>
      </w:r>
      <w:r w:rsidRPr="00AA499E">
        <w:rPr>
          <w:rFonts w:ascii="Times New Roman" w:hAnsi="Times New Roman"/>
          <w:b/>
          <w:bCs/>
          <w:lang w:val="da-DK"/>
        </w:rPr>
        <w:t>:</w:t>
      </w:r>
    </w:p>
    <w:p w14:paraId="44DADDB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Hovedpine eller følelse af træthed.</w:t>
      </w:r>
    </w:p>
    <w:p w14:paraId="1B78AAB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Kvalme, opkastninger, diarré eller fordøjelsesbesvær.</w:t>
      </w:r>
    </w:p>
    <w:p w14:paraId="7F3B1F2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Udslæt.</w:t>
      </w:r>
    </w:p>
    <w:p w14:paraId="1A26023E" w14:textId="77777777" w:rsidR="006478AD" w:rsidRPr="00AA499E" w:rsidRDefault="00616F3C" w:rsidP="00B05A3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eller led-, muskel- eller knoglesmerter</w:t>
      </w:r>
      <w:r w:rsidR="007C29DA" w:rsidRPr="00AA499E">
        <w:rPr>
          <w:rFonts w:ascii="Times New Roman" w:hAnsi="Times New Roman"/>
          <w:lang w:val="da-DK"/>
        </w:rPr>
        <w:t xml:space="preserve"> mens du er i behandling med imatinib, eller efter du er stoppe</w:t>
      </w:r>
      <w:r w:rsidR="00666526" w:rsidRPr="00AA499E">
        <w:rPr>
          <w:rFonts w:ascii="Times New Roman" w:hAnsi="Times New Roman"/>
          <w:lang w:val="da-DK"/>
        </w:rPr>
        <w:t>t</w:t>
      </w:r>
      <w:r w:rsidR="007C29DA" w:rsidRPr="00AA499E">
        <w:rPr>
          <w:rFonts w:ascii="Times New Roman" w:hAnsi="Times New Roman"/>
          <w:lang w:val="da-DK"/>
        </w:rPr>
        <w:t xml:space="preserve"> med at tage imatinib</w:t>
      </w:r>
      <w:r w:rsidRPr="00AA499E">
        <w:rPr>
          <w:rFonts w:ascii="Times New Roman" w:hAnsi="Times New Roman"/>
          <w:lang w:val="da-DK"/>
        </w:rPr>
        <w:t>.</w:t>
      </w:r>
    </w:p>
    <w:p w14:paraId="3F30C27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Hævelse, som fx af anklerne eller omkring øjnene.</w:t>
      </w:r>
    </w:p>
    <w:p w14:paraId="4CA2179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Vægtøgning.</w:t>
      </w:r>
    </w:p>
    <w:p w14:paraId="016EED9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179CAFFD" w14:textId="77777777" w:rsidR="006478AD" w:rsidRPr="00AA499E" w:rsidRDefault="006478AD">
      <w:pPr>
        <w:autoSpaceDE w:val="0"/>
        <w:autoSpaceDN w:val="0"/>
        <w:adjustRightInd w:val="0"/>
        <w:spacing w:after="0" w:line="240" w:lineRule="auto"/>
        <w:rPr>
          <w:rFonts w:ascii="Times New Roman" w:hAnsi="Times New Roman"/>
          <w:lang w:val="da-DK"/>
        </w:rPr>
      </w:pPr>
    </w:p>
    <w:p w14:paraId="71184E5B"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Almindelige </w:t>
      </w:r>
      <w:r w:rsidRPr="00AA499E">
        <w:rPr>
          <w:rFonts w:ascii="Times New Roman" w:hAnsi="Times New Roman"/>
          <w:lang w:val="da-DK"/>
        </w:rPr>
        <w:t>(kan forekomme hos op til 1 ud af 10 brugere)</w:t>
      </w:r>
      <w:r w:rsidRPr="00AA499E">
        <w:rPr>
          <w:rFonts w:ascii="Times New Roman" w:hAnsi="Times New Roman"/>
          <w:b/>
          <w:bCs/>
          <w:lang w:val="da-DK"/>
        </w:rPr>
        <w:t>:</w:t>
      </w:r>
    </w:p>
    <w:p w14:paraId="4C82EF6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Appetitløshed, vægttab eller smagsforstyrrelser.</w:t>
      </w:r>
    </w:p>
    <w:p w14:paraId="5627520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svag.</w:t>
      </w:r>
    </w:p>
    <w:p w14:paraId="3D83C4C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Svært ved at sove (søvnløshed).</w:t>
      </w:r>
    </w:p>
    <w:p w14:paraId="03217432"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t>Flåd fra øjet med kløe, rødme og hævelse (betændelse af øjets bindehinde), øget tåreflåd eller sløret syn.</w:t>
      </w:r>
    </w:p>
    <w:p w14:paraId="35734A7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Næseblod.</w:t>
      </w:r>
    </w:p>
    <w:p w14:paraId="22FCF98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eller oppustning af maven, luft i maven, halsbrand eller forstoppelse.</w:t>
      </w:r>
    </w:p>
    <w:p w14:paraId="5DFD53E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Kløe.</w:t>
      </w:r>
    </w:p>
    <w:p w14:paraId="5A89D1E3"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Usædvanligt hårtab eller udtyndning af håret.</w:t>
      </w:r>
    </w:p>
    <w:p w14:paraId="7445D80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Følelsesløshed i hænder eller fødder.</w:t>
      </w:r>
    </w:p>
    <w:p w14:paraId="367DEB0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Sår i munden.</w:t>
      </w:r>
    </w:p>
    <w:p w14:paraId="17AE148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Hævede led og ledsmerter.</w:t>
      </w:r>
    </w:p>
    <w:p w14:paraId="0C56669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Mundtørhed, tør hud eller tørre øjne.</w:t>
      </w:r>
    </w:p>
    <w:p w14:paraId="69AAB01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Nedsat eller øget følsomhed i huden.</w:t>
      </w:r>
    </w:p>
    <w:p w14:paraId="5432E24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Hedeture, kulderystelser eller natlig svedtendens.</w:t>
      </w:r>
    </w:p>
    <w:p w14:paraId="3F20DD1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6ACFC1BB" w14:textId="77777777" w:rsidR="006478AD" w:rsidRPr="00AA499E" w:rsidRDefault="006478AD">
      <w:pPr>
        <w:autoSpaceDE w:val="0"/>
        <w:autoSpaceDN w:val="0"/>
        <w:adjustRightInd w:val="0"/>
        <w:spacing w:after="0" w:line="240" w:lineRule="auto"/>
        <w:rPr>
          <w:rFonts w:ascii="Times New Roman" w:hAnsi="Times New Roman"/>
          <w:lang w:val="da-DK"/>
        </w:rPr>
      </w:pPr>
    </w:p>
    <w:p w14:paraId="3F480A1C"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kendt </w:t>
      </w:r>
      <w:r w:rsidRPr="00AA499E">
        <w:rPr>
          <w:rFonts w:ascii="Times New Roman" w:hAnsi="Times New Roman"/>
          <w:lang w:val="da-DK"/>
        </w:rPr>
        <w:t>(hyppigheden kan ikke vurderes ud fra tilgængelige data)</w:t>
      </w:r>
      <w:r w:rsidRPr="00AA499E">
        <w:rPr>
          <w:rFonts w:ascii="Times New Roman" w:hAnsi="Times New Roman"/>
          <w:b/>
          <w:bCs/>
          <w:lang w:val="da-DK"/>
        </w:rPr>
        <w:t>:</w:t>
      </w:r>
    </w:p>
    <w:p w14:paraId="49B8B2A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Rødmen og/eller hævelse af håndflader eller fodsåler, hvilket kan være ledsaget af en prikkende følelse eller brændende smerte.</w:t>
      </w:r>
    </w:p>
    <w:p w14:paraId="4DAAB2BE" w14:textId="77777777" w:rsidR="00A02D9A" w:rsidRPr="00AA499E" w:rsidRDefault="00A02D9A" w:rsidP="002151F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Smertefulde og/eller blæredannende hudlæsioner.</w:t>
      </w:r>
    </w:p>
    <w:p w14:paraId="28980974"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Langsommere vækst hos børn og unge.</w:t>
      </w:r>
    </w:p>
    <w:p w14:paraId="6BAF663A" w14:textId="77777777" w:rsidR="006478AD" w:rsidRPr="00AA499E" w:rsidRDefault="00616F3C" w:rsidP="002151F3">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42F1BD06" w14:textId="77777777" w:rsidR="006478AD" w:rsidRPr="00AA499E" w:rsidRDefault="006478AD">
      <w:pPr>
        <w:autoSpaceDE w:val="0"/>
        <w:autoSpaceDN w:val="0"/>
        <w:adjustRightInd w:val="0"/>
        <w:spacing w:after="0" w:line="240" w:lineRule="auto"/>
        <w:rPr>
          <w:rFonts w:ascii="Times New Roman" w:hAnsi="Times New Roman"/>
          <w:lang w:val="da-DK"/>
        </w:rPr>
      </w:pPr>
    </w:p>
    <w:p w14:paraId="4EED760E" w14:textId="77777777" w:rsidR="009C0656" w:rsidRPr="00AA499E" w:rsidRDefault="009C0656" w:rsidP="009C0656">
      <w:pPr>
        <w:numPr>
          <w:ilvl w:val="12"/>
          <w:numId w:val="0"/>
        </w:numPr>
        <w:spacing w:after="0" w:line="240" w:lineRule="auto"/>
        <w:outlineLvl w:val="0"/>
        <w:rPr>
          <w:rFonts w:ascii="Times New Roman" w:eastAsia="Times New Roman" w:hAnsi="Times New Roman"/>
          <w:noProof/>
          <w:u w:val="single"/>
          <w:lang w:val="da-DK" w:eastAsia="fr-LU"/>
        </w:rPr>
      </w:pPr>
      <w:r w:rsidRPr="00AA499E">
        <w:rPr>
          <w:rFonts w:ascii="Times New Roman" w:eastAsia="Times New Roman" w:hAnsi="Times New Roman"/>
          <w:noProof/>
          <w:u w:val="single"/>
          <w:lang w:val="da-DK" w:eastAsia="fr-LU"/>
        </w:rPr>
        <w:t xml:space="preserve">Indberetning af </w:t>
      </w:r>
      <w:r w:rsidRPr="00AA499E">
        <w:rPr>
          <w:rFonts w:ascii="Times New Roman" w:eastAsia="Times New Roman" w:hAnsi="Times New Roman"/>
          <w:u w:val="single"/>
          <w:lang w:val="da-DK" w:eastAsia="fr-LU"/>
        </w:rPr>
        <w:t>bivirkninger</w:t>
      </w:r>
    </w:p>
    <w:p w14:paraId="06D6DFFD" w14:textId="25E7DBC6" w:rsidR="009C0656" w:rsidRPr="00AA499E" w:rsidRDefault="009C0656" w:rsidP="009C0656">
      <w:pPr>
        <w:suppressAutoHyphens/>
        <w:spacing w:after="0" w:line="240" w:lineRule="auto"/>
        <w:rPr>
          <w:rFonts w:ascii="Times New Roman" w:eastAsia="Times New Roman" w:hAnsi="Times New Roman"/>
          <w:color w:val="000000"/>
          <w:lang w:val="da-DK" w:eastAsia="fr-LU"/>
        </w:rPr>
      </w:pPr>
      <w:r w:rsidRPr="00AA499E">
        <w:rPr>
          <w:rFonts w:ascii="Times New Roman" w:eastAsia="Times New Roman" w:hAnsi="Times New Roman"/>
          <w:color w:val="000000"/>
          <w:lang w:val="da-DK" w:eastAsia="fr-LU"/>
        </w:rPr>
        <w:t xml:space="preserve">Hvis du oplever bivirkninger, bør du tale med din læge, </w:t>
      </w:r>
      <w:r w:rsidR="008106C4" w:rsidRPr="00AA499E">
        <w:rPr>
          <w:rFonts w:ascii="Times New Roman" w:eastAsia="Times New Roman" w:hAnsi="Times New Roman"/>
          <w:noProof/>
          <w:lang w:val="da-DK" w:eastAsia="fr-LU"/>
        </w:rPr>
        <w:t>apotekspersonalet eller sygeplejersken</w:t>
      </w:r>
      <w:r w:rsidRPr="00AA499E">
        <w:rPr>
          <w:rFonts w:ascii="Times New Roman" w:eastAsia="Times New Roman" w:hAnsi="Times New Roman"/>
          <w:color w:val="000000"/>
          <w:lang w:val="da-DK" w:eastAsia="fr-LU"/>
        </w:rPr>
        <w:t xml:space="preserve">. Dette gælder også mulige bivirkninger, som ikke er medtaget i denne indlægsseddel. Du eller dine pårørende kan også indberette bivirkninger direkte til </w:t>
      </w:r>
      <w:r w:rsidR="00551E6A" w:rsidRPr="00AA499E">
        <w:rPr>
          <w:rFonts w:ascii="Times New Roman" w:eastAsia="Times New Roman" w:hAnsi="Times New Roman"/>
          <w:color w:val="000000"/>
          <w:lang w:val="da-DK" w:eastAsia="fr-LU"/>
        </w:rPr>
        <w:t>Lægemiddelstyrelsen</w:t>
      </w:r>
      <w:r w:rsidRPr="00AA499E">
        <w:rPr>
          <w:rFonts w:ascii="Times New Roman" w:eastAsia="Times New Roman" w:hAnsi="Times New Roman"/>
          <w:color w:val="000000"/>
          <w:lang w:val="da-DK" w:eastAsia="fr-LU"/>
        </w:rPr>
        <w:t xml:space="preserve"> via </w:t>
      </w:r>
      <w:r w:rsidRPr="00AA499E">
        <w:rPr>
          <w:rFonts w:ascii="Times New Roman" w:eastAsia="Times New Roman" w:hAnsi="Times New Roman"/>
          <w:color w:val="000000"/>
          <w:highlight w:val="lightGray"/>
          <w:lang w:val="da-DK" w:eastAsia="fr-LU"/>
        </w:rPr>
        <w:t xml:space="preserve">det nationale rapporteringssystem anført i </w:t>
      </w:r>
      <w:hyperlink r:id="rId16" w:history="1">
        <w:r w:rsidRPr="00AA499E">
          <w:rPr>
            <w:rFonts w:ascii="Times New Roman" w:eastAsia="Times New Roman" w:hAnsi="Times New Roman"/>
            <w:color w:val="0000FF"/>
            <w:highlight w:val="lightGray"/>
            <w:u w:val="single"/>
            <w:lang w:val="da-DK" w:eastAsia="fr-LU"/>
          </w:rPr>
          <w:t>Appendiks V</w:t>
        </w:r>
      </w:hyperlink>
      <w:r w:rsidRPr="00AA499E">
        <w:rPr>
          <w:rFonts w:ascii="Times New Roman" w:eastAsia="Times New Roman" w:hAnsi="Times New Roman"/>
          <w:color w:val="000000"/>
          <w:lang w:val="da-DK" w:eastAsia="fr-LU"/>
        </w:rPr>
        <w:t>. Ved at indrapportere bivirkninger kan du hjælpe med at fremskaffe mere information om sikkerheden af dette lægemiddel.</w:t>
      </w:r>
    </w:p>
    <w:p w14:paraId="7C5BABC6" w14:textId="77777777" w:rsidR="006478AD" w:rsidRPr="00AA499E" w:rsidRDefault="006478AD">
      <w:pPr>
        <w:autoSpaceDE w:val="0"/>
        <w:autoSpaceDN w:val="0"/>
        <w:adjustRightInd w:val="0"/>
        <w:spacing w:after="0" w:line="240" w:lineRule="auto"/>
        <w:rPr>
          <w:rFonts w:ascii="Times New Roman" w:hAnsi="Times New Roman"/>
          <w:lang w:val="da-DK"/>
        </w:rPr>
      </w:pPr>
    </w:p>
    <w:p w14:paraId="63D9B3FA" w14:textId="77777777" w:rsidR="006478AD" w:rsidRPr="00AA499E" w:rsidRDefault="006478AD">
      <w:pPr>
        <w:autoSpaceDE w:val="0"/>
        <w:autoSpaceDN w:val="0"/>
        <w:adjustRightInd w:val="0"/>
        <w:spacing w:after="0" w:line="240" w:lineRule="auto"/>
        <w:rPr>
          <w:rFonts w:ascii="Times New Roman" w:hAnsi="Times New Roman"/>
          <w:lang w:val="da-DK"/>
        </w:rPr>
      </w:pPr>
    </w:p>
    <w:p w14:paraId="31DA712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w:t>
      </w:r>
      <w:r w:rsidRPr="00AA499E">
        <w:rPr>
          <w:rFonts w:ascii="Times New Roman" w:hAnsi="Times New Roman"/>
          <w:b/>
          <w:bCs/>
          <w:lang w:val="da-DK"/>
        </w:rPr>
        <w:tab/>
        <w:t>Opbevaring</w:t>
      </w:r>
    </w:p>
    <w:p w14:paraId="24331419" w14:textId="77777777" w:rsidR="006478AD" w:rsidRPr="00AA499E" w:rsidRDefault="006478AD">
      <w:pPr>
        <w:autoSpaceDE w:val="0"/>
        <w:autoSpaceDN w:val="0"/>
        <w:adjustRightInd w:val="0"/>
        <w:spacing w:after="0" w:line="240" w:lineRule="auto"/>
        <w:rPr>
          <w:rFonts w:ascii="Times New Roman" w:hAnsi="Times New Roman"/>
          <w:lang w:val="da-DK"/>
        </w:rPr>
      </w:pPr>
    </w:p>
    <w:p w14:paraId="5696C86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 lægemid</w:t>
      </w:r>
      <w:r w:rsidR="00551E6A" w:rsidRPr="00AA499E">
        <w:rPr>
          <w:rFonts w:ascii="Times New Roman" w:hAnsi="Times New Roman"/>
          <w:lang w:val="da-DK"/>
        </w:rPr>
        <w:t>let</w:t>
      </w:r>
      <w:r w:rsidRPr="00AA499E">
        <w:rPr>
          <w:rFonts w:ascii="Times New Roman" w:hAnsi="Times New Roman"/>
          <w:lang w:val="da-DK"/>
        </w:rPr>
        <w:t xml:space="preserve"> utilgængeligt for børn.</w:t>
      </w:r>
    </w:p>
    <w:p w14:paraId="71927ED7" w14:textId="1AFE1ECE"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Brug ikke lægemid</w:t>
      </w:r>
      <w:r w:rsidR="00551E6A" w:rsidRPr="00AA499E">
        <w:rPr>
          <w:rFonts w:ascii="Times New Roman" w:hAnsi="Times New Roman"/>
          <w:lang w:val="da-DK"/>
        </w:rPr>
        <w:t>let</w:t>
      </w:r>
      <w:r w:rsidRPr="00AA499E">
        <w:rPr>
          <w:rFonts w:ascii="Times New Roman" w:hAnsi="Times New Roman"/>
          <w:lang w:val="da-DK"/>
        </w:rPr>
        <w:t xml:space="preserve"> efter den udløbsdato, der står på </w:t>
      </w:r>
      <w:bookmarkStart w:id="2" w:name="_Hlk45113300"/>
      <w:r w:rsidR="008106C4" w:rsidRPr="00AA499E">
        <w:rPr>
          <w:rFonts w:ascii="Times New Roman" w:hAnsi="Times New Roman"/>
          <w:lang w:val="da-DK"/>
        </w:rPr>
        <w:t xml:space="preserve">æsken </w:t>
      </w:r>
      <w:bookmarkEnd w:id="2"/>
      <w:r w:rsidR="00F82E10" w:rsidRPr="00AA499E">
        <w:rPr>
          <w:rFonts w:ascii="Times New Roman" w:hAnsi="Times New Roman"/>
          <w:lang w:val="da-DK"/>
        </w:rPr>
        <w:t>og blisteren</w:t>
      </w:r>
      <w:r w:rsidR="00D14BAB" w:rsidRPr="00AA499E">
        <w:rPr>
          <w:rFonts w:ascii="Times New Roman" w:hAnsi="Times New Roman"/>
          <w:lang w:val="da-DK"/>
        </w:rPr>
        <w:t xml:space="preserve"> efter EXP</w:t>
      </w:r>
      <w:r w:rsidRPr="00AA499E">
        <w:rPr>
          <w:rFonts w:ascii="Times New Roman" w:hAnsi="Times New Roman"/>
          <w:lang w:val="da-DK"/>
        </w:rPr>
        <w:t>. Udløbsdatoen er den sidste dag i den nævnte måned.</w:t>
      </w:r>
    </w:p>
    <w:p w14:paraId="1C18E82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Må ikke opbevares ved temperaturer over </w:t>
      </w:r>
      <w:r w:rsidR="009C0656" w:rsidRPr="00AA499E">
        <w:rPr>
          <w:rFonts w:ascii="Times New Roman" w:hAnsi="Times New Roman"/>
          <w:lang w:val="da-DK"/>
        </w:rPr>
        <w:t>25</w:t>
      </w:r>
      <w:r w:rsidRPr="00AA499E">
        <w:rPr>
          <w:rFonts w:ascii="Times New Roman" w:hAnsi="Times New Roman"/>
          <w:lang w:val="da-DK"/>
        </w:rPr>
        <w:t>°C. Opbevares i den originale yderpakning for at beskytte mod fugt.</w:t>
      </w:r>
    </w:p>
    <w:p w14:paraId="028E14B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Pakningen må ikke anvendes, hvis den er beskadiget, eller der er tegn på, at pakningen har været åbnet.</w:t>
      </w:r>
    </w:p>
    <w:p w14:paraId="1FBDFC23" w14:textId="4C52B502"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Af hensyn til miljøet må du ikke smide medicinrester i afløbet, toilettet eller skraldespanden. Spørg på </w:t>
      </w:r>
      <w:r w:rsidR="008106C4" w:rsidRPr="00AA499E">
        <w:rPr>
          <w:rFonts w:ascii="Times New Roman" w:hAnsi="Times New Roman"/>
          <w:lang w:val="da-DK"/>
        </w:rPr>
        <w:t>apotekspersonalet</w:t>
      </w:r>
      <w:r w:rsidRPr="00AA499E">
        <w:rPr>
          <w:rFonts w:ascii="Times New Roman" w:hAnsi="Times New Roman"/>
          <w:lang w:val="da-DK"/>
        </w:rPr>
        <w:t>, hvordan du skal bortskaffe medicinrester. Dette er en miljømæssig foranstaltning.</w:t>
      </w:r>
    </w:p>
    <w:p w14:paraId="567E9904" w14:textId="77777777" w:rsidR="006478AD" w:rsidRPr="00AA499E" w:rsidRDefault="006478AD">
      <w:pPr>
        <w:autoSpaceDE w:val="0"/>
        <w:autoSpaceDN w:val="0"/>
        <w:adjustRightInd w:val="0"/>
        <w:spacing w:after="0" w:line="240" w:lineRule="auto"/>
        <w:rPr>
          <w:rFonts w:ascii="Times New Roman" w:hAnsi="Times New Roman"/>
          <w:lang w:val="da-DK"/>
        </w:rPr>
      </w:pPr>
    </w:p>
    <w:p w14:paraId="51C1182D" w14:textId="77777777" w:rsidR="006478AD" w:rsidRPr="00AA499E" w:rsidRDefault="006478AD">
      <w:pPr>
        <w:autoSpaceDE w:val="0"/>
        <w:autoSpaceDN w:val="0"/>
        <w:adjustRightInd w:val="0"/>
        <w:spacing w:after="0" w:line="240" w:lineRule="auto"/>
        <w:rPr>
          <w:rFonts w:ascii="Times New Roman" w:hAnsi="Times New Roman"/>
          <w:lang w:val="da-DK"/>
        </w:rPr>
      </w:pPr>
    </w:p>
    <w:p w14:paraId="77C95B7F"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Pakningsstørrelser og yderligere oplysninger</w:t>
      </w:r>
    </w:p>
    <w:p w14:paraId="02C81F96" w14:textId="77777777" w:rsidR="006478AD" w:rsidRPr="00AA499E" w:rsidRDefault="006478AD">
      <w:pPr>
        <w:autoSpaceDE w:val="0"/>
        <w:autoSpaceDN w:val="0"/>
        <w:adjustRightInd w:val="0"/>
        <w:spacing w:after="0" w:line="240" w:lineRule="auto"/>
        <w:rPr>
          <w:rFonts w:ascii="Times New Roman" w:hAnsi="Times New Roman"/>
          <w:lang w:val="da-DK"/>
        </w:rPr>
      </w:pPr>
    </w:p>
    <w:p w14:paraId="5270682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indeholder</w:t>
      </w:r>
    </w:p>
    <w:p w14:paraId="3D577B0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Aktivt stof: imatinib (som mesilat). Hver kapsel indeholder 50 mg imatinib (som mesilat).</w:t>
      </w:r>
    </w:p>
    <w:p w14:paraId="60179F7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Øvrige indholdsstoffer: Kapselindhold: mikrokrystallinsk cellulose, copovidon, crospovidon, natriumstearylfumarat, silica (vandskyende kolloid, kolloid vandfri). Kapselskal: hypromellose, titandioxid (E 171), gul jernoxid (E 172). Prægeblæk: shellac, sort jernoxid (E172), propylenglycol, ammoniakopløsning, kaliumhydroxid.</w:t>
      </w:r>
    </w:p>
    <w:p w14:paraId="054EB0D1" w14:textId="77777777" w:rsidR="006478AD" w:rsidRPr="00AA499E" w:rsidRDefault="006478AD">
      <w:pPr>
        <w:autoSpaceDE w:val="0"/>
        <w:autoSpaceDN w:val="0"/>
        <w:adjustRightInd w:val="0"/>
        <w:spacing w:after="0" w:line="240" w:lineRule="auto"/>
        <w:rPr>
          <w:rFonts w:ascii="Times New Roman" w:hAnsi="Times New Roman"/>
          <w:lang w:val="da-DK"/>
        </w:rPr>
      </w:pPr>
    </w:p>
    <w:p w14:paraId="36E2080F"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Udseende og pakningsstørrelser</w:t>
      </w:r>
    </w:p>
    <w:p w14:paraId="185C01E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Hård kapsel med lysegult overtræk og lysegul kerne og præget med 50 mg i sort farve.</w:t>
      </w:r>
    </w:p>
    <w:p w14:paraId="1CC14486"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Kapslen indeholder lysegult pulver.</w:t>
      </w:r>
    </w:p>
    <w:p w14:paraId="3D6E811A" w14:textId="77777777" w:rsidR="006478AD" w:rsidRPr="00AA499E" w:rsidRDefault="006478AD">
      <w:pPr>
        <w:autoSpaceDE w:val="0"/>
        <w:autoSpaceDN w:val="0"/>
        <w:adjustRightInd w:val="0"/>
        <w:spacing w:after="0" w:line="240" w:lineRule="auto"/>
        <w:rPr>
          <w:rFonts w:ascii="Times New Roman" w:hAnsi="Times New Roman"/>
          <w:lang w:val="da-DK"/>
        </w:rPr>
      </w:pPr>
    </w:p>
    <w:p w14:paraId="535B93AB" w14:textId="77777777" w:rsidR="006478AD" w:rsidRPr="00AA499E" w:rsidRDefault="00616F3C">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Pakningsstørrelser:</w:t>
      </w:r>
    </w:p>
    <w:p w14:paraId="7B3CDD10" w14:textId="77777777" w:rsidR="006478AD" w:rsidRPr="00AA499E" w:rsidRDefault="006478AD">
      <w:pPr>
        <w:pStyle w:val="KeinLeerraum"/>
        <w:rPr>
          <w:rFonts w:ascii="Times New Roman" w:hAnsi="Times New Roman"/>
          <w:lang w:val="da-DK"/>
        </w:rPr>
      </w:pPr>
    </w:p>
    <w:p w14:paraId="68F995C3" w14:textId="77777777" w:rsidR="006478AD" w:rsidRPr="00AA499E" w:rsidRDefault="00CE7A7F">
      <w:pPr>
        <w:pStyle w:val="KeinLeerraum"/>
        <w:rPr>
          <w:rFonts w:ascii="Times New Roman" w:hAnsi="Times New Roman"/>
          <w:lang w:val="da-DK"/>
        </w:rPr>
      </w:pPr>
      <w:r w:rsidRPr="00AA499E">
        <w:rPr>
          <w:rFonts w:ascii="Times New Roman" w:hAnsi="Times New Roman"/>
          <w:lang w:val="da-DK"/>
        </w:rPr>
        <w:t xml:space="preserve">Kapslerne </w:t>
      </w:r>
      <w:r w:rsidR="00616F3C" w:rsidRPr="00AA499E">
        <w:rPr>
          <w:rFonts w:ascii="Times New Roman" w:hAnsi="Times New Roman"/>
          <w:lang w:val="da-DK"/>
        </w:rPr>
        <w:t xml:space="preserve">findes i </w:t>
      </w:r>
      <w:r w:rsidRPr="00AA499E">
        <w:rPr>
          <w:rFonts w:ascii="Times New Roman" w:hAnsi="Times New Roman"/>
          <w:lang w:val="da-DK"/>
        </w:rPr>
        <w:t>blister</w:t>
      </w:r>
      <w:r w:rsidR="00616F3C" w:rsidRPr="00AA499E">
        <w:rPr>
          <w:rFonts w:ascii="Times New Roman" w:hAnsi="Times New Roman"/>
          <w:lang w:val="da-DK"/>
        </w:rPr>
        <w:t xml:space="preserve">pakninger </w:t>
      </w:r>
      <w:r w:rsidRPr="00AA499E">
        <w:rPr>
          <w:rFonts w:ascii="Times New Roman" w:hAnsi="Times New Roman"/>
          <w:lang w:val="da-DK"/>
        </w:rPr>
        <w:t xml:space="preserve">af aluminium </w:t>
      </w:r>
      <w:r w:rsidR="00616F3C" w:rsidRPr="00AA499E">
        <w:rPr>
          <w:rFonts w:ascii="Times New Roman" w:hAnsi="Times New Roman"/>
          <w:lang w:val="da-DK"/>
        </w:rPr>
        <w:t>med 30 eller 90 kapsler.</w:t>
      </w:r>
    </w:p>
    <w:p w14:paraId="49F349DB" w14:textId="77777777" w:rsidR="006478AD" w:rsidRPr="00AA499E" w:rsidRDefault="006478AD">
      <w:pPr>
        <w:autoSpaceDE w:val="0"/>
        <w:autoSpaceDN w:val="0"/>
        <w:adjustRightInd w:val="0"/>
        <w:spacing w:after="0" w:line="240" w:lineRule="auto"/>
        <w:rPr>
          <w:rFonts w:ascii="Times New Roman" w:hAnsi="Times New Roman"/>
          <w:highlight w:val="yellow"/>
          <w:lang w:val="da-DK"/>
        </w:rPr>
      </w:pPr>
    </w:p>
    <w:p w14:paraId="1565459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alle pakningsstørrelser er nødvendigvis markedsført.</w:t>
      </w:r>
    </w:p>
    <w:p w14:paraId="692C0620" w14:textId="77777777" w:rsidR="006478AD" w:rsidRPr="00AA499E" w:rsidRDefault="006478AD">
      <w:pPr>
        <w:autoSpaceDE w:val="0"/>
        <w:autoSpaceDN w:val="0"/>
        <w:adjustRightInd w:val="0"/>
        <w:spacing w:after="0" w:line="240" w:lineRule="auto"/>
        <w:rPr>
          <w:rFonts w:ascii="Times New Roman" w:hAnsi="Times New Roman"/>
          <w:lang w:val="da-DK"/>
        </w:rPr>
      </w:pPr>
    </w:p>
    <w:p w14:paraId="58F3EA04" w14:textId="77777777" w:rsidR="006478AD" w:rsidRPr="00AA499E" w:rsidRDefault="00616F3C" w:rsidP="008370B1">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Indehaver af markedsføringstilladelsen</w:t>
      </w:r>
    </w:p>
    <w:p w14:paraId="206586F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71F7F16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Reykjavíkurvegur 76-78,</w:t>
      </w:r>
    </w:p>
    <w:p w14:paraId="4FF4A1F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Hafnarfjörður</w:t>
      </w:r>
    </w:p>
    <w:p w14:paraId="76F60DF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5883A8E1" w14:textId="77777777" w:rsidR="006478AD" w:rsidRPr="00AA499E" w:rsidRDefault="006478AD">
      <w:pPr>
        <w:autoSpaceDE w:val="0"/>
        <w:autoSpaceDN w:val="0"/>
        <w:adjustRightInd w:val="0"/>
        <w:spacing w:after="0" w:line="240" w:lineRule="auto"/>
        <w:rPr>
          <w:rFonts w:ascii="Times New Roman" w:hAnsi="Times New Roman"/>
          <w:lang w:val="da-DK"/>
        </w:rPr>
      </w:pPr>
    </w:p>
    <w:p w14:paraId="4DF2B74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Fremstiller</w:t>
      </w:r>
    </w:p>
    <w:p w14:paraId="736CE139"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S.C. SindanPharma S.R.L.</w:t>
      </w:r>
    </w:p>
    <w:p w14:paraId="330932C8"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11 Ion Mihalache Blvd</w:t>
      </w:r>
    </w:p>
    <w:p w14:paraId="02EDEBDE"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Bukarest</w:t>
      </w:r>
    </w:p>
    <w:p w14:paraId="7C7E4284"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Rumænien</w:t>
      </w:r>
    </w:p>
    <w:p w14:paraId="12CABBDE" w14:textId="77777777" w:rsidR="006478AD" w:rsidRPr="00AA499E" w:rsidRDefault="006478AD">
      <w:pPr>
        <w:autoSpaceDE w:val="0"/>
        <w:autoSpaceDN w:val="0"/>
        <w:adjustRightInd w:val="0"/>
        <w:spacing w:after="0" w:line="240" w:lineRule="auto"/>
        <w:rPr>
          <w:rFonts w:ascii="Times New Roman" w:hAnsi="Times New Roman"/>
          <w:lang w:val="da-DK"/>
        </w:rPr>
      </w:pPr>
    </w:p>
    <w:p w14:paraId="0695EC1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ønsker yderligere oplysninger om dette lægemiddel, skal du henvende dig til den lokale repræsentant for</w:t>
      </w:r>
      <w:r w:rsidR="008239C4" w:rsidRPr="00AA499E">
        <w:rPr>
          <w:rFonts w:ascii="Times New Roman" w:hAnsi="Times New Roman"/>
          <w:lang w:val="da-DK"/>
        </w:rPr>
        <w:t xml:space="preserve"> </w:t>
      </w:r>
      <w:r w:rsidRPr="00AA499E">
        <w:rPr>
          <w:rFonts w:ascii="Times New Roman" w:hAnsi="Times New Roman"/>
          <w:lang w:val="da-DK"/>
        </w:rPr>
        <w:t>indehaveren af markedsføringstilladelsen.</w:t>
      </w:r>
    </w:p>
    <w:p w14:paraId="6D8F57E2" w14:textId="77777777" w:rsidR="00A26B73" w:rsidRPr="007A1698" w:rsidRDefault="00A26B73" w:rsidP="00A26B73">
      <w:pPr>
        <w:autoSpaceDE w:val="0"/>
        <w:autoSpaceDN w:val="0"/>
        <w:adjustRightInd w:val="0"/>
        <w:spacing w:after="0" w:line="240" w:lineRule="auto"/>
        <w:rPr>
          <w:rFonts w:ascii="Times New Roman" w:hAnsi="Times New Roman"/>
          <w:lang w:val="en-GB"/>
        </w:rPr>
      </w:pPr>
      <w:bookmarkStart w:id="3" w:name="_Hlk45115026"/>
    </w:p>
    <w:tbl>
      <w:tblPr>
        <w:tblW w:w="9356" w:type="dxa"/>
        <w:tblInd w:w="-34" w:type="dxa"/>
        <w:tblLayout w:type="fixed"/>
        <w:tblLook w:val="0000" w:firstRow="0" w:lastRow="0" w:firstColumn="0" w:lastColumn="0" w:noHBand="0" w:noVBand="0"/>
      </w:tblPr>
      <w:tblGrid>
        <w:gridCol w:w="34"/>
        <w:gridCol w:w="4644"/>
        <w:gridCol w:w="4678"/>
      </w:tblGrid>
      <w:tr w:rsidR="00A26B73" w:rsidRPr="00DC08DD" w14:paraId="14BB2E48" w14:textId="77777777" w:rsidTr="00A26B73">
        <w:trPr>
          <w:gridBefore w:val="1"/>
          <w:wBefore w:w="34" w:type="dxa"/>
          <w:cantSplit/>
        </w:trPr>
        <w:tc>
          <w:tcPr>
            <w:tcW w:w="4644" w:type="dxa"/>
          </w:tcPr>
          <w:p w14:paraId="2F2B64C6"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België/Belgique/Belgien</w:t>
            </w:r>
          </w:p>
          <w:p w14:paraId="2EC5DA85"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775CEAF1"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IJsland/Islande/Island</w:t>
            </w:r>
          </w:p>
          <w:p w14:paraId="42AE1C75"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Tél/Tel: +354 5503300</w:t>
            </w:r>
          </w:p>
          <w:p w14:paraId="2C86868D" w14:textId="77777777" w:rsidR="00A26B73" w:rsidRPr="00DC08DD" w:rsidRDefault="00A26B73" w:rsidP="00A26B73">
            <w:pPr>
              <w:pStyle w:val="KeinLeerraum"/>
              <w:rPr>
                <w:rFonts w:ascii="Times New Roman" w:hAnsi="Times New Roman"/>
                <w:lang w:val="en-GB"/>
              </w:rPr>
            </w:pPr>
          </w:p>
        </w:tc>
        <w:tc>
          <w:tcPr>
            <w:tcW w:w="4678" w:type="dxa"/>
          </w:tcPr>
          <w:p w14:paraId="3FE4A517"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Lietuva</w:t>
            </w:r>
          </w:p>
          <w:p w14:paraId="419E4357" w14:textId="1BF6EAB7" w:rsidR="00A26B73" w:rsidRPr="00DC08DD" w:rsidRDefault="00A26B73" w:rsidP="00A26B73">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6F8A2E3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231C6E2B" w14:textId="77777777" w:rsidR="00A26B73" w:rsidRPr="00DC08DD" w:rsidRDefault="00A26B73" w:rsidP="00A26B73">
            <w:pPr>
              <w:pStyle w:val="KeinLeerraum"/>
              <w:rPr>
                <w:rFonts w:ascii="Times New Roman" w:hAnsi="Times New Roman"/>
                <w:lang w:val="en-GB"/>
              </w:rPr>
            </w:pPr>
          </w:p>
        </w:tc>
      </w:tr>
      <w:tr w:rsidR="00A26B73" w:rsidRPr="00DC08DD" w14:paraId="6C5AD1A9" w14:textId="77777777" w:rsidTr="00A26B73">
        <w:trPr>
          <w:gridBefore w:val="1"/>
          <w:wBefore w:w="34" w:type="dxa"/>
          <w:cantSplit/>
        </w:trPr>
        <w:tc>
          <w:tcPr>
            <w:tcW w:w="4644" w:type="dxa"/>
          </w:tcPr>
          <w:p w14:paraId="6BEB3EA5"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България</w:t>
            </w:r>
          </w:p>
          <w:p w14:paraId="3ACF2C83"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Актавис ЕАД</w:t>
            </w:r>
          </w:p>
          <w:p w14:paraId="38EB7F13"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D76BB71" w14:textId="77777777" w:rsidR="00A26B73" w:rsidRPr="00DC08DD" w:rsidRDefault="00A26B73" w:rsidP="00A26B73">
            <w:pPr>
              <w:pStyle w:val="KeinLeerraum"/>
              <w:rPr>
                <w:rFonts w:ascii="Times New Roman" w:hAnsi="Times New Roman"/>
                <w:lang w:val="en-GB"/>
              </w:rPr>
            </w:pPr>
          </w:p>
        </w:tc>
        <w:tc>
          <w:tcPr>
            <w:tcW w:w="4678" w:type="dxa"/>
          </w:tcPr>
          <w:p w14:paraId="0F01B918"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Luxembourg/Luxemburg</w:t>
            </w:r>
          </w:p>
          <w:p w14:paraId="5026756E"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Actavis Group PTC ehf.</w:t>
            </w:r>
          </w:p>
          <w:p w14:paraId="6E73E123"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Islande/Island</w:t>
            </w:r>
          </w:p>
          <w:p w14:paraId="6E90F64C"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4A45A1BE" w14:textId="77777777" w:rsidR="00A26B73" w:rsidRPr="00DC08DD" w:rsidRDefault="00A26B73" w:rsidP="00A26B73">
            <w:pPr>
              <w:pStyle w:val="KeinLeerraum"/>
              <w:rPr>
                <w:rFonts w:ascii="Times New Roman" w:hAnsi="Times New Roman"/>
                <w:lang w:val="en-GB"/>
              </w:rPr>
            </w:pPr>
          </w:p>
        </w:tc>
      </w:tr>
      <w:tr w:rsidR="00A26B73" w:rsidRPr="00DC08DD" w14:paraId="7C61C94A" w14:textId="77777777" w:rsidTr="00A26B73">
        <w:trPr>
          <w:gridBefore w:val="1"/>
          <w:wBefore w:w="34" w:type="dxa"/>
          <w:cantSplit/>
          <w:trHeight w:val="751"/>
        </w:trPr>
        <w:tc>
          <w:tcPr>
            <w:tcW w:w="4644" w:type="dxa"/>
          </w:tcPr>
          <w:p w14:paraId="732A1FDA"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Česká republika</w:t>
            </w:r>
          </w:p>
          <w:p w14:paraId="3214D7EC" w14:textId="77777777" w:rsidR="00A26B73" w:rsidRPr="00DC08DD" w:rsidRDefault="00A26B73" w:rsidP="00A26B73">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64AC3799"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3DDDD1A2" w14:textId="77777777" w:rsidR="00A26B73" w:rsidRPr="00DC08DD" w:rsidRDefault="00A26B73" w:rsidP="00A26B73">
            <w:pPr>
              <w:pStyle w:val="KeinLeerraum"/>
              <w:rPr>
                <w:rFonts w:ascii="Times New Roman" w:hAnsi="Times New Roman"/>
                <w:lang w:val="en-GB"/>
              </w:rPr>
            </w:pPr>
          </w:p>
        </w:tc>
        <w:tc>
          <w:tcPr>
            <w:tcW w:w="4678" w:type="dxa"/>
          </w:tcPr>
          <w:p w14:paraId="01C000A8"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Magyarország</w:t>
            </w:r>
          </w:p>
          <w:p w14:paraId="3DE5E77A"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rPr>
              <w:t>Teva Gyógyszergyár Zrt.</w:t>
            </w:r>
          </w:p>
          <w:p w14:paraId="37EE00E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40A45BC7" w14:textId="77777777" w:rsidR="00A26B73" w:rsidRPr="00DC08DD" w:rsidRDefault="00A26B73" w:rsidP="00A26B73">
            <w:pPr>
              <w:pStyle w:val="KeinLeerraum"/>
              <w:rPr>
                <w:rFonts w:ascii="Times New Roman" w:hAnsi="Times New Roman"/>
                <w:lang w:val="en-GB"/>
              </w:rPr>
            </w:pPr>
          </w:p>
        </w:tc>
      </w:tr>
      <w:tr w:rsidR="00A26B73" w:rsidRPr="00DC08DD" w14:paraId="2B4446DF" w14:textId="77777777" w:rsidTr="00A26B73">
        <w:trPr>
          <w:gridBefore w:val="1"/>
          <w:wBefore w:w="34" w:type="dxa"/>
          <w:cantSplit/>
        </w:trPr>
        <w:tc>
          <w:tcPr>
            <w:tcW w:w="4644" w:type="dxa"/>
          </w:tcPr>
          <w:p w14:paraId="4E742095"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Danmark</w:t>
            </w:r>
          </w:p>
          <w:p w14:paraId="5812C1FA"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Teva Denmark A/S</w:t>
            </w:r>
          </w:p>
          <w:p w14:paraId="62A88975"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Tlf: +45 44985511</w:t>
            </w:r>
          </w:p>
          <w:p w14:paraId="76AE2E15" w14:textId="77777777" w:rsidR="00A26B73" w:rsidRPr="00DC08DD" w:rsidRDefault="00A26B73" w:rsidP="00A26B73">
            <w:pPr>
              <w:pStyle w:val="KeinLeerraum"/>
              <w:rPr>
                <w:rFonts w:ascii="Times New Roman" w:hAnsi="Times New Roman"/>
                <w:lang w:val="en-GB"/>
              </w:rPr>
            </w:pPr>
          </w:p>
        </w:tc>
        <w:tc>
          <w:tcPr>
            <w:tcW w:w="4678" w:type="dxa"/>
          </w:tcPr>
          <w:p w14:paraId="132AE10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Malta</w:t>
            </w:r>
          </w:p>
          <w:p w14:paraId="6F06A32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Ltd.</w:t>
            </w:r>
          </w:p>
          <w:p w14:paraId="6CACF29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1E28CE7" w14:textId="77777777" w:rsidR="00A26B73" w:rsidRPr="00DC08DD" w:rsidRDefault="00A26B73" w:rsidP="00A26B73">
            <w:pPr>
              <w:pStyle w:val="KeinLeerraum"/>
              <w:rPr>
                <w:rFonts w:ascii="Times New Roman" w:hAnsi="Times New Roman"/>
                <w:lang w:val="en-GB"/>
              </w:rPr>
            </w:pPr>
          </w:p>
        </w:tc>
      </w:tr>
      <w:tr w:rsidR="00A26B73" w:rsidRPr="00DC08DD" w14:paraId="6C6AB879" w14:textId="77777777" w:rsidTr="00A26B73">
        <w:trPr>
          <w:gridBefore w:val="1"/>
          <w:wBefore w:w="34" w:type="dxa"/>
          <w:cantSplit/>
        </w:trPr>
        <w:tc>
          <w:tcPr>
            <w:tcW w:w="4644" w:type="dxa"/>
          </w:tcPr>
          <w:p w14:paraId="755FA164"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Deutschland</w:t>
            </w:r>
          </w:p>
          <w:p w14:paraId="70BF64FF" w14:textId="77777777" w:rsidR="00A26B73" w:rsidRPr="00DC08DD" w:rsidRDefault="00A26B73" w:rsidP="00A26B73">
            <w:pPr>
              <w:spacing w:after="0" w:line="240" w:lineRule="auto"/>
              <w:rPr>
                <w:rFonts w:ascii="Times New Roman" w:hAnsi="Times New Roman"/>
                <w:lang w:val="en-GB"/>
              </w:rPr>
            </w:pPr>
            <w:r w:rsidRPr="00DC08DD">
              <w:rPr>
                <w:rFonts w:ascii="Times New Roman" w:hAnsi="Times New Roman"/>
                <w:lang w:val="en-GB"/>
              </w:rPr>
              <w:t>Actavis Group PTC ehf.</w:t>
            </w:r>
          </w:p>
          <w:p w14:paraId="79928B96" w14:textId="77777777" w:rsidR="00A26B73" w:rsidRDefault="00A26B73" w:rsidP="00A26B73">
            <w:pPr>
              <w:pStyle w:val="KeinLeerraum"/>
              <w:rPr>
                <w:rFonts w:ascii="Times New Roman" w:hAnsi="Times New Roman"/>
                <w:lang w:val="en-US"/>
              </w:rPr>
            </w:pPr>
            <w:r w:rsidRPr="00DC08DD">
              <w:rPr>
                <w:rFonts w:ascii="Times New Roman" w:hAnsi="Times New Roman"/>
                <w:lang w:val="en-US"/>
              </w:rPr>
              <w:t>Island</w:t>
            </w:r>
          </w:p>
          <w:p w14:paraId="0601EA90"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12904D8A" w14:textId="77777777" w:rsidR="00A26B73" w:rsidRPr="00DC08DD" w:rsidRDefault="00A26B73" w:rsidP="00A26B73">
            <w:pPr>
              <w:pStyle w:val="KeinLeerraum"/>
              <w:rPr>
                <w:rFonts w:ascii="Times New Roman" w:hAnsi="Times New Roman"/>
                <w:lang w:val="en-GB"/>
              </w:rPr>
            </w:pPr>
          </w:p>
        </w:tc>
        <w:tc>
          <w:tcPr>
            <w:tcW w:w="4678" w:type="dxa"/>
          </w:tcPr>
          <w:p w14:paraId="44FB5597"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Nederland</w:t>
            </w:r>
          </w:p>
          <w:p w14:paraId="790F4D01"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5B0A26AF" w14:textId="77777777" w:rsidR="00A26B73" w:rsidRDefault="00A26B73" w:rsidP="00A26B73">
            <w:pPr>
              <w:pStyle w:val="KeinLeerraum"/>
              <w:rPr>
                <w:rFonts w:ascii="Times New Roman" w:hAnsi="Times New Roman"/>
                <w:iCs/>
                <w:lang w:val="en-GB"/>
              </w:rPr>
            </w:pPr>
            <w:r w:rsidRPr="00DC08DD">
              <w:rPr>
                <w:rFonts w:ascii="Times New Roman" w:hAnsi="Times New Roman"/>
                <w:iCs/>
                <w:lang w:val="en-GB"/>
              </w:rPr>
              <w:t>IJsland</w:t>
            </w:r>
          </w:p>
          <w:p w14:paraId="2F7AE336" w14:textId="77777777" w:rsidR="00A26B73" w:rsidRPr="00C5795F"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186B6E14" w14:textId="77777777" w:rsidR="00A26B73" w:rsidRPr="00DC08DD" w:rsidRDefault="00A26B73" w:rsidP="00A26B73">
            <w:pPr>
              <w:pStyle w:val="KeinLeerraum"/>
              <w:rPr>
                <w:rFonts w:ascii="Times New Roman" w:hAnsi="Times New Roman"/>
                <w:lang w:val="en-GB"/>
              </w:rPr>
            </w:pPr>
          </w:p>
        </w:tc>
      </w:tr>
      <w:tr w:rsidR="00A26B73" w:rsidRPr="00DC08DD" w14:paraId="7FFEFC99" w14:textId="77777777" w:rsidTr="00A26B73">
        <w:trPr>
          <w:gridBefore w:val="1"/>
          <w:wBefore w:w="34" w:type="dxa"/>
          <w:cantSplit/>
        </w:trPr>
        <w:tc>
          <w:tcPr>
            <w:tcW w:w="4644" w:type="dxa"/>
          </w:tcPr>
          <w:p w14:paraId="5533F789"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lastRenderedPageBreak/>
              <w:t>Eesti</w:t>
            </w:r>
          </w:p>
          <w:p w14:paraId="45AC2D18" w14:textId="4562CA21"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794AC1E4"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43FD2F4E" w14:textId="77777777" w:rsidR="00A26B73" w:rsidRPr="00DC08DD" w:rsidRDefault="00A26B73" w:rsidP="00A26B73">
            <w:pPr>
              <w:pStyle w:val="KeinLeerraum"/>
              <w:rPr>
                <w:rFonts w:ascii="Times New Roman" w:hAnsi="Times New Roman"/>
                <w:lang w:val="en-GB"/>
              </w:rPr>
            </w:pPr>
          </w:p>
        </w:tc>
        <w:tc>
          <w:tcPr>
            <w:tcW w:w="4678" w:type="dxa"/>
          </w:tcPr>
          <w:p w14:paraId="630C9754"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Norge</w:t>
            </w:r>
          </w:p>
          <w:p w14:paraId="7516631B"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Teva Norway AS</w:t>
            </w:r>
          </w:p>
          <w:p w14:paraId="76E4EABB"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Tlf: +47 66775590</w:t>
            </w:r>
          </w:p>
          <w:p w14:paraId="470E05BD" w14:textId="77777777" w:rsidR="00A26B73" w:rsidRPr="00DC08DD" w:rsidRDefault="00A26B73" w:rsidP="00A26B73">
            <w:pPr>
              <w:pStyle w:val="KeinLeerraum"/>
              <w:rPr>
                <w:rFonts w:ascii="Times New Roman" w:hAnsi="Times New Roman"/>
                <w:lang w:val="en-GB"/>
              </w:rPr>
            </w:pPr>
          </w:p>
        </w:tc>
      </w:tr>
      <w:tr w:rsidR="00A26B73" w:rsidRPr="00DC08DD" w14:paraId="7B8AA078" w14:textId="77777777" w:rsidTr="00A26B73">
        <w:trPr>
          <w:gridBefore w:val="1"/>
          <w:wBefore w:w="34" w:type="dxa"/>
          <w:cantSplit/>
        </w:trPr>
        <w:tc>
          <w:tcPr>
            <w:tcW w:w="4644" w:type="dxa"/>
          </w:tcPr>
          <w:p w14:paraId="742D6AB9" w14:textId="77777777" w:rsidR="00A26B73" w:rsidRPr="008F3048" w:rsidRDefault="00A26B73" w:rsidP="00A26B73">
            <w:pPr>
              <w:pStyle w:val="KeinLeerraum"/>
              <w:rPr>
                <w:rFonts w:ascii="Times New Roman" w:hAnsi="Times New Roman"/>
              </w:rPr>
            </w:pPr>
            <w:r w:rsidRPr="00DC08DD">
              <w:rPr>
                <w:rFonts w:ascii="Times New Roman" w:hAnsi="Times New Roman"/>
                <w:b/>
                <w:lang w:val="en-GB"/>
              </w:rPr>
              <w:t>Ελλάδα</w:t>
            </w:r>
          </w:p>
          <w:p w14:paraId="0D641FD7" w14:textId="77777777" w:rsidR="00A26B73" w:rsidRPr="008F3048" w:rsidRDefault="00A26B73" w:rsidP="00A26B73">
            <w:pPr>
              <w:pStyle w:val="NormalParagraphStyle"/>
              <w:spacing w:line="240" w:lineRule="auto"/>
              <w:rPr>
                <w:rFonts w:ascii="Times New Roman" w:hAnsi="Times New Roman"/>
                <w:color w:val="auto"/>
                <w:sz w:val="22"/>
                <w:szCs w:val="22"/>
                <w:lang w:val="is-IS"/>
              </w:rPr>
            </w:pPr>
            <w:r w:rsidRPr="008F3048">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5262C7B" w14:textId="79F131F2" w:rsidR="00A26B73" w:rsidRPr="00DC08DD" w:rsidRDefault="00A26B73" w:rsidP="00A26B73">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34855F6C" w14:textId="77777777" w:rsidR="00A26B73" w:rsidRPr="008F3048" w:rsidRDefault="00A26B73" w:rsidP="00A26B73">
            <w:pPr>
              <w:pStyle w:val="KeinLeerraum"/>
              <w:rPr>
                <w:rFonts w:ascii="Times New Roman" w:hAnsi="Times New Roman"/>
              </w:rPr>
            </w:pPr>
          </w:p>
        </w:tc>
        <w:tc>
          <w:tcPr>
            <w:tcW w:w="4678" w:type="dxa"/>
          </w:tcPr>
          <w:p w14:paraId="7BAA8BEC"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Österreich</w:t>
            </w:r>
          </w:p>
          <w:p w14:paraId="58C6C6D5" w14:textId="77777777" w:rsidR="00A26B73" w:rsidRPr="0056362A" w:rsidRDefault="00A26B73" w:rsidP="00A26B73">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5CC6BB02" w14:textId="77777777" w:rsidR="00A26B73" w:rsidRPr="00DC08DD" w:rsidRDefault="00A26B73" w:rsidP="00A26B73">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4F012F91" w14:textId="77777777" w:rsidR="00A26B73" w:rsidRPr="0056362A" w:rsidRDefault="00A26B73" w:rsidP="00A26B73">
            <w:pPr>
              <w:pStyle w:val="KeinLeerraum"/>
              <w:rPr>
                <w:rFonts w:ascii="Times New Roman" w:hAnsi="Times New Roman"/>
                <w:lang w:val="de-DE"/>
              </w:rPr>
            </w:pPr>
          </w:p>
        </w:tc>
      </w:tr>
      <w:tr w:rsidR="00A26B73" w:rsidRPr="00DC08DD" w14:paraId="13099D67" w14:textId="77777777" w:rsidTr="00A26B73">
        <w:trPr>
          <w:cantSplit/>
        </w:trPr>
        <w:tc>
          <w:tcPr>
            <w:tcW w:w="4678" w:type="dxa"/>
            <w:gridSpan w:val="2"/>
          </w:tcPr>
          <w:p w14:paraId="103B10C9"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España</w:t>
            </w:r>
          </w:p>
          <w:p w14:paraId="44FFA5CB"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1E882E1F"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Islandia</w:t>
            </w:r>
          </w:p>
          <w:p w14:paraId="695E18C7"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59E96900" w14:textId="77777777" w:rsidR="00A26B73" w:rsidRPr="00DC08DD" w:rsidRDefault="00A26B73" w:rsidP="00A26B73">
            <w:pPr>
              <w:pStyle w:val="KeinLeerraum"/>
              <w:rPr>
                <w:rFonts w:ascii="Times New Roman" w:hAnsi="Times New Roman"/>
                <w:lang w:val="en-GB"/>
              </w:rPr>
            </w:pPr>
          </w:p>
        </w:tc>
        <w:tc>
          <w:tcPr>
            <w:tcW w:w="4678" w:type="dxa"/>
          </w:tcPr>
          <w:p w14:paraId="6A6E159D" w14:textId="77777777" w:rsidR="00A26B73" w:rsidRPr="00DC08DD" w:rsidRDefault="00A26B73" w:rsidP="00A26B73">
            <w:pPr>
              <w:pStyle w:val="KeinLeerraum"/>
              <w:rPr>
                <w:rFonts w:ascii="Times New Roman" w:hAnsi="Times New Roman"/>
                <w:b/>
                <w:bCs/>
                <w:i/>
                <w:iCs/>
                <w:lang w:val="en-GB"/>
              </w:rPr>
            </w:pPr>
            <w:r w:rsidRPr="00DC08DD">
              <w:rPr>
                <w:rFonts w:ascii="Times New Roman" w:hAnsi="Times New Roman"/>
                <w:b/>
                <w:lang w:val="en-GB"/>
              </w:rPr>
              <w:t>Polska</w:t>
            </w:r>
          </w:p>
          <w:p w14:paraId="1C402877" w14:textId="77777777" w:rsidR="00A26B73" w:rsidRPr="00DC08DD" w:rsidRDefault="00A26B73" w:rsidP="00A26B73">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645D1D71" w14:textId="77777777" w:rsidR="00A26B73" w:rsidRPr="00DC08DD" w:rsidRDefault="00A26B73" w:rsidP="00A26B73">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633F6B70" w14:textId="77777777" w:rsidR="00A26B73" w:rsidRPr="00DC08DD" w:rsidRDefault="00A26B73" w:rsidP="00A26B73">
            <w:pPr>
              <w:pStyle w:val="KeinLeerraum"/>
              <w:rPr>
                <w:rFonts w:ascii="Times New Roman" w:hAnsi="Times New Roman"/>
                <w:lang w:val="en-GB"/>
              </w:rPr>
            </w:pPr>
          </w:p>
        </w:tc>
      </w:tr>
      <w:tr w:rsidR="00A26B73" w:rsidRPr="00DC08DD" w14:paraId="5124EF5E" w14:textId="77777777" w:rsidTr="00A26B73">
        <w:trPr>
          <w:cantSplit/>
        </w:trPr>
        <w:tc>
          <w:tcPr>
            <w:tcW w:w="4678" w:type="dxa"/>
            <w:gridSpan w:val="2"/>
          </w:tcPr>
          <w:p w14:paraId="72E8399A"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France</w:t>
            </w:r>
          </w:p>
          <w:p w14:paraId="51F6CA3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03B7C6BF" w14:textId="77777777" w:rsidR="00A26B73" w:rsidRDefault="00A26B73" w:rsidP="00A26B73">
            <w:pPr>
              <w:pStyle w:val="KeinLeerraum"/>
              <w:rPr>
                <w:rFonts w:ascii="Times New Roman" w:hAnsi="Times New Roman"/>
                <w:lang w:val="fr-FR"/>
              </w:rPr>
            </w:pPr>
            <w:r w:rsidRPr="00DC08DD">
              <w:rPr>
                <w:rFonts w:ascii="Times New Roman" w:hAnsi="Times New Roman"/>
                <w:lang w:val="fr-FR"/>
              </w:rPr>
              <w:t>Islande</w:t>
            </w:r>
          </w:p>
          <w:p w14:paraId="3C50340D"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6BE9A612" w14:textId="77777777" w:rsidR="00A26B73" w:rsidRPr="00DC08DD" w:rsidRDefault="00A26B73" w:rsidP="00A26B73">
            <w:pPr>
              <w:pStyle w:val="KeinLeerraum"/>
              <w:rPr>
                <w:rFonts w:ascii="Times New Roman" w:hAnsi="Times New Roman"/>
                <w:b/>
                <w:lang w:val="en-GB"/>
              </w:rPr>
            </w:pPr>
          </w:p>
        </w:tc>
        <w:tc>
          <w:tcPr>
            <w:tcW w:w="4678" w:type="dxa"/>
          </w:tcPr>
          <w:p w14:paraId="7D94E816"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Portugal</w:t>
            </w:r>
          </w:p>
          <w:p w14:paraId="54989564"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7CA811D7" w14:textId="77777777" w:rsidR="00A26B73" w:rsidRDefault="00A26B73" w:rsidP="00A26B73">
            <w:pPr>
              <w:pStyle w:val="KeinLeerraum"/>
              <w:rPr>
                <w:rFonts w:ascii="Times New Roman" w:hAnsi="Times New Roman"/>
                <w:lang w:val="es-ES"/>
              </w:rPr>
            </w:pPr>
            <w:r w:rsidRPr="00DC08DD">
              <w:rPr>
                <w:rFonts w:ascii="Times New Roman" w:hAnsi="Times New Roman"/>
                <w:lang w:val="es-ES"/>
              </w:rPr>
              <w:t>Islândia</w:t>
            </w:r>
          </w:p>
          <w:p w14:paraId="56C15040"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rPr>
              <w:t>Tel: +354 5503300</w:t>
            </w:r>
          </w:p>
          <w:p w14:paraId="51309DDC" w14:textId="77777777" w:rsidR="00A26B73" w:rsidRPr="00DC08DD" w:rsidRDefault="00A26B73" w:rsidP="00A26B73">
            <w:pPr>
              <w:pStyle w:val="KeinLeerraum"/>
              <w:rPr>
                <w:rFonts w:ascii="Times New Roman" w:hAnsi="Times New Roman"/>
                <w:lang w:val="en-GB"/>
              </w:rPr>
            </w:pPr>
          </w:p>
        </w:tc>
      </w:tr>
      <w:tr w:rsidR="00A26B73" w:rsidRPr="00DC08DD" w14:paraId="17BE94A2" w14:textId="77777777" w:rsidTr="00A26B73">
        <w:trPr>
          <w:cantSplit/>
        </w:trPr>
        <w:tc>
          <w:tcPr>
            <w:tcW w:w="4678" w:type="dxa"/>
            <w:gridSpan w:val="2"/>
          </w:tcPr>
          <w:p w14:paraId="10FFB8F3"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3D6706EA"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3481012C" w14:textId="77777777" w:rsidR="00A26B73" w:rsidRPr="00DC08DD" w:rsidRDefault="00A26B73" w:rsidP="00A26B73">
            <w:pPr>
              <w:pStyle w:val="KeinLeerraum"/>
              <w:rPr>
                <w:rFonts w:ascii="Times New Roman" w:hAnsi="Times New Roman"/>
              </w:rPr>
            </w:pPr>
            <w:r w:rsidRPr="00DC08DD">
              <w:rPr>
                <w:rFonts w:ascii="Times New Roman" w:hAnsi="Times New Roman"/>
              </w:rPr>
              <w:t>Tel: +385 13720000</w:t>
            </w:r>
          </w:p>
          <w:p w14:paraId="5416B75F" w14:textId="77777777" w:rsidR="00A26B73" w:rsidRPr="00DC08DD" w:rsidRDefault="00A26B73" w:rsidP="00A26B73">
            <w:pPr>
              <w:pStyle w:val="KeinLeerraum"/>
              <w:rPr>
                <w:rFonts w:ascii="Times New Roman" w:hAnsi="Times New Roman"/>
                <w:lang w:val="en-GB"/>
              </w:rPr>
            </w:pPr>
          </w:p>
        </w:tc>
        <w:tc>
          <w:tcPr>
            <w:tcW w:w="4678" w:type="dxa"/>
          </w:tcPr>
          <w:p w14:paraId="06858ECF"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România</w:t>
            </w:r>
          </w:p>
          <w:p w14:paraId="4CC43FC4" w14:textId="77777777" w:rsidR="00A26B73" w:rsidRPr="00DC08DD" w:rsidRDefault="00A26B73" w:rsidP="00A26B73">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1FCF0E4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6562BB76" w14:textId="77777777" w:rsidR="00A26B73" w:rsidRPr="00DC08DD" w:rsidRDefault="00A26B73" w:rsidP="00A26B73">
            <w:pPr>
              <w:pStyle w:val="KeinLeerraum"/>
              <w:rPr>
                <w:rFonts w:ascii="Times New Roman" w:hAnsi="Times New Roman"/>
                <w:lang w:val="en-GB"/>
              </w:rPr>
            </w:pPr>
          </w:p>
        </w:tc>
      </w:tr>
      <w:tr w:rsidR="00A26B73" w:rsidRPr="00DC08DD" w14:paraId="28238F91" w14:textId="77777777" w:rsidTr="00A26B73">
        <w:trPr>
          <w:cantSplit/>
        </w:trPr>
        <w:tc>
          <w:tcPr>
            <w:tcW w:w="4678" w:type="dxa"/>
            <w:gridSpan w:val="2"/>
          </w:tcPr>
          <w:p w14:paraId="0558BA83"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Ireland</w:t>
            </w:r>
          </w:p>
          <w:p w14:paraId="37F7D4C9" w14:textId="77777777" w:rsidR="00A26B73" w:rsidRPr="009A42FE" w:rsidRDefault="00A26B73" w:rsidP="00A26B73">
            <w:pPr>
              <w:pStyle w:val="KeinLeerraum"/>
              <w:rPr>
                <w:rFonts w:ascii="Times New Roman" w:hAnsi="Times New Roman"/>
                <w:lang w:val="en-GB"/>
              </w:rPr>
            </w:pPr>
            <w:r w:rsidRPr="009A42FE">
              <w:rPr>
                <w:rFonts w:ascii="Times New Roman" w:hAnsi="Times New Roman"/>
                <w:lang w:val="en-GB"/>
              </w:rPr>
              <w:t>Teva Pharmaceuticals Ireland</w:t>
            </w:r>
          </w:p>
          <w:p w14:paraId="39AAE867" w14:textId="2953CC64" w:rsidR="00A26B73" w:rsidRDefault="00A26B73" w:rsidP="00A26B73">
            <w:pPr>
              <w:pStyle w:val="KeinLeerraum"/>
              <w:rPr>
                <w:rFonts w:ascii="Times New Roman" w:hAnsi="Times New Roman"/>
                <w:lang w:val="en-GB"/>
              </w:rPr>
            </w:pPr>
            <w:r>
              <w:rPr>
                <w:rFonts w:ascii="Times New Roman" w:hAnsi="Times New Roman"/>
                <w:lang w:val="en-GB"/>
              </w:rPr>
              <w:t>Tel: +353 19127700</w:t>
            </w:r>
          </w:p>
          <w:p w14:paraId="6CA298E6" w14:textId="77777777" w:rsidR="00A26B73" w:rsidRPr="00DC08DD" w:rsidRDefault="00A26B73" w:rsidP="00A26B73">
            <w:pPr>
              <w:pStyle w:val="KeinLeerraum"/>
              <w:rPr>
                <w:rFonts w:ascii="Times New Roman" w:hAnsi="Times New Roman"/>
                <w:lang w:val="en-GB"/>
              </w:rPr>
            </w:pPr>
          </w:p>
        </w:tc>
        <w:tc>
          <w:tcPr>
            <w:tcW w:w="4678" w:type="dxa"/>
          </w:tcPr>
          <w:p w14:paraId="34D09575"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Slovenija</w:t>
            </w:r>
          </w:p>
          <w:p w14:paraId="4102848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Pliva Ljubljana d.o.o.</w:t>
            </w:r>
          </w:p>
          <w:p w14:paraId="18A39693"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+386 15890390</w:t>
            </w:r>
          </w:p>
          <w:p w14:paraId="56D44338" w14:textId="77777777" w:rsidR="00A26B73" w:rsidRPr="00DC08DD" w:rsidRDefault="00A26B73" w:rsidP="00A26B73">
            <w:pPr>
              <w:pStyle w:val="KeinLeerraum"/>
              <w:rPr>
                <w:rFonts w:ascii="Times New Roman" w:hAnsi="Times New Roman"/>
                <w:b/>
                <w:lang w:val="en-GB"/>
              </w:rPr>
            </w:pPr>
          </w:p>
        </w:tc>
      </w:tr>
      <w:tr w:rsidR="00A26B73" w:rsidRPr="00DC08DD" w14:paraId="201E8D27" w14:textId="77777777" w:rsidTr="00A26B73">
        <w:trPr>
          <w:cantSplit/>
        </w:trPr>
        <w:tc>
          <w:tcPr>
            <w:tcW w:w="4678" w:type="dxa"/>
            <w:gridSpan w:val="2"/>
          </w:tcPr>
          <w:p w14:paraId="7747677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Ísland</w:t>
            </w:r>
          </w:p>
          <w:p w14:paraId="09585BF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1DCD5E77"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Sími: +354 5503300</w:t>
            </w:r>
          </w:p>
          <w:p w14:paraId="6AADAA22" w14:textId="77777777" w:rsidR="00A26B73" w:rsidRPr="00DC08DD" w:rsidRDefault="00A26B73" w:rsidP="00A26B73">
            <w:pPr>
              <w:pStyle w:val="KeinLeerraum"/>
              <w:rPr>
                <w:rFonts w:ascii="Times New Roman" w:hAnsi="Times New Roman"/>
                <w:b/>
                <w:lang w:val="en-GB"/>
              </w:rPr>
            </w:pPr>
          </w:p>
        </w:tc>
        <w:tc>
          <w:tcPr>
            <w:tcW w:w="4678" w:type="dxa"/>
          </w:tcPr>
          <w:p w14:paraId="2364CF5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Slovenská republika</w:t>
            </w:r>
          </w:p>
          <w:p w14:paraId="6D721EA7"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4E0EF0C4"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2E377209" w14:textId="77777777" w:rsidR="00A26B73" w:rsidRPr="00DC08DD" w:rsidRDefault="00A26B73" w:rsidP="00A26B73">
            <w:pPr>
              <w:pStyle w:val="KeinLeerraum"/>
              <w:rPr>
                <w:rFonts w:ascii="Times New Roman" w:hAnsi="Times New Roman"/>
                <w:lang w:val="en-GB"/>
              </w:rPr>
            </w:pPr>
          </w:p>
        </w:tc>
      </w:tr>
      <w:tr w:rsidR="00A26B73" w:rsidRPr="00DC08DD" w14:paraId="5EA79E31" w14:textId="77777777" w:rsidTr="00A26B73">
        <w:trPr>
          <w:cantSplit/>
        </w:trPr>
        <w:tc>
          <w:tcPr>
            <w:tcW w:w="4678" w:type="dxa"/>
            <w:gridSpan w:val="2"/>
          </w:tcPr>
          <w:p w14:paraId="4F19C864"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Italia</w:t>
            </w:r>
          </w:p>
          <w:p w14:paraId="2B297926"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711971F5" w14:textId="77777777" w:rsidR="00A26B73" w:rsidRDefault="00A26B73" w:rsidP="00A26B73">
            <w:pPr>
              <w:pStyle w:val="KeinLeerraum"/>
              <w:rPr>
                <w:rFonts w:ascii="Times New Roman" w:hAnsi="Times New Roman"/>
                <w:lang w:val="da-DK"/>
              </w:rPr>
            </w:pPr>
            <w:r w:rsidRPr="00DC08DD">
              <w:rPr>
                <w:rFonts w:ascii="Times New Roman" w:hAnsi="Times New Roman"/>
                <w:lang w:val="da-DK"/>
              </w:rPr>
              <w:t>Islanda</w:t>
            </w:r>
          </w:p>
          <w:p w14:paraId="7835A4F5" w14:textId="77777777" w:rsidR="00A26B73" w:rsidRPr="001B0C82" w:rsidRDefault="00A26B73" w:rsidP="00A26B73">
            <w:pPr>
              <w:pStyle w:val="KeinLeerraum"/>
              <w:rPr>
                <w:rFonts w:ascii="Times New Roman" w:hAnsi="Times New Roman"/>
                <w:lang w:val="en-US"/>
              </w:rPr>
            </w:pPr>
            <w:r w:rsidRPr="00B85F24">
              <w:rPr>
                <w:rFonts w:ascii="Times New Roman" w:hAnsi="Times New Roman"/>
                <w:noProof/>
              </w:rPr>
              <w:t>Tel: +354 5503300</w:t>
            </w:r>
          </w:p>
          <w:p w14:paraId="3D064D01" w14:textId="77777777" w:rsidR="00A26B73" w:rsidRPr="00DC08DD" w:rsidRDefault="00A26B73" w:rsidP="00A26B73">
            <w:pPr>
              <w:pStyle w:val="KeinLeerraum"/>
              <w:rPr>
                <w:rFonts w:ascii="Times New Roman" w:hAnsi="Times New Roman"/>
                <w:b/>
                <w:lang w:val="en-GB"/>
              </w:rPr>
            </w:pPr>
          </w:p>
        </w:tc>
        <w:tc>
          <w:tcPr>
            <w:tcW w:w="4678" w:type="dxa"/>
          </w:tcPr>
          <w:p w14:paraId="35C4FEE6"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Suomi/Finland</w:t>
            </w:r>
          </w:p>
          <w:p w14:paraId="617387BB" w14:textId="0ED4DBC4" w:rsidR="00A26B73" w:rsidRPr="00A26B73" w:rsidRDefault="00A26B73" w:rsidP="00A26B73">
            <w:pPr>
              <w:pStyle w:val="KeinLeerraum"/>
              <w:rPr>
                <w:rFonts w:ascii="Times New Roman" w:hAnsi="Times New Roman"/>
                <w:lang w:val="sv-SE"/>
              </w:rPr>
            </w:pPr>
            <w:r w:rsidRPr="00A26B73">
              <w:rPr>
                <w:rFonts w:ascii="Times New Roman" w:hAnsi="Times New Roman"/>
                <w:lang w:val="sv-SE"/>
              </w:rPr>
              <w:t>Teva Finland Oy</w:t>
            </w:r>
          </w:p>
          <w:p w14:paraId="282B0A65"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A26B73">
              <w:rPr>
                <w:rFonts w:ascii="Times New Roman" w:hAnsi="Times New Roman"/>
                <w:lang w:val="sv-SE"/>
              </w:rPr>
              <w:t>201805900</w:t>
            </w:r>
          </w:p>
          <w:p w14:paraId="163A8907" w14:textId="77777777" w:rsidR="00A26B73" w:rsidRPr="00DC08DD" w:rsidRDefault="00A26B73" w:rsidP="00A26B73">
            <w:pPr>
              <w:pStyle w:val="KeinLeerraum"/>
              <w:rPr>
                <w:rFonts w:ascii="Times New Roman" w:hAnsi="Times New Roman"/>
                <w:b/>
                <w:lang w:val="en-GB"/>
              </w:rPr>
            </w:pPr>
          </w:p>
        </w:tc>
      </w:tr>
      <w:tr w:rsidR="00A26B73" w:rsidRPr="00DC08DD" w14:paraId="33F96AF4" w14:textId="77777777" w:rsidTr="00A26B73">
        <w:trPr>
          <w:cantSplit/>
        </w:trPr>
        <w:tc>
          <w:tcPr>
            <w:tcW w:w="4678" w:type="dxa"/>
            <w:gridSpan w:val="2"/>
          </w:tcPr>
          <w:p w14:paraId="5F6CB708" w14:textId="77777777" w:rsidR="00A26B73" w:rsidRPr="00F81B0C" w:rsidRDefault="00A26B73" w:rsidP="00A26B73">
            <w:pPr>
              <w:pStyle w:val="KeinLeerraum"/>
              <w:rPr>
                <w:rFonts w:ascii="Times New Roman" w:hAnsi="Times New Roman"/>
                <w:b/>
              </w:rPr>
            </w:pPr>
            <w:r w:rsidRPr="00DC08DD">
              <w:rPr>
                <w:rFonts w:ascii="Times New Roman" w:hAnsi="Times New Roman"/>
                <w:b/>
                <w:lang w:val="en-GB"/>
              </w:rPr>
              <w:t>Κύπρος</w:t>
            </w:r>
          </w:p>
          <w:p w14:paraId="68B6AA0F" w14:textId="77777777" w:rsidR="00A26B73" w:rsidRPr="00F81B0C" w:rsidRDefault="00A26B73" w:rsidP="00A26B73">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42A700D4" w14:textId="77777777" w:rsidR="00A26B73" w:rsidRPr="00F81B0C" w:rsidRDefault="00A26B73" w:rsidP="00A26B73">
            <w:pPr>
              <w:pStyle w:val="KeinLeerraum"/>
              <w:rPr>
                <w:rFonts w:ascii="Times New Roman" w:hAnsi="Times New Roman"/>
              </w:rPr>
            </w:pPr>
            <w:r w:rsidRPr="00DC08DD">
              <w:rPr>
                <w:rFonts w:ascii="Times New Roman" w:hAnsi="Times New Roman"/>
                <w:lang w:val="el-GR"/>
              </w:rPr>
              <w:t>Ελλάδα</w:t>
            </w:r>
          </w:p>
          <w:p w14:paraId="1BD796C4" w14:textId="16FFB3F7" w:rsidR="00A26B73" w:rsidRPr="00F81B0C" w:rsidRDefault="00A26B73" w:rsidP="00A26B73">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38BF9733" w14:textId="77777777" w:rsidR="00A26B73" w:rsidRPr="00F81B0C" w:rsidRDefault="00A26B73" w:rsidP="00A26B73">
            <w:pPr>
              <w:pStyle w:val="KeinLeerraum"/>
              <w:rPr>
                <w:rFonts w:ascii="Times New Roman" w:hAnsi="Times New Roman"/>
              </w:rPr>
            </w:pPr>
          </w:p>
        </w:tc>
        <w:tc>
          <w:tcPr>
            <w:tcW w:w="4678" w:type="dxa"/>
          </w:tcPr>
          <w:p w14:paraId="291849A2" w14:textId="77777777" w:rsidR="00A26B73" w:rsidRPr="0056362A" w:rsidRDefault="00A26B73" w:rsidP="00A26B73">
            <w:pPr>
              <w:pStyle w:val="KeinLeerraum"/>
              <w:rPr>
                <w:rFonts w:ascii="Times New Roman" w:hAnsi="Times New Roman"/>
                <w:b/>
                <w:lang w:val="de-DE"/>
              </w:rPr>
            </w:pPr>
            <w:r w:rsidRPr="0056362A">
              <w:rPr>
                <w:rFonts w:ascii="Times New Roman" w:hAnsi="Times New Roman"/>
                <w:b/>
                <w:lang w:val="de-DE"/>
              </w:rPr>
              <w:t>Sverige</w:t>
            </w:r>
          </w:p>
          <w:p w14:paraId="23CD97FB"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Teva Sweden AB</w:t>
            </w:r>
          </w:p>
          <w:p w14:paraId="214C40A4"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Tel: +46 42121100</w:t>
            </w:r>
          </w:p>
          <w:p w14:paraId="05589FDC" w14:textId="77777777" w:rsidR="00A26B73" w:rsidRPr="0056362A" w:rsidRDefault="00A26B73" w:rsidP="00A26B73">
            <w:pPr>
              <w:pStyle w:val="KeinLeerraum"/>
              <w:rPr>
                <w:rFonts w:ascii="Times New Roman" w:hAnsi="Times New Roman"/>
                <w:lang w:val="de-DE"/>
              </w:rPr>
            </w:pPr>
          </w:p>
        </w:tc>
      </w:tr>
      <w:tr w:rsidR="00A26B73" w:rsidRPr="00DC08DD" w14:paraId="4A7B4AE3" w14:textId="77777777" w:rsidTr="00A26B73">
        <w:trPr>
          <w:cantSplit/>
        </w:trPr>
        <w:tc>
          <w:tcPr>
            <w:tcW w:w="4678" w:type="dxa"/>
            <w:gridSpan w:val="2"/>
          </w:tcPr>
          <w:p w14:paraId="0288D6AE" w14:textId="77777777" w:rsidR="00A26B73" w:rsidRPr="00DC08DD" w:rsidRDefault="00A26B73" w:rsidP="00A26B73">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56A081FD" w14:textId="6AA7C253" w:rsidR="00A26B73" w:rsidRPr="00A26B73" w:rsidRDefault="00A26B73" w:rsidP="00A26B73">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66A7AA44" w14:textId="77777777" w:rsidR="00A26B73" w:rsidRPr="00DC08DD" w:rsidRDefault="00A26B73" w:rsidP="00A26B73">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93BDE00" w14:textId="77777777" w:rsidR="00A26B73" w:rsidRPr="00DC08DD" w:rsidRDefault="00A26B73" w:rsidP="00A26B73">
            <w:pPr>
              <w:pStyle w:val="KeinLeerraum"/>
              <w:rPr>
                <w:rFonts w:ascii="Times New Roman" w:hAnsi="Times New Roman"/>
                <w:lang w:val="en-GB"/>
              </w:rPr>
            </w:pPr>
          </w:p>
        </w:tc>
        <w:tc>
          <w:tcPr>
            <w:tcW w:w="4678" w:type="dxa"/>
          </w:tcPr>
          <w:p w14:paraId="18C0840A"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United Kingdom</w:t>
            </w:r>
          </w:p>
          <w:p w14:paraId="2C962589"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UK Limited</w:t>
            </w:r>
          </w:p>
          <w:p w14:paraId="172AD190" w14:textId="77777777" w:rsidR="00A26B73" w:rsidRPr="00DC08DD" w:rsidRDefault="00A26B73" w:rsidP="00A26B73">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60B63E27" w14:textId="77777777" w:rsidR="00A26B73" w:rsidRPr="00DC08DD" w:rsidRDefault="00A26B73" w:rsidP="00A26B73">
            <w:pPr>
              <w:pStyle w:val="KeinLeerraum"/>
              <w:rPr>
                <w:rFonts w:ascii="Times New Roman" w:hAnsi="Times New Roman"/>
                <w:lang w:val="en-GB"/>
              </w:rPr>
            </w:pPr>
          </w:p>
        </w:tc>
      </w:tr>
    </w:tbl>
    <w:p w14:paraId="76F4D5CE" w14:textId="77777777" w:rsidR="00A26B73" w:rsidRPr="000F398A" w:rsidRDefault="00A26B73" w:rsidP="00A26B73">
      <w:pPr>
        <w:autoSpaceDE w:val="0"/>
        <w:autoSpaceDN w:val="0"/>
        <w:adjustRightInd w:val="0"/>
        <w:spacing w:after="0" w:line="240" w:lineRule="auto"/>
        <w:rPr>
          <w:rFonts w:ascii="Times New Roman" w:hAnsi="Times New Roman"/>
        </w:rPr>
      </w:pPr>
    </w:p>
    <w:bookmarkEnd w:id="3"/>
    <w:p w14:paraId="63E45223" w14:textId="77777777" w:rsidR="006478AD" w:rsidRPr="00AA499E" w:rsidRDefault="00616F3C">
      <w:pPr>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t>Denne indlægsseddel blev senest ændret &lt;DATO&gt;</w:t>
      </w:r>
    </w:p>
    <w:p w14:paraId="492FF9C8" w14:textId="77777777" w:rsidR="006478AD" w:rsidRPr="00AA499E" w:rsidRDefault="006478AD">
      <w:pPr>
        <w:autoSpaceDE w:val="0"/>
        <w:autoSpaceDN w:val="0"/>
        <w:adjustRightInd w:val="0"/>
        <w:spacing w:after="0" w:line="240" w:lineRule="auto"/>
        <w:contextualSpacing/>
        <w:rPr>
          <w:rFonts w:ascii="Times New Roman" w:hAnsi="Times New Roman"/>
          <w:lang w:val="da-DK"/>
        </w:rPr>
      </w:pPr>
    </w:p>
    <w:p w14:paraId="508E4B2B" w14:textId="77777777" w:rsidR="006478AD" w:rsidRPr="00AA499E" w:rsidRDefault="00616F3C">
      <w:pPr>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t>Andre informationskilder</w:t>
      </w:r>
    </w:p>
    <w:p w14:paraId="7DE67E78" w14:textId="77777777" w:rsidR="006478AD" w:rsidRPr="00AA499E" w:rsidRDefault="006478AD">
      <w:pPr>
        <w:autoSpaceDE w:val="0"/>
        <w:autoSpaceDN w:val="0"/>
        <w:adjustRightInd w:val="0"/>
        <w:spacing w:after="0" w:line="240" w:lineRule="auto"/>
        <w:contextualSpacing/>
        <w:rPr>
          <w:rFonts w:ascii="Times New Roman" w:hAnsi="Times New Roman"/>
          <w:lang w:val="da-DK"/>
        </w:rPr>
      </w:pPr>
    </w:p>
    <w:p w14:paraId="0E8EB73C" w14:textId="77777777" w:rsidR="006478AD" w:rsidRPr="00AA499E" w:rsidRDefault="00616F3C">
      <w:pPr>
        <w:autoSpaceDE w:val="0"/>
        <w:autoSpaceDN w:val="0"/>
        <w:adjustRightInd w:val="0"/>
        <w:spacing w:after="0" w:line="240" w:lineRule="auto"/>
        <w:contextualSpacing/>
        <w:rPr>
          <w:rFonts w:ascii="Times New Roman" w:hAnsi="Times New Roman"/>
          <w:lang w:val="da-DK"/>
        </w:rPr>
      </w:pPr>
      <w:r w:rsidRPr="00AA499E">
        <w:rPr>
          <w:rFonts w:ascii="Times New Roman" w:hAnsi="Times New Roman"/>
          <w:lang w:val="da-DK"/>
        </w:rPr>
        <w:lastRenderedPageBreak/>
        <w:t>Du kan finde yderligere oplysninger om dette lægemiddel på Det Europæiske Lægemiddelagenturs hjemmeside:</w:t>
      </w:r>
    </w:p>
    <w:p w14:paraId="1418332B" w14:textId="77777777" w:rsidR="006478AD" w:rsidRPr="00AA499E" w:rsidRDefault="008F3048">
      <w:pPr>
        <w:autoSpaceDE w:val="0"/>
        <w:autoSpaceDN w:val="0"/>
        <w:adjustRightInd w:val="0"/>
        <w:spacing w:after="0" w:line="240" w:lineRule="auto"/>
        <w:contextualSpacing/>
        <w:rPr>
          <w:rFonts w:ascii="Times New Roman" w:hAnsi="Times New Roman"/>
          <w:lang w:val="da-DK"/>
        </w:rPr>
      </w:pPr>
      <w:hyperlink r:id="rId17" w:history="1">
        <w:r w:rsidR="00616F3C" w:rsidRPr="00AA499E">
          <w:rPr>
            <w:rStyle w:val="Hyperlink"/>
            <w:rFonts w:ascii="Times New Roman" w:hAnsi="Times New Roman"/>
            <w:lang w:val="da-DK"/>
          </w:rPr>
          <w:t>http://www.ema.europa.eu</w:t>
        </w:r>
      </w:hyperlink>
    </w:p>
    <w:p w14:paraId="7F6FBF33" w14:textId="77777777" w:rsidR="006478AD" w:rsidRPr="00AA499E" w:rsidRDefault="006478AD">
      <w:pPr>
        <w:autoSpaceDE w:val="0"/>
        <w:autoSpaceDN w:val="0"/>
        <w:adjustRightInd w:val="0"/>
        <w:spacing w:after="0" w:line="240" w:lineRule="auto"/>
        <w:contextualSpacing/>
        <w:rPr>
          <w:rFonts w:ascii="Times New Roman" w:hAnsi="Times New Roman"/>
          <w:lang w:val="da-DK"/>
        </w:rPr>
      </w:pPr>
    </w:p>
    <w:p w14:paraId="7D070BC6" w14:textId="77777777" w:rsidR="006478AD" w:rsidRPr="00AA499E" w:rsidRDefault="006478AD">
      <w:pPr>
        <w:autoSpaceDE w:val="0"/>
        <w:autoSpaceDN w:val="0"/>
        <w:adjustRightInd w:val="0"/>
        <w:spacing w:after="0" w:line="240" w:lineRule="auto"/>
        <w:contextualSpacing/>
        <w:rPr>
          <w:rFonts w:ascii="Times New Roman" w:hAnsi="Times New Roman"/>
          <w:lang w:val="da-DK"/>
        </w:rPr>
      </w:pPr>
    </w:p>
    <w:p w14:paraId="125B9BB3" w14:textId="77777777" w:rsidR="00847287" w:rsidRPr="00AA499E" w:rsidRDefault="00847287" w:rsidP="00847287">
      <w:pPr>
        <w:spacing w:before="80" w:after="0" w:line="240" w:lineRule="auto"/>
        <w:ind w:left="2684" w:right="2646"/>
        <w:jc w:val="center"/>
        <w:rPr>
          <w:rFonts w:ascii="Times New Roman" w:eastAsia="Times New Roman" w:hAnsi="Times New Roman"/>
          <w:lang w:val="da-DK"/>
        </w:rPr>
      </w:pPr>
      <w:r w:rsidRPr="00AA499E">
        <w:rPr>
          <w:rFonts w:ascii="Times New Roman" w:hAnsi="Times New Roman"/>
          <w:lang w:val="da-DK"/>
        </w:rPr>
        <w:br w:type="page"/>
      </w:r>
      <w:r w:rsidRPr="00AA499E">
        <w:rPr>
          <w:rFonts w:ascii="Times New Roman" w:eastAsia="Times New Roman" w:hAnsi="Times New Roman"/>
          <w:b/>
          <w:bCs/>
          <w:lang w:val="da-DK"/>
        </w:rPr>
        <w:lastRenderedPageBreak/>
        <w:t>Indlægsseddel: Information til brugeren</w:t>
      </w:r>
    </w:p>
    <w:p w14:paraId="5F70E3BD" w14:textId="77777777" w:rsidR="00847287" w:rsidRPr="00AA499E" w:rsidRDefault="00847287" w:rsidP="00847287">
      <w:pPr>
        <w:autoSpaceDE w:val="0"/>
        <w:autoSpaceDN w:val="0"/>
        <w:adjustRightInd w:val="0"/>
        <w:spacing w:after="0" w:line="240" w:lineRule="auto"/>
        <w:jc w:val="center"/>
        <w:rPr>
          <w:rFonts w:ascii="Times New Roman" w:hAnsi="Times New Roman"/>
          <w:lang w:val="da-DK"/>
        </w:rPr>
      </w:pPr>
    </w:p>
    <w:p w14:paraId="08DDAEF8" w14:textId="77777777" w:rsidR="00847287" w:rsidRPr="00AA499E" w:rsidRDefault="00847287" w:rsidP="00847287">
      <w:pPr>
        <w:autoSpaceDE w:val="0"/>
        <w:autoSpaceDN w:val="0"/>
        <w:adjustRightInd w:val="0"/>
        <w:spacing w:after="0" w:line="240" w:lineRule="auto"/>
        <w:jc w:val="center"/>
        <w:rPr>
          <w:rFonts w:ascii="Times New Roman" w:hAnsi="Times New Roman"/>
          <w:b/>
          <w:bCs/>
          <w:lang w:val="da-DK"/>
        </w:rPr>
      </w:pPr>
      <w:r w:rsidRPr="00AA499E">
        <w:rPr>
          <w:rFonts w:ascii="Times New Roman" w:hAnsi="Times New Roman"/>
          <w:b/>
          <w:bCs/>
          <w:lang w:val="da-DK"/>
        </w:rPr>
        <w:t>Imatinib Actavis 100 mg hårde kapsler</w:t>
      </w:r>
    </w:p>
    <w:p w14:paraId="3B8E0363" w14:textId="77777777" w:rsidR="00847287" w:rsidRPr="00AA499E" w:rsidRDefault="00C0422F" w:rsidP="00847287">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i</w:t>
      </w:r>
      <w:r w:rsidR="00847287" w:rsidRPr="00AA499E">
        <w:rPr>
          <w:rFonts w:ascii="Times New Roman" w:hAnsi="Times New Roman"/>
          <w:lang w:val="da-DK"/>
        </w:rPr>
        <w:t>matinib</w:t>
      </w:r>
    </w:p>
    <w:p w14:paraId="5224B5A5"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5595C1F"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303001A8"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Læs denne indlægsseddel grundigt, inden du begynder at tage dette lægemiddel, </w:t>
      </w:r>
      <w:r w:rsidRPr="00AA499E">
        <w:rPr>
          <w:rFonts w:ascii="Times New Roman" w:hAnsi="Times New Roman"/>
          <w:lang w:val="da-DK"/>
        </w:rPr>
        <w:t xml:space="preserve"> </w:t>
      </w:r>
      <w:r w:rsidRPr="00AA499E">
        <w:rPr>
          <w:rFonts w:ascii="Times New Roman" w:hAnsi="Times New Roman"/>
          <w:b/>
          <w:bCs/>
          <w:lang w:val="da-DK"/>
        </w:rPr>
        <w:t>da den indeholder vigtige oplysninger.</w:t>
      </w:r>
    </w:p>
    <w:p w14:paraId="3CBC4F31"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Gem indlægssedlen. Du kan få brug for at læse den igen.</w:t>
      </w:r>
    </w:p>
    <w:p w14:paraId="1F36D761" w14:textId="6F2195C9"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Spørg lægen, apotekspersonalet </w:t>
      </w:r>
      <w:r w:rsidR="006B0B7E" w:rsidRPr="00AA499E">
        <w:rPr>
          <w:rFonts w:ascii="Times New Roman" w:hAnsi="Times New Roman"/>
          <w:lang w:val="da-DK"/>
        </w:rPr>
        <w:t>eller sygeplejersken</w:t>
      </w:r>
      <w:r w:rsidRPr="00AA499E">
        <w:rPr>
          <w:rFonts w:ascii="Times New Roman" w:hAnsi="Times New Roman"/>
          <w:lang w:val="da-DK"/>
        </w:rPr>
        <w:t>, hvis der er mere, du vil vide.</w:t>
      </w:r>
    </w:p>
    <w:p w14:paraId="15F17025"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Lægen har ordineret lægemidlet til dig personligt. Lad derfor være med at give </w:t>
      </w:r>
      <w:r w:rsidR="00406109" w:rsidRPr="00AA499E">
        <w:rPr>
          <w:rFonts w:ascii="Times New Roman" w:hAnsi="Times New Roman"/>
          <w:lang w:val="da-DK"/>
        </w:rPr>
        <w:t xml:space="preserve">medicinen </w:t>
      </w:r>
      <w:r w:rsidRPr="00AA499E">
        <w:rPr>
          <w:rFonts w:ascii="Times New Roman" w:hAnsi="Times New Roman"/>
          <w:lang w:val="da-DK"/>
        </w:rPr>
        <w:t>til andre. Det kan være skadeligt for andre, selvom de har de samme symptomer, som du har.</w:t>
      </w:r>
    </w:p>
    <w:p w14:paraId="6A67EEFD" w14:textId="5FC3B3BB"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Tal med lægen, apotekspersonalet </w:t>
      </w:r>
      <w:r w:rsidR="006B0B7E" w:rsidRPr="00AA499E">
        <w:rPr>
          <w:rFonts w:ascii="Times New Roman" w:hAnsi="Times New Roman"/>
          <w:lang w:val="da-DK"/>
        </w:rPr>
        <w:t>eller sygeplejersken</w:t>
      </w:r>
      <w:r w:rsidRPr="00AA499E">
        <w:rPr>
          <w:rFonts w:ascii="Times New Roman" w:hAnsi="Times New Roman"/>
          <w:lang w:val="da-DK"/>
        </w:rPr>
        <w:t>, hvis du får bivirkninger</w:t>
      </w:r>
      <w:r w:rsidR="00406109" w:rsidRPr="00AA499E">
        <w:rPr>
          <w:rFonts w:ascii="Times New Roman" w:hAnsi="Times New Roman"/>
          <w:lang w:val="da-DK"/>
        </w:rPr>
        <w:t xml:space="preserve">, herunder </w:t>
      </w:r>
      <w:r w:rsidRPr="00AA499E">
        <w:rPr>
          <w:rFonts w:ascii="Times New Roman" w:hAnsi="Times New Roman"/>
          <w:lang w:val="da-DK"/>
        </w:rPr>
        <w:t xml:space="preserve">bivirkninger, som ikke er nævnt </w:t>
      </w:r>
      <w:r w:rsidR="00C665E1" w:rsidRPr="00AA499E">
        <w:rPr>
          <w:rFonts w:ascii="Times New Roman" w:hAnsi="Times New Roman"/>
          <w:lang w:val="da-DK"/>
        </w:rPr>
        <w:t>i denne indlægsseddel</w:t>
      </w:r>
      <w:r w:rsidRPr="00AA499E">
        <w:rPr>
          <w:rFonts w:ascii="Times New Roman" w:hAnsi="Times New Roman"/>
          <w:lang w:val="da-DK"/>
        </w:rPr>
        <w:t>.</w:t>
      </w:r>
      <w:r w:rsidR="009C10A4" w:rsidRPr="00AA499E">
        <w:rPr>
          <w:rFonts w:ascii="Times New Roman" w:hAnsi="Times New Roman"/>
          <w:lang w:val="da-DK"/>
        </w:rPr>
        <w:t xml:space="preserve"> Se afsnit 4.</w:t>
      </w:r>
    </w:p>
    <w:p w14:paraId="30485EEA"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36E0C46" w14:textId="77777777" w:rsidR="00406109" w:rsidRPr="00AA499E" w:rsidRDefault="00406109" w:rsidP="0040610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 den nyeste indlægsseddel på www.indlaegsseddel.dk.</w:t>
      </w:r>
    </w:p>
    <w:p w14:paraId="0FD9CE65" w14:textId="77777777" w:rsidR="00406109" w:rsidRPr="00AA499E" w:rsidRDefault="00406109" w:rsidP="00847287">
      <w:pPr>
        <w:autoSpaceDE w:val="0"/>
        <w:autoSpaceDN w:val="0"/>
        <w:adjustRightInd w:val="0"/>
        <w:spacing w:after="0" w:line="240" w:lineRule="auto"/>
        <w:rPr>
          <w:rFonts w:ascii="Times New Roman" w:hAnsi="Times New Roman"/>
          <w:lang w:val="da-DK"/>
        </w:rPr>
      </w:pPr>
    </w:p>
    <w:p w14:paraId="31CFC0EC"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A28FB79"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Oversigt over indlægssedlen</w:t>
      </w:r>
    </w:p>
    <w:p w14:paraId="61440D59"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AC0F89C"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Virkning og anvendelse</w:t>
      </w:r>
    </w:p>
    <w:p w14:paraId="280E3404" w14:textId="77777777" w:rsidR="00847287" w:rsidRPr="00AA499E" w:rsidRDefault="00847287" w:rsidP="00847287">
      <w:pPr>
        <w:tabs>
          <w:tab w:val="left" w:pos="567"/>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Det skal du vide, før du begynder at tage Imatinib Actavis</w:t>
      </w:r>
    </w:p>
    <w:p w14:paraId="43EE51E6"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Sådan skal du tage Imatinib Actavis</w:t>
      </w:r>
    </w:p>
    <w:p w14:paraId="28C8B33B"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Bivirkninger</w:t>
      </w:r>
    </w:p>
    <w:p w14:paraId="3690ADA2"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5.</w:t>
      </w:r>
      <w:r w:rsidRPr="00AA499E">
        <w:rPr>
          <w:rFonts w:ascii="Times New Roman" w:hAnsi="Times New Roman"/>
          <w:lang w:val="da-DK"/>
        </w:rPr>
        <w:tab/>
        <w:t>Opbevaring</w:t>
      </w:r>
    </w:p>
    <w:p w14:paraId="6761F977"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6.</w:t>
      </w:r>
      <w:r w:rsidRPr="00AA499E">
        <w:rPr>
          <w:rFonts w:ascii="Times New Roman" w:hAnsi="Times New Roman"/>
          <w:lang w:val="da-DK"/>
        </w:rPr>
        <w:tab/>
        <w:t>Pakningsstørrelser og yderligere oplysninger</w:t>
      </w:r>
    </w:p>
    <w:p w14:paraId="34AC2D5D"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4C55082D"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75277372"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Virkning og anvendelse</w:t>
      </w:r>
    </w:p>
    <w:p w14:paraId="0584D919"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54895126"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 Actavis er et lægemiddel, der indeholder et aktivt stof kaldet imatinib. Dette lægemiddel virker ved at hæmme væksten af unormale celler </w:t>
      </w:r>
      <w:r w:rsidR="006873BD" w:rsidRPr="00AA499E">
        <w:rPr>
          <w:rFonts w:ascii="Times New Roman" w:hAnsi="Times New Roman"/>
          <w:lang w:val="da-DK"/>
        </w:rPr>
        <w:t>ved de sygdomme, der er nævnt nedenfor. Disse omfatter nogle former for kræft.</w:t>
      </w:r>
    </w:p>
    <w:p w14:paraId="32FAFA12"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1584128" w14:textId="77777777" w:rsidR="00AA6204" w:rsidRPr="00AA499E" w:rsidRDefault="00AA6204" w:rsidP="00AA6204">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bruges til behandling af:</w:t>
      </w:r>
    </w:p>
    <w:p w14:paraId="11C8735A" w14:textId="77777777" w:rsidR="00ED0F1C" w:rsidRPr="00AA499E" w:rsidRDefault="00ED0F1C" w:rsidP="00847287">
      <w:pPr>
        <w:autoSpaceDE w:val="0"/>
        <w:autoSpaceDN w:val="0"/>
        <w:adjustRightInd w:val="0"/>
        <w:spacing w:after="0" w:line="240" w:lineRule="auto"/>
        <w:rPr>
          <w:rFonts w:ascii="Times New Roman" w:hAnsi="Times New Roman"/>
          <w:b/>
          <w:bCs/>
          <w:lang w:val="da-DK"/>
        </w:rPr>
      </w:pPr>
    </w:p>
    <w:p w14:paraId="51FDF2AD" w14:textId="77777777" w:rsidR="00847287" w:rsidRPr="00AA499E" w:rsidRDefault="006873BD" w:rsidP="00063A26">
      <w:pPr>
        <w:numPr>
          <w:ilvl w:val="0"/>
          <w:numId w:val="25"/>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w:t>
      </w:r>
      <w:r w:rsidR="00847287" w:rsidRPr="00AA499E">
        <w:rPr>
          <w:rFonts w:ascii="Times New Roman" w:hAnsi="Times New Roman"/>
          <w:b/>
          <w:bCs/>
          <w:lang w:val="da-DK"/>
        </w:rPr>
        <w:t>ronisk myeloid leukæmi (CML).</w:t>
      </w:r>
      <w:r w:rsidR="00CC438E" w:rsidRPr="00AA499E">
        <w:rPr>
          <w:rFonts w:ascii="Times New Roman" w:hAnsi="Times New Roman"/>
          <w:lang w:val="da-DK"/>
        </w:rPr>
        <w:t xml:space="preserve"> </w:t>
      </w:r>
      <w:r w:rsidR="00847287" w:rsidRPr="00AA499E">
        <w:rPr>
          <w:rFonts w:ascii="Times New Roman" w:hAnsi="Times New Roman"/>
          <w:lang w:val="da-DK"/>
        </w:rPr>
        <w:t>Leukæmi er kræft i de hvide blodlegemer. Hvide blodlegemer hjælper som regel kroppen med at bekæmpe infektioner. Kronisk myeloid leukæmi er en type leukæmi, hvor nogle bestemte unormale hvide blodlegemer (der kaldes myeloide celler) vokser ukontrolleret.</w:t>
      </w:r>
    </w:p>
    <w:p w14:paraId="1653AC6B"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30A48FC"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voksne patienter er Imatinib Actavis beregnet til brug i den mest fremskredne fase af sygdommen (blastkrise). Hos børn og teenagere kan Imatinib Actavis bruges i forskellige sygdomsfaser (kronisk, accelereret fase og blastkrise).</w:t>
      </w:r>
    </w:p>
    <w:p w14:paraId="5C9EA34B" w14:textId="77777777" w:rsidR="00ED0F1C" w:rsidRPr="00AA499E" w:rsidRDefault="00ED0F1C" w:rsidP="00847287">
      <w:pPr>
        <w:autoSpaceDE w:val="0"/>
        <w:autoSpaceDN w:val="0"/>
        <w:adjustRightInd w:val="0"/>
        <w:spacing w:after="0" w:line="240" w:lineRule="auto"/>
        <w:rPr>
          <w:rFonts w:ascii="Times New Roman" w:hAnsi="Times New Roman"/>
          <w:lang w:val="da-DK"/>
        </w:rPr>
      </w:pPr>
    </w:p>
    <w:p w14:paraId="4CEB537B" w14:textId="77777777" w:rsidR="00ED0F1C" w:rsidRPr="00AA499E" w:rsidRDefault="00ED0F1C" w:rsidP="00ED0F1C">
      <w:pPr>
        <w:numPr>
          <w:ilvl w:val="0"/>
          <w:numId w:val="22"/>
        </w:num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 xml:space="preserve">Philadelphia-kromosom-positiv akut lymfoblastær leukæmi (Ph-positiv ALL). </w:t>
      </w:r>
    </w:p>
    <w:p w14:paraId="7AEE6A59" w14:textId="77777777" w:rsidR="00AA6204" w:rsidRPr="00AA499E" w:rsidRDefault="00ED0F1C" w:rsidP="006D6672">
      <w:pPr>
        <w:keepNext/>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lastRenderedPageBreak/>
        <w:t>Leukæmi er kræft i de hvide blodlegemer. Hvide blodlegemer hjælper som regel kroppen med at bekæmpe infektioner. Akut lymfoblastær leukæmi er en form af leukæmi, hvor visse abnorme hvide blodlegemer (kaldet lymfoblaster) vokser ukontrolleret. Imatinib Actavis hæmmer væksten af disse celler.</w:t>
      </w:r>
    </w:p>
    <w:p w14:paraId="2772E247" w14:textId="77777777" w:rsidR="00020D52" w:rsidRPr="00AA499E" w:rsidRDefault="00020D52" w:rsidP="00020D52">
      <w:pPr>
        <w:autoSpaceDE w:val="0"/>
        <w:autoSpaceDN w:val="0"/>
        <w:adjustRightInd w:val="0"/>
        <w:spacing w:after="0" w:line="240" w:lineRule="auto"/>
        <w:rPr>
          <w:rFonts w:ascii="Times New Roman" w:hAnsi="Times New Roman"/>
          <w:b/>
          <w:bCs/>
          <w:lang w:val="da-DK"/>
        </w:rPr>
      </w:pPr>
    </w:p>
    <w:p w14:paraId="7D5F80B3" w14:textId="77777777" w:rsidR="00020D52" w:rsidRPr="00AA499E" w:rsidRDefault="00020D52" w:rsidP="00020D52">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anvendes også til behandling af voksne med:</w:t>
      </w:r>
    </w:p>
    <w:p w14:paraId="53D95B19" w14:textId="77777777" w:rsidR="00020D52" w:rsidRPr="00AA499E" w:rsidRDefault="00020D52" w:rsidP="00020D52">
      <w:pPr>
        <w:autoSpaceDE w:val="0"/>
        <w:autoSpaceDN w:val="0"/>
        <w:adjustRightInd w:val="0"/>
        <w:spacing w:after="0" w:line="240" w:lineRule="auto"/>
        <w:rPr>
          <w:rFonts w:ascii="Times New Roman" w:hAnsi="Times New Roman"/>
          <w:b/>
          <w:bCs/>
          <w:lang w:val="da-DK"/>
        </w:rPr>
      </w:pPr>
    </w:p>
    <w:p w14:paraId="5488A286" w14:textId="77777777" w:rsidR="00020D52" w:rsidRPr="00AA499E" w:rsidRDefault="00020D52" w:rsidP="00871194">
      <w:pPr>
        <w:keepNext/>
        <w:autoSpaceDE w:val="0"/>
        <w:autoSpaceDN w:val="0"/>
        <w:adjustRightInd w:val="0"/>
        <w:spacing w:after="0" w:line="240" w:lineRule="auto"/>
        <w:rPr>
          <w:rFonts w:ascii="Times New Roman" w:hAnsi="Times New Roman"/>
          <w:lang w:val="da-DK"/>
        </w:rPr>
      </w:pPr>
    </w:p>
    <w:p w14:paraId="18CFE3B8" w14:textId="77777777" w:rsidR="00ED0F1C" w:rsidRPr="00AA499E" w:rsidRDefault="00ED0F1C" w:rsidP="00ED0F1C">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Myelodysplastiske/myeloproliferative sygdomme (MDS/MDP). </w:t>
      </w:r>
      <w:r w:rsidRPr="00AA499E">
        <w:rPr>
          <w:rFonts w:ascii="Times New Roman" w:hAnsi="Times New Roman"/>
          <w:lang w:val="da-DK"/>
        </w:rPr>
        <w:t>Disse er en gruppe af sygdomme i blodet, hvor nogle blodlegemer begynder at vokse ukontrolleret. Imatinib Actavis hæmmer væksten af disse blodlegemer i en vis undergruppe af disse sygdomme.</w:t>
      </w:r>
    </w:p>
    <w:p w14:paraId="7A5FD90A" w14:textId="77777777" w:rsidR="00ED0F1C" w:rsidRPr="00AA499E" w:rsidRDefault="00ED0F1C" w:rsidP="00ED0F1C">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Hypereosinofil syndrom (HES) og/eller kronisk eosinofil leukæmi (CEL). </w:t>
      </w:r>
      <w:r w:rsidRPr="00AA499E">
        <w:rPr>
          <w:rFonts w:ascii="Times New Roman" w:hAnsi="Times New Roman"/>
          <w:lang w:val="da-DK"/>
        </w:rPr>
        <w:t>Disse er sygdomme i blodet, i hvilke visse blodlegemer (kaldet eosinofile celler) begynder at vokse ukontrolleret. Imatinib Actavis hæmmer væksten af disse celler i en vis undergruppe af disse sygdomme.</w:t>
      </w:r>
    </w:p>
    <w:p w14:paraId="4A16549C" w14:textId="77777777" w:rsidR="00ED0F1C" w:rsidRPr="00AA499E" w:rsidRDefault="00ED0F1C" w:rsidP="00871194">
      <w:pPr>
        <w:autoSpaceDE w:val="0"/>
        <w:autoSpaceDN w:val="0"/>
        <w:adjustRightInd w:val="0"/>
        <w:spacing w:after="0" w:line="240" w:lineRule="auto"/>
        <w:rPr>
          <w:rFonts w:ascii="Times New Roman" w:hAnsi="Times New Roman"/>
          <w:color w:val="000000"/>
          <w:lang w:val="da-DK" w:eastAsia="is-IS"/>
        </w:rPr>
      </w:pPr>
      <w:r w:rsidRPr="00AA499E">
        <w:rPr>
          <w:rFonts w:ascii="Times New Roman" w:hAnsi="Times New Roman"/>
          <w:b/>
          <w:bCs/>
          <w:color w:val="000000"/>
          <w:lang w:val="da-DK" w:eastAsia="is-IS"/>
        </w:rPr>
        <w:t xml:space="preserve">Dermatofibrosarkom protuberans (DFSP). </w:t>
      </w:r>
      <w:r w:rsidRPr="00AA499E">
        <w:rPr>
          <w:rFonts w:ascii="Times New Roman" w:hAnsi="Times New Roman"/>
          <w:color w:val="000000"/>
          <w:lang w:val="da-DK" w:eastAsia="is-IS"/>
        </w:rPr>
        <w:t>DFSP er en kræftform i vævet under huden, hvor visse celler vokser ukontrolleret. Imatinib Actavis</w:t>
      </w:r>
      <w:r w:rsidRPr="00AA499E">
        <w:rPr>
          <w:rFonts w:ascii="Times New Roman" w:hAnsi="Times New Roman"/>
          <w:color w:val="000000"/>
          <w:sz w:val="24"/>
          <w:szCs w:val="24"/>
          <w:lang w:val="da-DK" w:eastAsia="is-IS"/>
        </w:rPr>
        <w:t xml:space="preserve"> </w:t>
      </w:r>
      <w:r w:rsidRPr="00AA499E">
        <w:rPr>
          <w:rFonts w:ascii="Times New Roman" w:hAnsi="Times New Roman"/>
          <w:color w:val="000000"/>
          <w:lang w:val="da-DK" w:eastAsia="is-IS"/>
        </w:rPr>
        <w:t xml:space="preserve">hæmmer væksten af disse celler. </w:t>
      </w:r>
    </w:p>
    <w:p w14:paraId="55B8C7CD" w14:textId="77777777" w:rsidR="00ED0F1C" w:rsidRPr="00AA499E" w:rsidRDefault="00ED0F1C" w:rsidP="00ED0F1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resten af denne indlægsseddel vil vi bruge forkortelserne, når vi omtaler disse sygdomme.</w:t>
      </w:r>
    </w:p>
    <w:p w14:paraId="2CD5E93A"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561232C"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har spørgsmål om, hvordan Imatinib Actavis virker, eller hvorfor du har fået ordineret dette lægemiddel, kontakt din læge.</w:t>
      </w:r>
    </w:p>
    <w:p w14:paraId="1A8F254E"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096DE68"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36DEF0AE"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2.</w:t>
      </w:r>
      <w:r w:rsidRPr="00AA499E">
        <w:rPr>
          <w:rFonts w:ascii="Times New Roman" w:hAnsi="Times New Roman"/>
          <w:b/>
          <w:bCs/>
          <w:lang w:val="da-DK"/>
        </w:rPr>
        <w:tab/>
        <w:t>Det skal du vide, før du begynder at tage Imatinib Actavis</w:t>
      </w:r>
    </w:p>
    <w:p w14:paraId="21C42632"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7CFA0914"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vil kun blive ordineret til dig af en læge med erfaring i behandlingen af kræft i blodet</w:t>
      </w:r>
      <w:r w:rsidR="00ED0F1C" w:rsidRPr="00AA499E">
        <w:rPr>
          <w:rFonts w:ascii="Times New Roman" w:hAnsi="Times New Roman"/>
          <w:lang w:val="da-DK"/>
        </w:rPr>
        <w:t xml:space="preserve"> eller kræftknuder.</w:t>
      </w:r>
    </w:p>
    <w:p w14:paraId="1F3B37F5"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3DDE76DD"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Følg omhyggeligt din læges anvisninger, selvom de er forskellige fra den generelle information i denne indlægsseddel.</w:t>
      </w:r>
    </w:p>
    <w:p w14:paraId="1A82D35B"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7F30015" w14:textId="71D2FD2C"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Tag ikke Imatinib Actavis</w:t>
      </w:r>
    </w:p>
    <w:p w14:paraId="3056FE0C"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allergisk over for imatinib eller et af de øvrige indholdsstoffer i lægemidlet (angivet i punkt 6).</w:t>
      </w:r>
    </w:p>
    <w:p w14:paraId="145CD2BA"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p>
    <w:p w14:paraId="480CDE2B"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dette gælder for dig, </w:t>
      </w:r>
      <w:r w:rsidRPr="00AA499E">
        <w:rPr>
          <w:rFonts w:ascii="Times New Roman" w:hAnsi="Times New Roman"/>
          <w:b/>
          <w:bCs/>
          <w:lang w:val="da-DK"/>
        </w:rPr>
        <w:t>skal du fortælle din læge det, før du tager Imatinib Actavis.</w:t>
      </w:r>
    </w:p>
    <w:p w14:paraId="30B40518"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5342BA9"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tror, du er allergisk, men ikke er sikker, skal du kontakte din læge for at få rådgivning.</w:t>
      </w:r>
    </w:p>
    <w:p w14:paraId="3D7B9FE0"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4AB13808"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Advarsler og forsigtighedsregler</w:t>
      </w:r>
    </w:p>
    <w:p w14:paraId="0BBF54B7"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Kontakt lægen, før du tager Imatinib Actavis:</w:t>
      </w:r>
    </w:p>
    <w:p w14:paraId="4621A0BC"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har eller har haft lever-, nyre- eller hjerteproblemer.</w:t>
      </w:r>
    </w:p>
    <w:p w14:paraId="1320253D"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tager medicin indeholdende levothyroxin, fordi din skjoldbruskkirtel er blevet fjernet.</w:t>
      </w:r>
    </w:p>
    <w:p w14:paraId="53415FF0" w14:textId="77777777" w:rsidR="0017077B" w:rsidRPr="00AA499E" w:rsidRDefault="00B70E7C"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nogensinde har været eller måske er smittet med hepatitis B-virus. Dette skyldes, at (</w:t>
      </w:r>
      <w:r w:rsidR="002A7A45" w:rsidRPr="00AA499E">
        <w:rPr>
          <w:rFonts w:ascii="Times New Roman" w:hAnsi="Times New Roman"/>
          <w:lang w:val="da-DK"/>
        </w:rPr>
        <w:t>Imatinib Actavis</w:t>
      </w:r>
      <w:r w:rsidRPr="00AA499E">
        <w:rPr>
          <w:rFonts w:ascii="Times New Roman" w:hAnsi="Times New Roman"/>
          <w:lang w:val="da-DK"/>
        </w:rPr>
        <w:t>) kan forårsage, at hepatitis B-infektionen bliver aktiv igen, hvilket undertiden kan være dødeligt. Lægen vil omhyggeligt kontrolleres dig for tegn på denne infektion, før behandlingen påbegyndes.</w:t>
      </w:r>
    </w:p>
    <w:p w14:paraId="0E0A5EAB" w14:textId="77777777" w:rsidR="00B70E7C" w:rsidRPr="00AA499E" w:rsidRDefault="0017077B"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får blå mærker, blødninger, feber, træthed og oplever forvirring, mens du tager Imatinib Actavis, skal du kontakte din læge. Dette kan være tegn på beskadigelse af dine blodkar, hvilket kaldes trombotisk mikroangiopati (TMA).</w:t>
      </w:r>
    </w:p>
    <w:p w14:paraId="3EDE8FDA"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lastRenderedPageBreak/>
        <w:t xml:space="preserve">Hvis noget af det ovenstående gælder for dig, </w:t>
      </w:r>
      <w:r w:rsidRPr="00AA499E">
        <w:rPr>
          <w:rFonts w:ascii="Times New Roman" w:hAnsi="Times New Roman"/>
          <w:b/>
          <w:bCs/>
          <w:lang w:val="da-DK"/>
        </w:rPr>
        <w:t>skal du fortælle din læge det, før du tager Imatinib Actavis.</w:t>
      </w:r>
    </w:p>
    <w:p w14:paraId="7B416DD7"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181FD488" w14:textId="77777777" w:rsidR="00AA6204" w:rsidRPr="00AA499E" w:rsidRDefault="00AA6204" w:rsidP="00AA6204">
      <w:pPr>
        <w:pStyle w:val="BodyText22"/>
        <w:widowControl w:val="0"/>
        <w:tabs>
          <w:tab w:val="clear" w:pos="-720"/>
        </w:tabs>
        <w:rPr>
          <w:i w:val="0"/>
          <w:color w:val="000000"/>
          <w:szCs w:val="22"/>
        </w:rPr>
      </w:pPr>
      <w:r w:rsidRPr="00AA499E">
        <w:rPr>
          <w:i w:val="0"/>
          <w:color w:val="000000"/>
          <w:szCs w:val="22"/>
        </w:rPr>
        <w:t>Du kan blive mere følsom overfor sollys, når du tager Imatinib Actavis. Det er vigtigt at dække de områder af huden, som udsættes for solen, og at bruge solcreme med høj solbeskyttelsesfaktor (SPF). Disse forholdsregler gælder også for børn.</w:t>
      </w:r>
    </w:p>
    <w:p w14:paraId="18292FF6" w14:textId="77777777" w:rsidR="00AA6204" w:rsidRPr="00AA499E" w:rsidRDefault="00AA6204" w:rsidP="00AA6204">
      <w:pPr>
        <w:autoSpaceDE w:val="0"/>
        <w:autoSpaceDN w:val="0"/>
        <w:adjustRightInd w:val="0"/>
        <w:spacing w:after="0" w:line="240" w:lineRule="auto"/>
        <w:rPr>
          <w:rFonts w:ascii="Times New Roman" w:hAnsi="Times New Roman"/>
          <w:b/>
          <w:bCs/>
          <w:lang w:val="da-DK"/>
        </w:rPr>
      </w:pPr>
    </w:p>
    <w:p w14:paraId="7F21BFF0"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Du skal straks fortælle din læge, </w:t>
      </w:r>
      <w:r w:rsidRPr="00AA499E">
        <w:rPr>
          <w:rFonts w:ascii="Times New Roman" w:hAnsi="Times New Roman"/>
          <w:lang w:val="da-DK"/>
        </w:rPr>
        <w:t>hvis du meget hurtigt tager på i vægt, mens du er i behandling med Imatinib Actavis. Imatinib Actavis kan forårsage, at din krop begynder at ophobe væske (svær væskeretention).</w:t>
      </w:r>
    </w:p>
    <w:p w14:paraId="4CCD56A5"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7C81C68A"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Mens du tager Imatinib Actavis, vil din læge regelmæssigt kontrollere, om lægemidlet virker. Du vil også få taget blodprøver og blive vejet regelmæssigt.</w:t>
      </w:r>
    </w:p>
    <w:p w14:paraId="19AA8ABB"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3E98DF4E" w14:textId="77777777" w:rsidR="00847287" w:rsidRPr="00AA499E" w:rsidRDefault="00847287" w:rsidP="00847287">
      <w:pPr>
        <w:autoSpaceDE w:val="0"/>
        <w:autoSpaceDN w:val="0"/>
        <w:adjustRightInd w:val="0"/>
        <w:spacing w:after="0" w:line="240" w:lineRule="auto"/>
        <w:rPr>
          <w:rFonts w:ascii="Times New Roman" w:eastAsia="Times New Roman" w:hAnsi="Times New Roman"/>
          <w:b/>
          <w:bCs/>
          <w:lang w:val="da-DK"/>
        </w:rPr>
      </w:pPr>
      <w:r w:rsidRPr="00AA499E">
        <w:rPr>
          <w:rFonts w:ascii="Times New Roman" w:eastAsia="Times New Roman" w:hAnsi="Times New Roman"/>
          <w:b/>
          <w:bCs/>
          <w:lang w:val="da-DK"/>
        </w:rPr>
        <w:t xml:space="preserve">Børn og </w:t>
      </w:r>
      <w:r w:rsidR="00406109" w:rsidRPr="00AA499E">
        <w:rPr>
          <w:rFonts w:ascii="Times New Roman" w:eastAsia="Times New Roman" w:hAnsi="Times New Roman"/>
          <w:b/>
          <w:bCs/>
          <w:lang w:val="da-DK"/>
        </w:rPr>
        <w:t>unge</w:t>
      </w:r>
    </w:p>
    <w:p w14:paraId="09BB9618" w14:textId="77777777" w:rsidR="009770BB" w:rsidRPr="00AA499E" w:rsidRDefault="009770BB" w:rsidP="009770B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bruges også til behandling af børn med CML. Der er ingen erfaring med behandling af CML hos børn under 2 år. Der er begrænset erfaring hos børn og Ph-positiv ALL og meget begrænset erfaring med børn med MDS/MPD, DFSP og HES/CEL.</w:t>
      </w:r>
    </w:p>
    <w:p w14:paraId="7C79D9A0"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99ED731"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DB26D9D"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Nogle børn og unge, der får Imatinib Actavis, kan vokse langsommere end normalt. Lægen vil kontrollere væksten ved regelmæssige besøg.</w:t>
      </w:r>
    </w:p>
    <w:p w14:paraId="1123C85A" w14:textId="77777777" w:rsidR="00847287" w:rsidRPr="008F3048" w:rsidRDefault="00847287" w:rsidP="00847287">
      <w:pPr>
        <w:autoSpaceDE w:val="0"/>
        <w:autoSpaceDN w:val="0"/>
        <w:adjustRightInd w:val="0"/>
        <w:spacing w:after="0" w:line="240" w:lineRule="auto"/>
        <w:rPr>
          <w:rFonts w:ascii="Times New Roman" w:hAnsi="Times New Roman"/>
          <w:b/>
          <w:bCs/>
          <w:lang w:val="da-DK"/>
        </w:rPr>
      </w:pPr>
    </w:p>
    <w:p w14:paraId="24C9CD89"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af anden medicin sammen med Imatinib Actavis</w:t>
      </w:r>
    </w:p>
    <w:p w14:paraId="6CDEB405" w14:textId="40C399B8"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Fortæl altid lægen eller på apoteket, hvis du tager anden medicin for nylig</w:t>
      </w:r>
      <w:r w:rsidR="00554886" w:rsidRPr="00537232">
        <w:rPr>
          <w:rFonts w:ascii="Times New Roman" w:hAnsi="Times New Roman"/>
          <w:lang w:val="da-DK"/>
        </w:rPr>
        <w:t xml:space="preserve"> har taget </w:t>
      </w:r>
      <w:r w:rsidR="00554886" w:rsidRPr="008F3048">
        <w:rPr>
          <w:rFonts w:ascii="Times New Roman" w:hAnsi="Times New Roman"/>
          <w:lang w:val="da-DK"/>
        </w:rPr>
        <w:t>anden medicin eller planlægger at tage anden medicin</w:t>
      </w:r>
      <w:r w:rsidRPr="00AA499E">
        <w:rPr>
          <w:rFonts w:ascii="Times New Roman" w:hAnsi="Times New Roman"/>
          <w:lang w:val="da-DK"/>
        </w:rPr>
        <w:t>. Dette gælder også medicin, som ikke er købt på recept (såsom paracetamol), inklusive naturlægemidler (såsom perikon). Nogle lægemidler kan påvirke virkningen af Imatinib Actavis, når de bruges samtidigt. De kan enten øge eller nedsætte virkningen af Imatinib Actavis, hvilket kan resultere i enten flere bivirkninger, eller de kan gøre Imatinib Actavis mindre virksomt. Imatinib Actavis kan gøre det samme ved andre lægemidler.</w:t>
      </w:r>
    </w:p>
    <w:p w14:paraId="36AD06F3"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6F057BE" w14:textId="77777777" w:rsidR="00847287" w:rsidRPr="00AA499E" w:rsidRDefault="00847287" w:rsidP="00847287">
      <w:pPr>
        <w:widowControl w:val="0"/>
        <w:rPr>
          <w:rFonts w:ascii="Times New Roman" w:hAnsi="Times New Roman"/>
          <w:color w:val="000000"/>
          <w:lang w:val="da-DK"/>
        </w:rPr>
      </w:pPr>
      <w:r w:rsidRPr="00AA499E">
        <w:rPr>
          <w:rFonts w:ascii="Times New Roman" w:hAnsi="Times New Roman"/>
          <w:color w:val="000000"/>
          <w:lang w:val="da-DK"/>
        </w:rPr>
        <w:t>Fortæl din læge hvis du tager medicin, der forebygger dannelsen af blodpropper.</w:t>
      </w:r>
    </w:p>
    <w:p w14:paraId="6D62E817"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Graviditet, amning og frugtbarhed</w:t>
      </w:r>
    </w:p>
    <w:p w14:paraId="066EB2EB"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gravid eller ammer, har mistanke om, at du er gravid, eller planlægger at blive gravid, skal du spørge din læge til råds, før du tager dette lægemiddel.</w:t>
      </w:r>
    </w:p>
    <w:p w14:paraId="5FD29EE3"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Imatinib Actavis anbefales ikke under graviditeten, medmindre det er strengt nødvendigt, da det kan skade din baby. Din læge vil fortælle dig om de mulige risici, der er forbundet med brug af Imatinib Actavis under graviditeten.</w:t>
      </w:r>
    </w:p>
    <w:p w14:paraId="2E26492D"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Under behandlingen </w:t>
      </w:r>
      <w:r w:rsidR="00C665E1" w:rsidRPr="00AA499E">
        <w:rPr>
          <w:rFonts w:ascii="Times New Roman" w:hAnsi="Times New Roman"/>
          <w:lang w:val="da-DK"/>
        </w:rPr>
        <w:t xml:space="preserve">og i 15 dage efter ophør af behandlingen </w:t>
      </w:r>
      <w:r w:rsidRPr="00AA499E">
        <w:rPr>
          <w:rFonts w:ascii="Times New Roman" w:hAnsi="Times New Roman"/>
          <w:lang w:val="da-DK"/>
        </w:rPr>
        <w:t>anbefales det, at kvinder som kan blive gravide, anvender effektiv beskyttelse mod graviditet.</w:t>
      </w:r>
    </w:p>
    <w:p w14:paraId="0DD20D9B" w14:textId="4F692BF8"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Du må ikke amme, mens du er i behandling </w:t>
      </w:r>
      <w:r w:rsidR="00C665E1" w:rsidRPr="00AA499E">
        <w:rPr>
          <w:rFonts w:ascii="Times New Roman" w:hAnsi="Times New Roman"/>
          <w:lang w:val="da-DK"/>
        </w:rPr>
        <w:t xml:space="preserve">og i 15 dage efter ophør af behandling </w:t>
      </w:r>
      <w:r w:rsidRPr="00AA499E">
        <w:rPr>
          <w:rFonts w:ascii="Times New Roman" w:hAnsi="Times New Roman"/>
          <w:lang w:val="da-DK"/>
        </w:rPr>
        <w:t>med Imatinib Actavis</w:t>
      </w:r>
      <w:r w:rsidR="00C665E1" w:rsidRPr="00AA499E">
        <w:rPr>
          <w:rFonts w:ascii="Times New Roman" w:hAnsi="Times New Roman"/>
          <w:lang w:val="da-DK"/>
        </w:rPr>
        <w:t>, da det kan skade din baby</w:t>
      </w:r>
      <w:r w:rsidRPr="00AA499E">
        <w:rPr>
          <w:rFonts w:ascii="Times New Roman" w:hAnsi="Times New Roman"/>
          <w:lang w:val="da-DK"/>
        </w:rPr>
        <w:t>.</w:t>
      </w:r>
    </w:p>
    <w:p w14:paraId="4E60A702"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eastAsia="Times New Roman" w:hAnsi="Times New Roman"/>
          <w:lang w:val="da-DK"/>
        </w:rPr>
        <w:t xml:space="preserve">Hvis du er bekymret for din frugtbarhed, mens du tager </w:t>
      </w:r>
      <w:r w:rsidRPr="00AA499E">
        <w:rPr>
          <w:rFonts w:ascii="Times New Roman" w:hAnsi="Times New Roman"/>
          <w:lang w:val="da-DK"/>
        </w:rPr>
        <w:t>Imatinib Actavis,</w:t>
      </w:r>
      <w:r w:rsidRPr="00AA499E">
        <w:rPr>
          <w:rFonts w:ascii="Times New Roman" w:eastAsia="Times New Roman" w:hAnsi="Times New Roman"/>
          <w:lang w:val="da-DK"/>
        </w:rPr>
        <w:t xml:space="preserve"> skal du kontakte din læge.</w:t>
      </w:r>
    </w:p>
    <w:p w14:paraId="6CF3DE4D"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2A4235C"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Trafik- og arbejdssikkerhed</w:t>
      </w:r>
    </w:p>
    <w:p w14:paraId="4DED7622"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kan blive svimmel eller søvnig eller få sløret syn, mens du tager dette lægemiddel. Hvis dette sker, bør du ikke køre bil eller bruge værktøj og maskiner, før du føler dig godt tilpas igen.</w:t>
      </w:r>
    </w:p>
    <w:p w14:paraId="29D9DDE7"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622C1CF" w14:textId="77777777" w:rsidR="00EC450E" w:rsidRPr="00AA499E" w:rsidRDefault="00EC450E" w:rsidP="00FE20EC">
      <w:pPr>
        <w:keepNext/>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lastRenderedPageBreak/>
        <w:t>Imatinib Actavis indeholder natrium</w:t>
      </w:r>
    </w:p>
    <w:p w14:paraId="1E71E257" w14:textId="77777777" w:rsidR="00EC450E" w:rsidRPr="00AA499E" w:rsidRDefault="00EC450E" w:rsidP="00EC450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Dette lægemiddel indeholder mindre end 1 mmol (23 mg) natrium pr. hård kapsel, dvs. det er i det væsentlige natrium-frit.</w:t>
      </w:r>
    </w:p>
    <w:p w14:paraId="1204E9AB" w14:textId="77777777" w:rsidR="005F0C07" w:rsidRPr="00AA499E" w:rsidRDefault="005F0C07" w:rsidP="00EC450E">
      <w:pPr>
        <w:autoSpaceDE w:val="0"/>
        <w:autoSpaceDN w:val="0"/>
        <w:adjustRightInd w:val="0"/>
        <w:spacing w:after="0" w:line="240" w:lineRule="auto"/>
        <w:rPr>
          <w:rFonts w:ascii="Times New Roman" w:hAnsi="Times New Roman"/>
          <w:lang w:val="da-DK"/>
        </w:rPr>
      </w:pPr>
    </w:p>
    <w:p w14:paraId="6184F23A"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444D823F"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3.</w:t>
      </w:r>
      <w:r w:rsidRPr="00AA499E">
        <w:rPr>
          <w:rFonts w:ascii="Times New Roman" w:hAnsi="Times New Roman"/>
          <w:b/>
          <w:bCs/>
          <w:lang w:val="da-DK"/>
        </w:rPr>
        <w:tab/>
        <w:t>Sådan skal du tage Imatinib Actavis</w:t>
      </w:r>
    </w:p>
    <w:p w14:paraId="6C8A894B"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19C1FD5B"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har udskrevet Imatinib Actavis, fordi du lider af en alvorlig sygdom. Imatinib Actavis kan hjælpe dig med at bekæmpe denne tilstand.</w:t>
      </w:r>
    </w:p>
    <w:p w14:paraId="42215052"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13131F7A"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Tag altid dette lægemiddel nøjagtigt efter lægens eller apotekspersonalets anvisning. Det er vigtigt, at du tager det så længe, lægen eller apotekspersonalet fortæller dig, at du skal. Er du i tvivl, så spørg lægen eller på apoteket.</w:t>
      </w:r>
    </w:p>
    <w:p w14:paraId="5FAB3BF2"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4727AEB2"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må ikke stoppe med at tage Imatinib Actavis, medmindre din læge fortæller dig det. Hvis du ikke er i stand til at tage medicinen, som din læge har foreskrevet, eller hvis du føler, at du ikke længere behøver den, skal du kontakte din læge med det samme.</w:t>
      </w:r>
    </w:p>
    <w:p w14:paraId="5865BF33"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5264EDE1"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Den sædvanlige dosis af Imatinib Actavis er</w:t>
      </w:r>
    </w:p>
    <w:p w14:paraId="0506AF3A"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C7CF96B"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til voksne</w:t>
      </w:r>
    </w:p>
    <w:p w14:paraId="1179644D"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vil fortælle dig, præcis hvor mange Imatinib Actavis-kapsler, du skal tage.</w:t>
      </w:r>
    </w:p>
    <w:p w14:paraId="79099D22" w14:textId="77777777" w:rsidR="0096448D" w:rsidRPr="00AA499E" w:rsidRDefault="0096448D" w:rsidP="00847287">
      <w:pPr>
        <w:autoSpaceDE w:val="0"/>
        <w:autoSpaceDN w:val="0"/>
        <w:adjustRightInd w:val="0"/>
        <w:spacing w:after="0" w:line="240" w:lineRule="auto"/>
        <w:rPr>
          <w:rFonts w:ascii="Times New Roman" w:hAnsi="Times New Roman"/>
          <w:lang w:val="da-DK"/>
        </w:rPr>
      </w:pPr>
    </w:p>
    <w:p w14:paraId="00DE2647" w14:textId="77777777" w:rsidR="0096448D" w:rsidRPr="00AA499E" w:rsidRDefault="0096448D" w:rsidP="0096448D">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er i behandling for CML: </w:t>
      </w:r>
    </w:p>
    <w:p w14:paraId="656F2E42" w14:textId="77777777" w:rsidR="00847287" w:rsidRPr="00AA499E" w:rsidRDefault="00847287" w:rsidP="00063A26">
      <w:pPr>
        <w:autoSpaceDE w:val="0"/>
        <w:autoSpaceDN w:val="0"/>
        <w:adjustRightInd w:val="0"/>
        <w:spacing w:after="0" w:line="240" w:lineRule="auto"/>
        <w:ind w:left="1134" w:hanging="567"/>
        <w:rPr>
          <w:rFonts w:ascii="Times New Roman" w:hAnsi="Times New Roman"/>
          <w:lang w:val="da-DK"/>
        </w:rPr>
      </w:pPr>
      <w:r w:rsidRPr="00AA499E">
        <w:rPr>
          <w:rFonts w:ascii="Times New Roman" w:hAnsi="Times New Roman"/>
          <w:lang w:val="da-DK"/>
        </w:rPr>
        <w:t xml:space="preserve">Den </w:t>
      </w:r>
      <w:r w:rsidR="0096448D" w:rsidRPr="00AA499E">
        <w:rPr>
          <w:rFonts w:ascii="Times New Roman" w:hAnsi="Times New Roman"/>
          <w:lang w:val="da-DK"/>
        </w:rPr>
        <w:t xml:space="preserve">sædvanlige </w:t>
      </w:r>
      <w:r w:rsidRPr="00AA499E">
        <w:rPr>
          <w:rFonts w:ascii="Times New Roman" w:hAnsi="Times New Roman"/>
          <w:lang w:val="da-DK"/>
        </w:rPr>
        <w:t xml:space="preserve">startdosis er </w:t>
      </w:r>
      <w:r w:rsidRPr="00AA499E">
        <w:rPr>
          <w:rFonts w:ascii="Times New Roman" w:hAnsi="Times New Roman"/>
          <w:bCs/>
          <w:lang w:val="da-DK"/>
        </w:rPr>
        <w:t>600 mg,</w:t>
      </w:r>
      <w:r w:rsidRPr="00AA499E">
        <w:rPr>
          <w:rFonts w:ascii="Times New Roman" w:hAnsi="Times New Roman"/>
          <w:b/>
          <w:bCs/>
          <w:lang w:val="da-DK"/>
        </w:rPr>
        <w:t xml:space="preserve"> </w:t>
      </w:r>
      <w:r w:rsidRPr="00AA499E">
        <w:rPr>
          <w:rFonts w:ascii="Times New Roman" w:hAnsi="Times New Roman"/>
          <w:lang w:val="da-DK"/>
        </w:rPr>
        <w:t xml:space="preserve">som skal tages som 6 kapsler </w:t>
      </w:r>
      <w:r w:rsidRPr="00AA499E">
        <w:rPr>
          <w:rFonts w:ascii="Times New Roman" w:hAnsi="Times New Roman"/>
          <w:b/>
          <w:bCs/>
          <w:lang w:val="da-DK"/>
        </w:rPr>
        <w:t xml:space="preserve">én gang </w:t>
      </w:r>
      <w:r w:rsidRPr="00AA499E">
        <w:rPr>
          <w:rFonts w:ascii="Times New Roman" w:hAnsi="Times New Roman"/>
          <w:lang w:val="da-DK"/>
        </w:rPr>
        <w:t>daglig.</w:t>
      </w:r>
    </w:p>
    <w:p w14:paraId="754E8A38" w14:textId="77777777" w:rsidR="00847287" w:rsidRPr="00AA499E" w:rsidRDefault="00847287" w:rsidP="00847287">
      <w:pPr>
        <w:autoSpaceDE w:val="0"/>
        <w:autoSpaceDN w:val="0"/>
        <w:adjustRightInd w:val="0"/>
        <w:spacing w:after="0" w:line="240" w:lineRule="auto"/>
        <w:ind w:firstLine="567"/>
        <w:rPr>
          <w:rFonts w:ascii="Times New Roman" w:hAnsi="Times New Roman"/>
          <w:lang w:val="da-DK"/>
        </w:rPr>
      </w:pPr>
    </w:p>
    <w:p w14:paraId="61196F64"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kan foreskrive højere eller lavere dosis afhængigt af, hvordan du reagerer på behandlingen. Hvis din daglige dosis er 800 mg (8 kapsler), skal du tage 4 kapsler om morgenen og 4 kapsler om aftenen.</w:t>
      </w:r>
    </w:p>
    <w:p w14:paraId="27D342A5" w14:textId="77777777" w:rsidR="0065168F" w:rsidRPr="00AA499E" w:rsidRDefault="0065168F" w:rsidP="00847287">
      <w:pPr>
        <w:autoSpaceDE w:val="0"/>
        <w:autoSpaceDN w:val="0"/>
        <w:adjustRightInd w:val="0"/>
        <w:spacing w:after="0" w:line="240" w:lineRule="auto"/>
        <w:rPr>
          <w:rFonts w:ascii="Times New Roman" w:hAnsi="Times New Roman"/>
          <w:lang w:val="da-DK"/>
        </w:rPr>
      </w:pPr>
    </w:p>
    <w:p w14:paraId="6EB07C52" w14:textId="77777777" w:rsidR="0065168F" w:rsidRPr="00AA499E" w:rsidRDefault="0065168F" w:rsidP="0065168F">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Ph-positiv ALL: </w:t>
      </w:r>
    </w:p>
    <w:p w14:paraId="039E4177" w14:textId="77777777" w:rsidR="0065168F" w:rsidRPr="00AA499E" w:rsidRDefault="0065168F" w:rsidP="0065168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600 mg, som skal tages som 6 kapsler </w:t>
      </w:r>
      <w:r w:rsidRPr="00AA499E">
        <w:rPr>
          <w:rFonts w:ascii="Times New Roman" w:hAnsi="Times New Roman"/>
          <w:b/>
          <w:bCs/>
          <w:lang w:val="da-DK"/>
        </w:rPr>
        <w:t xml:space="preserve">én gang </w:t>
      </w:r>
      <w:r w:rsidRPr="00AA499E">
        <w:rPr>
          <w:rFonts w:ascii="Times New Roman" w:hAnsi="Times New Roman"/>
          <w:lang w:val="da-DK"/>
        </w:rPr>
        <w:t>daglig.</w:t>
      </w:r>
    </w:p>
    <w:p w14:paraId="69422674" w14:textId="77777777" w:rsidR="0065168F" w:rsidRPr="00AA499E" w:rsidRDefault="0065168F" w:rsidP="0065168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 </w:t>
      </w:r>
    </w:p>
    <w:p w14:paraId="29CA2122" w14:textId="77777777" w:rsidR="0065168F" w:rsidRPr="00AA499E" w:rsidRDefault="0065168F" w:rsidP="0065168F">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MDS/MPD: </w:t>
      </w:r>
    </w:p>
    <w:p w14:paraId="4A65EBE5" w14:textId="77777777" w:rsidR="0065168F" w:rsidRPr="00AA499E" w:rsidRDefault="0065168F" w:rsidP="0065168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400 mg, som skal tages som 4 kapsler </w:t>
      </w:r>
      <w:r w:rsidRPr="00AA499E">
        <w:rPr>
          <w:rFonts w:ascii="Times New Roman" w:hAnsi="Times New Roman"/>
          <w:b/>
          <w:bCs/>
          <w:lang w:val="da-DK"/>
        </w:rPr>
        <w:t xml:space="preserve">én gang </w:t>
      </w:r>
      <w:r w:rsidRPr="00AA499E">
        <w:rPr>
          <w:rFonts w:ascii="Times New Roman" w:hAnsi="Times New Roman"/>
          <w:lang w:val="da-DK"/>
        </w:rPr>
        <w:t>daglig.</w:t>
      </w:r>
    </w:p>
    <w:p w14:paraId="4317822A" w14:textId="77777777" w:rsidR="0065168F" w:rsidRPr="00AA499E" w:rsidRDefault="0065168F" w:rsidP="0065168F">
      <w:pPr>
        <w:autoSpaceDE w:val="0"/>
        <w:autoSpaceDN w:val="0"/>
        <w:adjustRightInd w:val="0"/>
        <w:spacing w:after="0" w:line="240" w:lineRule="auto"/>
        <w:rPr>
          <w:rFonts w:ascii="Times New Roman" w:hAnsi="Times New Roman"/>
          <w:lang w:val="da-DK"/>
        </w:rPr>
      </w:pPr>
    </w:p>
    <w:p w14:paraId="77E95427" w14:textId="77777777" w:rsidR="0065168F" w:rsidRPr="00AA499E" w:rsidRDefault="0065168F" w:rsidP="0065168F">
      <w:pPr>
        <w:numPr>
          <w:ilvl w:val="0"/>
          <w:numId w:val="24"/>
        </w:numPr>
        <w:autoSpaceDE w:val="0"/>
        <w:autoSpaceDN w:val="0"/>
        <w:adjustRightInd w:val="0"/>
        <w:spacing w:after="0" w:line="240" w:lineRule="auto"/>
        <w:ind w:left="567" w:hanging="567"/>
        <w:rPr>
          <w:rFonts w:ascii="Times New Roman" w:hAnsi="Times New Roman"/>
          <w:color w:val="000000"/>
          <w:lang w:val="da-DK" w:eastAsia="is-IS"/>
        </w:rPr>
      </w:pPr>
      <w:r w:rsidRPr="00AA499E">
        <w:rPr>
          <w:rFonts w:ascii="Times New Roman" w:hAnsi="Times New Roman"/>
          <w:b/>
          <w:bCs/>
          <w:color w:val="000000"/>
          <w:lang w:val="da-DK" w:eastAsia="is-IS"/>
        </w:rPr>
        <w:t xml:space="preserve">Hvis du behandles for HES/CEL: </w:t>
      </w:r>
    </w:p>
    <w:p w14:paraId="4D4E66A3" w14:textId="77777777" w:rsidR="0065168F" w:rsidRPr="00AA499E" w:rsidRDefault="0065168F" w:rsidP="0065168F">
      <w:pPr>
        <w:autoSpaceDE w:val="0"/>
        <w:autoSpaceDN w:val="0"/>
        <w:adjustRightInd w:val="0"/>
        <w:spacing w:after="0" w:line="240" w:lineRule="auto"/>
        <w:ind w:left="567"/>
        <w:rPr>
          <w:rFonts w:ascii="Times New Roman" w:hAnsi="Times New Roman"/>
          <w:color w:val="000000"/>
          <w:lang w:val="da-DK" w:eastAsia="is-IS"/>
        </w:rPr>
      </w:pPr>
      <w:r w:rsidRPr="00AA499E">
        <w:rPr>
          <w:rFonts w:ascii="Times New Roman" w:hAnsi="Times New Roman"/>
          <w:color w:val="000000"/>
          <w:lang w:val="da-DK" w:eastAsia="is-IS"/>
        </w:rPr>
        <w:t xml:space="preserve">Startdosis er 100 mg, som skal tages som 1 kapsel </w:t>
      </w:r>
      <w:r w:rsidRPr="00AA499E">
        <w:rPr>
          <w:rFonts w:ascii="Times New Roman" w:hAnsi="Times New Roman"/>
          <w:b/>
          <w:bCs/>
          <w:color w:val="000000"/>
          <w:lang w:val="da-DK" w:eastAsia="is-IS"/>
        </w:rPr>
        <w:t xml:space="preserve">én gang </w:t>
      </w:r>
      <w:r w:rsidRPr="00AA499E">
        <w:rPr>
          <w:rFonts w:ascii="Times New Roman" w:hAnsi="Times New Roman"/>
          <w:color w:val="000000"/>
          <w:lang w:val="da-DK" w:eastAsia="is-IS"/>
        </w:rPr>
        <w:t xml:space="preserve">daglig. Din læge kan beslutte at øge dosis til 400 mg, som skal tages som 4 kapsler </w:t>
      </w:r>
      <w:r w:rsidRPr="00AA499E">
        <w:rPr>
          <w:rFonts w:ascii="Times New Roman" w:hAnsi="Times New Roman"/>
          <w:b/>
          <w:bCs/>
          <w:color w:val="000000"/>
          <w:lang w:val="da-DK" w:eastAsia="is-IS"/>
        </w:rPr>
        <w:t xml:space="preserve">én gang </w:t>
      </w:r>
      <w:r w:rsidRPr="00AA499E">
        <w:rPr>
          <w:rFonts w:ascii="Times New Roman" w:hAnsi="Times New Roman"/>
          <w:color w:val="000000"/>
          <w:lang w:val="da-DK" w:eastAsia="is-IS"/>
        </w:rPr>
        <w:t xml:space="preserve">daglig afhængig af, hvordan du responderer på behandlingen. </w:t>
      </w:r>
    </w:p>
    <w:p w14:paraId="53C44877" w14:textId="77777777" w:rsidR="0065168F" w:rsidRPr="00AA499E" w:rsidRDefault="0065168F" w:rsidP="0065168F">
      <w:pPr>
        <w:autoSpaceDE w:val="0"/>
        <w:autoSpaceDN w:val="0"/>
        <w:adjustRightInd w:val="0"/>
        <w:spacing w:after="0" w:line="240" w:lineRule="auto"/>
        <w:rPr>
          <w:rFonts w:ascii="Times New Roman" w:hAnsi="Times New Roman"/>
          <w:color w:val="000000"/>
          <w:lang w:val="da-DK" w:eastAsia="is-IS"/>
        </w:rPr>
      </w:pPr>
    </w:p>
    <w:p w14:paraId="2C1CE17C" w14:textId="77777777" w:rsidR="0065168F" w:rsidRPr="00AA499E" w:rsidRDefault="0065168F" w:rsidP="0065168F">
      <w:pPr>
        <w:numPr>
          <w:ilvl w:val="0"/>
          <w:numId w:val="24"/>
        </w:numPr>
        <w:autoSpaceDE w:val="0"/>
        <w:autoSpaceDN w:val="0"/>
        <w:adjustRightInd w:val="0"/>
        <w:spacing w:after="0" w:line="240" w:lineRule="auto"/>
        <w:ind w:left="567" w:hanging="567"/>
        <w:rPr>
          <w:rFonts w:ascii="Times New Roman" w:hAnsi="Times New Roman"/>
          <w:color w:val="000000"/>
          <w:lang w:val="da-DK" w:eastAsia="is-IS"/>
        </w:rPr>
      </w:pPr>
      <w:r w:rsidRPr="00AA499E">
        <w:rPr>
          <w:rFonts w:ascii="Times New Roman" w:hAnsi="Times New Roman"/>
          <w:b/>
          <w:bCs/>
          <w:color w:val="000000"/>
          <w:lang w:val="da-DK" w:eastAsia="is-IS"/>
        </w:rPr>
        <w:t xml:space="preserve">Hvis du behandles for DSFP: </w:t>
      </w:r>
    </w:p>
    <w:p w14:paraId="6B032D3B" w14:textId="77777777" w:rsidR="0065168F" w:rsidRPr="00AA499E" w:rsidRDefault="00B44756" w:rsidP="0065168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Dosis er 800 mg pr. dag (8</w:t>
      </w:r>
      <w:r w:rsidR="0065168F" w:rsidRPr="00AA499E">
        <w:rPr>
          <w:rFonts w:ascii="Times New Roman" w:hAnsi="Times New Roman"/>
          <w:lang w:val="da-DK"/>
        </w:rPr>
        <w:t xml:space="preserve"> kapsler).</w:t>
      </w:r>
      <w:r w:rsidRPr="00AA499E">
        <w:rPr>
          <w:rFonts w:ascii="Times New Roman" w:hAnsi="Times New Roman"/>
          <w:lang w:val="da-DK"/>
        </w:rPr>
        <w:t xml:space="preserve"> Du skal tage 4 kapsler om morgenen og 4</w:t>
      </w:r>
      <w:r w:rsidR="0065168F" w:rsidRPr="00AA499E">
        <w:rPr>
          <w:rFonts w:ascii="Times New Roman" w:hAnsi="Times New Roman"/>
          <w:lang w:val="da-DK"/>
        </w:rPr>
        <w:t xml:space="preserve"> kapsler om aftenen.</w:t>
      </w:r>
    </w:p>
    <w:p w14:paraId="73EB32CE"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1090B23"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Brug til børn og </w:t>
      </w:r>
      <w:r w:rsidR="00406109" w:rsidRPr="00AA499E">
        <w:rPr>
          <w:rFonts w:ascii="Times New Roman" w:hAnsi="Times New Roman"/>
          <w:b/>
          <w:bCs/>
          <w:lang w:val="da-DK"/>
        </w:rPr>
        <w:t>unge</w:t>
      </w:r>
    </w:p>
    <w:p w14:paraId="72FD12C1" w14:textId="77777777" w:rsidR="001C4DE3"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Lægen vil fortælle dig, hvor mange Imatinib Actavis-kapsler, du skal give dit barn. Antallet af Imatinib Actavis-kapsler afhænger af barnets tilstand, kropsvægt og højde. </w:t>
      </w:r>
    </w:p>
    <w:p w14:paraId="71C57C88" w14:textId="77777777" w:rsidR="00847287" w:rsidRPr="00AA499E" w:rsidRDefault="009770BB"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totale daglige dosis til børn må ikke overstige 800 mg for CML-patienter og 600 mg for Ph+ALL-patienter. </w:t>
      </w:r>
      <w:r w:rsidR="00847287" w:rsidRPr="00AA499E">
        <w:rPr>
          <w:rFonts w:ascii="Times New Roman" w:hAnsi="Times New Roman"/>
          <w:lang w:val="da-DK"/>
        </w:rPr>
        <w:t>Behandlingen kan enten gives til dit barn som én daglig dosis, eller alternativt kan den daglige dosis deles og gives to gange (halvdelen om morgenen og den anden halvdel om aftenen).</w:t>
      </w:r>
    </w:p>
    <w:p w14:paraId="40476884"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E815437"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Hvornår og hvordan skal du tage Imatinib Actavis</w:t>
      </w:r>
    </w:p>
    <w:p w14:paraId="128887AB"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
          <w:bCs/>
          <w:lang w:val="da-DK"/>
        </w:rPr>
        <w:t xml:space="preserve">Tag Imatinib Actavis sammen med et måltid. </w:t>
      </w:r>
      <w:r w:rsidRPr="00AA499E">
        <w:rPr>
          <w:rFonts w:ascii="Times New Roman" w:hAnsi="Times New Roman"/>
          <w:lang w:val="da-DK"/>
        </w:rPr>
        <w:t>Dette vil hjælpe med at beskytte dig mod maveproblemer, når du tager Imatinib Actavis.</w:t>
      </w:r>
    </w:p>
    <w:p w14:paraId="1AC95BC1" w14:textId="77777777" w:rsidR="00847287" w:rsidRPr="00AA499E" w:rsidRDefault="00847287" w:rsidP="00847287">
      <w:pPr>
        <w:pStyle w:val="Default"/>
        <w:spacing w:after="28"/>
        <w:ind w:left="567" w:hanging="567"/>
        <w:rPr>
          <w:sz w:val="22"/>
          <w:szCs w:val="22"/>
          <w:lang w:val="da-DK"/>
        </w:rPr>
      </w:pPr>
      <w:r w:rsidRPr="00AA499E">
        <w:rPr>
          <w:sz w:val="22"/>
          <w:szCs w:val="22"/>
          <w:lang w:val="da-DK"/>
        </w:rPr>
        <w:t xml:space="preserve">- </w:t>
      </w:r>
      <w:r w:rsidRPr="00AA499E">
        <w:rPr>
          <w:sz w:val="22"/>
          <w:szCs w:val="22"/>
          <w:lang w:val="da-DK"/>
        </w:rPr>
        <w:tab/>
      </w:r>
      <w:r w:rsidRPr="00AA499E">
        <w:rPr>
          <w:b/>
          <w:bCs/>
          <w:sz w:val="22"/>
          <w:szCs w:val="22"/>
          <w:lang w:val="da-DK"/>
        </w:rPr>
        <w:t xml:space="preserve">Synk kapslerne hele med et stort glas vand. </w:t>
      </w:r>
      <w:r w:rsidRPr="00AA499E">
        <w:rPr>
          <w:sz w:val="22"/>
          <w:szCs w:val="22"/>
          <w:lang w:val="da-DK"/>
        </w:rPr>
        <w:t xml:space="preserve">Du må ikke åbne eller knuse kapslerne med mindre du ikke er i stand til at synke (for eksempel hos børn). </w:t>
      </w:r>
    </w:p>
    <w:p w14:paraId="39D1AA2B" w14:textId="77777777" w:rsidR="00847287" w:rsidRPr="00AA499E" w:rsidRDefault="00847287" w:rsidP="00847287">
      <w:pPr>
        <w:pStyle w:val="Default"/>
        <w:spacing w:after="28"/>
        <w:ind w:left="567" w:hanging="567"/>
        <w:rPr>
          <w:sz w:val="22"/>
          <w:szCs w:val="22"/>
          <w:lang w:val="da-DK"/>
        </w:rPr>
      </w:pPr>
      <w:r w:rsidRPr="00AA499E">
        <w:rPr>
          <w:sz w:val="22"/>
          <w:szCs w:val="22"/>
          <w:lang w:val="da-DK"/>
        </w:rPr>
        <w:t xml:space="preserve">- </w:t>
      </w:r>
      <w:r w:rsidRPr="00AA499E">
        <w:rPr>
          <w:sz w:val="22"/>
          <w:szCs w:val="22"/>
          <w:lang w:val="da-DK"/>
        </w:rPr>
        <w:tab/>
        <w:t xml:space="preserve">Hvis du ikke er i stand til at synke kapslerne, kan du åbne dem og opløse pulveret i et glas almindeligt vand eller æblejuice. </w:t>
      </w:r>
    </w:p>
    <w:p w14:paraId="3B7A1028" w14:textId="77777777" w:rsidR="00847287" w:rsidRPr="00AA499E" w:rsidRDefault="00847287" w:rsidP="00847287">
      <w:pPr>
        <w:pStyle w:val="Default"/>
        <w:ind w:left="567" w:hanging="567"/>
        <w:rPr>
          <w:sz w:val="22"/>
          <w:szCs w:val="22"/>
          <w:lang w:val="da-DK"/>
        </w:rPr>
      </w:pPr>
      <w:r w:rsidRPr="00AA499E">
        <w:rPr>
          <w:sz w:val="22"/>
          <w:szCs w:val="22"/>
          <w:lang w:val="da-DK"/>
        </w:rPr>
        <w:t xml:space="preserve">- </w:t>
      </w:r>
      <w:r w:rsidRPr="00AA499E">
        <w:rPr>
          <w:sz w:val="22"/>
          <w:szCs w:val="22"/>
          <w:lang w:val="da-DK"/>
        </w:rPr>
        <w:tab/>
        <w:t xml:space="preserve">Hvis du er kvinde og er gravid eller planlægger at blive gravid, skal du være forsigtig, når du åbner kasplerne og håndterer indholdet for at undgå hud- og øjenkontakt eller indånding af pulveret. Du skal vaske dine hænder straks efter, du har åbnet kapslerne. </w:t>
      </w:r>
    </w:p>
    <w:p w14:paraId="54CAB4E2" w14:textId="77777777" w:rsidR="00847287" w:rsidRPr="00AA499E" w:rsidRDefault="00847287" w:rsidP="00847287">
      <w:pPr>
        <w:pStyle w:val="KeinLeerraum"/>
        <w:rPr>
          <w:rFonts w:ascii="Times New Roman" w:hAnsi="Times New Roman"/>
          <w:highlight w:val="lightGray"/>
          <w:lang w:val="da-DK"/>
        </w:rPr>
      </w:pPr>
    </w:p>
    <w:p w14:paraId="7F8A2095"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 længe skal du tage Imatinib Actavis</w:t>
      </w:r>
    </w:p>
    <w:p w14:paraId="7110F634"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Bliv ved med at tage Imatinib Actavis hver dag, så længe som din læge har foreskevet det.</w:t>
      </w:r>
    </w:p>
    <w:p w14:paraId="32C20F52"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59D27BF4"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taget for meget Imatinib Actavis</w:t>
      </w:r>
    </w:p>
    <w:p w14:paraId="7AEA1E32"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Hvis du ved et uheld har indtaget for mange kapsler, skal du kontakte din læge  </w:t>
      </w:r>
      <w:r w:rsidRPr="00AA499E">
        <w:rPr>
          <w:rFonts w:ascii="Times New Roman" w:hAnsi="Times New Roman"/>
          <w:b/>
          <w:bCs/>
          <w:lang w:val="da-DK"/>
        </w:rPr>
        <w:t>med det samme</w:t>
      </w:r>
      <w:r w:rsidRPr="00AA499E">
        <w:rPr>
          <w:rFonts w:ascii="Times New Roman" w:hAnsi="Times New Roman"/>
          <w:lang w:val="da-DK"/>
        </w:rPr>
        <w:t>. Lægebehandling kan være nødvendig. Tag pakningen med dig.</w:t>
      </w:r>
    </w:p>
    <w:p w14:paraId="02956D36"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398B6CA3"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glemt at tage Imatinib Actavis</w:t>
      </w:r>
    </w:p>
    <w:p w14:paraId="34D36FA7"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glemmer at tage en dosis, så tag den, så snart du kommer i tanke om det. Men hvis det næsten er tid til at tage den næste dosis, skal du springe den glemte dosis over.</w:t>
      </w:r>
    </w:p>
    <w:p w14:paraId="2E6F1A42"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Fortsæt derefter med den planlagte dosering.</w:t>
      </w:r>
    </w:p>
    <w:p w14:paraId="774F1F7A"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Du må ikke tage en dobbeltdosis som erstatning for den glemte dosis.</w:t>
      </w:r>
    </w:p>
    <w:p w14:paraId="317792CB"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p>
    <w:p w14:paraId="534738CE" w14:textId="2AECF9F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Spørg lægen, på apoteket </w:t>
      </w:r>
      <w:r w:rsidR="006B0B7E" w:rsidRPr="00AA499E">
        <w:rPr>
          <w:rFonts w:ascii="Times New Roman" w:hAnsi="Times New Roman"/>
          <w:lang w:val="da-DK"/>
        </w:rPr>
        <w:t>eller sygeplejersken</w:t>
      </w:r>
      <w:r w:rsidRPr="00AA499E">
        <w:rPr>
          <w:rFonts w:ascii="Times New Roman" w:hAnsi="Times New Roman"/>
          <w:lang w:val="da-DK"/>
        </w:rPr>
        <w:t>, hvis der er noget, du er i tvivl om.</w:t>
      </w:r>
    </w:p>
    <w:p w14:paraId="6E5B267A"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39E008E3"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2C1BBF6"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w:t>
      </w:r>
      <w:r w:rsidRPr="00AA499E">
        <w:rPr>
          <w:rFonts w:ascii="Times New Roman" w:hAnsi="Times New Roman"/>
          <w:b/>
          <w:bCs/>
          <w:lang w:val="da-DK"/>
        </w:rPr>
        <w:tab/>
        <w:t>Bivirkninger</w:t>
      </w:r>
    </w:p>
    <w:p w14:paraId="3D54C1DB"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779DC134" w14:textId="603E5591"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Dette lægemiddel kan </w:t>
      </w:r>
      <w:r w:rsidR="0060751F" w:rsidRPr="00AA499E">
        <w:rPr>
          <w:rFonts w:ascii="Times New Roman" w:hAnsi="Times New Roman"/>
          <w:lang w:val="da-DK"/>
        </w:rPr>
        <w:t xml:space="preserve">som </w:t>
      </w:r>
      <w:r w:rsidR="0060751F" w:rsidRPr="00694BC7">
        <w:rPr>
          <w:rFonts w:ascii="Times New Roman" w:hAnsi="Times New Roman"/>
          <w:szCs w:val="24"/>
          <w:lang w:val="da-DK"/>
        </w:rPr>
        <w:t>alle andre lægemidler</w:t>
      </w:r>
      <w:r w:rsidR="0060751F" w:rsidRPr="00AA499E" w:rsidDel="0060751F">
        <w:rPr>
          <w:rFonts w:ascii="Times New Roman" w:hAnsi="Times New Roman"/>
          <w:lang w:val="da-DK"/>
        </w:rPr>
        <w:t xml:space="preserve"> </w:t>
      </w:r>
      <w:r w:rsidRPr="00AA499E">
        <w:rPr>
          <w:rFonts w:ascii="Times New Roman" w:hAnsi="Times New Roman"/>
          <w:lang w:val="da-DK"/>
        </w:rPr>
        <w:t>give bivirkninger, men ikke alle får bivirkninger. De er som regel lette til moderate.</w:t>
      </w:r>
    </w:p>
    <w:p w14:paraId="7A09CF23"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55C7D9B"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Nogle bivirkninger kan være alvorlige. Kontakt din læge med det samme, hvis du oplever nogle af de følgende bivirkninger:</w:t>
      </w:r>
    </w:p>
    <w:p w14:paraId="284B81F2"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73C4E432"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Meget almindelige (</w:t>
      </w:r>
      <w:r w:rsidRPr="00AA499E">
        <w:rPr>
          <w:rFonts w:ascii="Times New Roman" w:hAnsi="Times New Roman"/>
          <w:lang w:val="da-DK"/>
        </w:rPr>
        <w:t>kan forekomme hos flere end 1 ud af 10 mennesker)</w:t>
      </w:r>
      <w:r w:rsidRPr="00AA499E">
        <w:rPr>
          <w:rFonts w:ascii="Times New Roman" w:hAnsi="Times New Roman"/>
          <w:b/>
          <w:bCs/>
          <w:lang w:val="da-DK"/>
        </w:rPr>
        <w:t xml:space="preserve"> eller almindelige  (</w:t>
      </w:r>
      <w:r w:rsidRPr="00AA499E">
        <w:rPr>
          <w:rFonts w:ascii="Times New Roman" w:hAnsi="Times New Roman"/>
          <w:lang w:val="da-DK"/>
        </w:rPr>
        <w:t>kan forekomme op til 1 ud af 10 mennesker)</w:t>
      </w:r>
      <w:r w:rsidRPr="00AA499E">
        <w:rPr>
          <w:rFonts w:ascii="Times New Roman" w:hAnsi="Times New Roman"/>
          <w:b/>
          <w:bCs/>
          <w:lang w:val="da-DK"/>
        </w:rPr>
        <w:t>:</w:t>
      </w:r>
    </w:p>
    <w:p w14:paraId="637356B6"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Hurtig vægtøgning. Imatinib Actavis kan forårsage, at din krop begynder at ophobe væske (svær væskeretention).</w:t>
      </w:r>
    </w:p>
    <w:p w14:paraId="5AD26A65"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Symptomer på infektioner såsom feber, kraftige kulderystelser, ondt i halsen eller sår i munden. Imatinib Actavis kan nedsætte antallet af hvide blodlegemer, så du lettere kan få infektioner.</w:t>
      </w:r>
    </w:p>
    <w:p w14:paraId="55487C35"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oplever uventede blødninger eller blå mærker (når du ikke er kommet til skade).</w:t>
      </w:r>
    </w:p>
    <w:p w14:paraId="58D1DD16"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61B7B0C"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almindelige </w:t>
      </w:r>
      <w:r w:rsidRPr="00AA499E">
        <w:rPr>
          <w:rFonts w:ascii="Times New Roman" w:hAnsi="Times New Roman"/>
          <w:lang w:val="da-DK"/>
        </w:rPr>
        <w:t xml:space="preserve">(kan forekomme hos op til 1 ud af 100 mennesker) </w:t>
      </w:r>
      <w:r w:rsidRPr="00AA499E">
        <w:rPr>
          <w:rFonts w:ascii="Times New Roman" w:hAnsi="Times New Roman"/>
          <w:b/>
          <w:bCs/>
          <w:lang w:val="da-DK"/>
        </w:rPr>
        <w:t xml:space="preserve">til sjældne </w:t>
      </w:r>
      <w:r w:rsidRPr="00AA499E">
        <w:rPr>
          <w:rFonts w:ascii="Times New Roman" w:hAnsi="Times New Roman"/>
          <w:lang w:val="da-DK"/>
        </w:rPr>
        <w:t>(kan forekomme hos op til 1 ud af 1.000 mennesker)</w:t>
      </w:r>
      <w:r w:rsidRPr="00AA499E">
        <w:rPr>
          <w:rFonts w:ascii="Times New Roman" w:hAnsi="Times New Roman"/>
          <w:b/>
          <w:bCs/>
          <w:lang w:val="da-DK"/>
        </w:rPr>
        <w:t>:</w:t>
      </w:r>
    </w:p>
    <w:p w14:paraId="674C3DF8"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Brystsmerter, uregelmæssig hjerterytme (tegn på hjerteproblemer).</w:t>
      </w:r>
    </w:p>
    <w:p w14:paraId="72F23F4A"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Hoste, åndedrætsbesvær eller smerter ved vejrtrækning (tegn på lungeproblemer).</w:t>
      </w:r>
    </w:p>
    <w:p w14:paraId="5272DECF"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besvime (tegn på lavt blodtryk).</w:t>
      </w:r>
    </w:p>
    <w:p w14:paraId="1BDA9ED1"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Have kvalme med tab af appetitten, </w:t>
      </w:r>
      <w:r w:rsidR="00B00F53" w:rsidRPr="00AA499E">
        <w:rPr>
          <w:rFonts w:ascii="Times New Roman" w:hAnsi="Times New Roman"/>
          <w:lang w:val="da-DK"/>
        </w:rPr>
        <w:t xml:space="preserve">mørk </w:t>
      </w:r>
      <w:r w:rsidRPr="00AA499E">
        <w:rPr>
          <w:rFonts w:ascii="Times New Roman" w:hAnsi="Times New Roman"/>
          <w:lang w:val="da-DK"/>
        </w:rPr>
        <w:t>urin, gul hud eller øjne (tegn på leverproblemer).</w:t>
      </w:r>
    </w:p>
    <w:p w14:paraId="2D0B75D1"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t>Udslæt, rød hud med små blærer på læber, øjne, hud eller mund, afskallet hud, feber, hævede røde eller lilla hudområder, kløe, brændende fornemmelse, pustuløst udslæt (tegn på hudproblemer).</w:t>
      </w:r>
    </w:p>
    <w:p w14:paraId="2BB3AE1D"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Kraftige mavesmerter, blod i opkast, afføring eller urin, sortfarvet afføring (tegn på mave-tarm-sygdomme).</w:t>
      </w:r>
    </w:p>
    <w:p w14:paraId="272B6A8D"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Kraftigt nedsat urinmængde, følelse af tørst (tegn på nyreproblemer).</w:t>
      </w:r>
    </w:p>
    <w:p w14:paraId="47A358CC"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Have kvalme med diarré og opkastning, mavesmerter eller feber (tegn på tarmproblemer).</w:t>
      </w:r>
    </w:p>
    <w:p w14:paraId="60925F14" w14:textId="77777777" w:rsidR="00847287" w:rsidRPr="00AA499E" w:rsidRDefault="00847287" w:rsidP="00B00F5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 hovedpine, svækkelse eller lammelser af lemmer eller ansigt, talebesvær, pludseligt bevidsthedstab (tegn på problemer med nervesystemet</w:t>
      </w:r>
      <w:r w:rsidR="00B00F53" w:rsidRPr="00AA499E">
        <w:rPr>
          <w:rFonts w:ascii="Times New Roman" w:hAnsi="Times New Roman"/>
          <w:lang w:val="da-DK"/>
        </w:rPr>
        <w:t xml:space="preserve"> såsom blødning eller hævelse i kranie/hjerne</w:t>
      </w:r>
      <w:r w:rsidRPr="00AA499E">
        <w:rPr>
          <w:rFonts w:ascii="Times New Roman" w:hAnsi="Times New Roman"/>
          <w:lang w:val="da-DK"/>
        </w:rPr>
        <w:t>).</w:t>
      </w:r>
    </w:p>
    <w:p w14:paraId="6A565B5A"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Bleghed, føle sig træt og stakåndet og have mørk urin (tegn på lavt antal røde blodceller).</w:t>
      </w:r>
    </w:p>
    <w:p w14:paraId="0DFB8AC7"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Øjensmerter eller svækkelse af dit syn</w:t>
      </w:r>
      <w:r w:rsidR="00B00F53" w:rsidRPr="00AA499E">
        <w:rPr>
          <w:rFonts w:ascii="Times New Roman" w:hAnsi="Times New Roman"/>
          <w:lang w:val="da-DK"/>
        </w:rPr>
        <w:t>, blødning i øjnene.</w:t>
      </w:r>
    </w:p>
    <w:p w14:paraId="0607AA2C"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i hoften eller svært ved at gå.</w:t>
      </w:r>
    </w:p>
    <w:p w14:paraId="6F17FE19"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Følelsesløse eller kolde tæer og fingre (tegn på Raynaud´s syndrom).</w:t>
      </w:r>
    </w:p>
    <w:p w14:paraId="067BF40E"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Pludselig hævelse og rødme af huden (tegn på en hudinfektion kaldet cellulitis).</w:t>
      </w:r>
    </w:p>
    <w:p w14:paraId="5C4E7103"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Hørebesvær.</w:t>
      </w:r>
    </w:p>
    <w:p w14:paraId="48525535"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Muskelsvaghed, kramper og en unormal hjerterytme (tegn på ændringer i mængden af kalium i dit blod).</w:t>
      </w:r>
    </w:p>
    <w:p w14:paraId="199BB948"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Let ved at få blå mærker.</w:t>
      </w:r>
    </w:p>
    <w:p w14:paraId="061FCFA2"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Mavesmerter med kvalme.</w:t>
      </w:r>
    </w:p>
    <w:p w14:paraId="0D6D307A"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med feber, rød-brun urin, smerter eller svaghed i dine muskler (tegn på muskelproblemer).</w:t>
      </w:r>
    </w:p>
    <w:p w14:paraId="30E97BC2"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Bækkensmerter, nogle gange med kvalme og opkastninger med uventet vaginalblødning, føle sig svimmel eller besvime pga. nedsat blodtryk (tegn på problemer med dine æggestokke eller livmoder).</w:t>
      </w:r>
    </w:p>
    <w:p w14:paraId="083D873D"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Kvalme, åndenød, uregelmæssig hjerterytme (puls), uklar urin, træthed og/eller ubehag forbundet med abnorme resultater af laboratorieprøver (f.eks. højt kalium-, urinsyre- og </w:t>
      </w:r>
      <w:r w:rsidR="001C4DE3" w:rsidRPr="00AA499E">
        <w:rPr>
          <w:rFonts w:ascii="Times New Roman" w:hAnsi="Times New Roman"/>
          <w:lang w:val="da-DK"/>
        </w:rPr>
        <w:t xml:space="preserve">calcium og lavt </w:t>
      </w:r>
      <w:r w:rsidRPr="00AA499E">
        <w:rPr>
          <w:rFonts w:ascii="Times New Roman" w:hAnsi="Times New Roman"/>
          <w:lang w:val="da-DK"/>
        </w:rPr>
        <w:t>fosforniveau i blodet).</w:t>
      </w:r>
    </w:p>
    <w:p w14:paraId="3B79E6C2" w14:textId="77777777" w:rsidR="0017077B" w:rsidRPr="00C76A02" w:rsidRDefault="0017077B" w:rsidP="00847287">
      <w:pPr>
        <w:autoSpaceDE w:val="0"/>
        <w:autoSpaceDN w:val="0"/>
        <w:adjustRightInd w:val="0"/>
        <w:spacing w:after="0" w:line="240" w:lineRule="auto"/>
        <w:ind w:left="567" w:hanging="567"/>
        <w:rPr>
          <w:rFonts w:ascii="Times New Roman" w:hAnsi="Times New Roman"/>
          <w:lang w:val="sv-SE"/>
        </w:rPr>
      </w:pPr>
      <w:r w:rsidRPr="00C76A02">
        <w:rPr>
          <w:rFonts w:ascii="Times New Roman" w:hAnsi="Times New Roman"/>
          <w:lang w:val="sv-SE"/>
        </w:rPr>
        <w:t>-</w:t>
      </w:r>
      <w:r w:rsidRPr="00C76A02">
        <w:rPr>
          <w:rFonts w:ascii="Times New Roman" w:hAnsi="Times New Roman"/>
          <w:lang w:val="sv-SE"/>
        </w:rPr>
        <w:tab/>
        <w:t>Blodpropper i små blodkar (trombotisk mikroangiopati).</w:t>
      </w:r>
    </w:p>
    <w:p w14:paraId="4E9671C6" w14:textId="77777777" w:rsidR="001C4DE3" w:rsidRPr="00C76A02" w:rsidRDefault="001C4DE3" w:rsidP="00847287">
      <w:pPr>
        <w:autoSpaceDE w:val="0"/>
        <w:autoSpaceDN w:val="0"/>
        <w:adjustRightInd w:val="0"/>
        <w:spacing w:after="0" w:line="240" w:lineRule="auto"/>
        <w:ind w:left="567" w:hanging="567"/>
        <w:rPr>
          <w:rFonts w:ascii="Times New Roman" w:hAnsi="Times New Roman"/>
          <w:b/>
          <w:bCs/>
          <w:lang w:val="sv-SE"/>
        </w:rPr>
      </w:pPr>
    </w:p>
    <w:p w14:paraId="7C9795D6" w14:textId="77777777" w:rsidR="001C4DE3" w:rsidRPr="00AA499E" w:rsidRDefault="001C4DE3" w:rsidP="001C4DE3">
      <w:pPr>
        <w:pStyle w:val="Default"/>
        <w:rPr>
          <w:sz w:val="22"/>
          <w:szCs w:val="22"/>
          <w:lang w:val="da-DK"/>
        </w:rPr>
      </w:pPr>
      <w:r w:rsidRPr="00AA499E">
        <w:rPr>
          <w:b/>
          <w:bCs/>
          <w:sz w:val="22"/>
          <w:szCs w:val="22"/>
          <w:lang w:val="da-DK"/>
        </w:rPr>
        <w:t xml:space="preserve">Ikke kendt </w:t>
      </w:r>
      <w:r w:rsidRPr="00AA499E">
        <w:rPr>
          <w:sz w:val="22"/>
          <w:szCs w:val="22"/>
          <w:lang w:val="da-DK"/>
        </w:rPr>
        <w:t xml:space="preserve">(kan ikke vurderes ud fra tilgængelige data): </w:t>
      </w:r>
    </w:p>
    <w:p w14:paraId="5E5C3BEF" w14:textId="77777777" w:rsidR="001C4DE3" w:rsidRPr="00AA499E" w:rsidRDefault="001C4DE3" w:rsidP="001C4DE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Kombination af omfattende svært udslæt, følelse af at være syg, feber, højt indhold af visse hvide blodlegemer eller gul hud eller øjne (tegn på gulsot) med stakåndethed, brystsmerter/ubehag, svært nedsat urinproduktion og tørst osv. (tegn på en behandlingsrelateret allergisk reaktion).</w:t>
      </w:r>
    </w:p>
    <w:p w14:paraId="13743025" w14:textId="77777777" w:rsidR="00526431" w:rsidRPr="00AA499E" w:rsidRDefault="00526431" w:rsidP="001C4DE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Kronisk nyresvigt.</w:t>
      </w:r>
    </w:p>
    <w:p w14:paraId="6B67B9A1" w14:textId="77777777" w:rsidR="009770BB" w:rsidRPr="00AA499E" w:rsidRDefault="009770BB" w:rsidP="009770BB">
      <w:pPr>
        <w:autoSpaceDE w:val="0"/>
        <w:autoSpaceDN w:val="0"/>
        <w:adjustRightInd w:val="0"/>
        <w:spacing w:after="0" w:line="240" w:lineRule="auto"/>
        <w:ind w:left="567" w:hanging="567"/>
        <w:rPr>
          <w:rFonts w:ascii="Times New Roman" w:hAnsi="Times New Roman"/>
          <w:bCs/>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Cs/>
          <w:lang w:val="da-DK"/>
        </w:rPr>
        <w:t xml:space="preserve">Genopblussen (reaktivering) af hepatitis B-infektion, hvis </w:t>
      </w:r>
      <w:r w:rsidR="00A32833" w:rsidRPr="00AA499E">
        <w:rPr>
          <w:rFonts w:ascii="Times New Roman" w:hAnsi="Times New Roman"/>
          <w:bCs/>
          <w:lang w:val="da-DK"/>
        </w:rPr>
        <w:t>du tidligere har haft hepatitis B (leverbetændelse type </w:t>
      </w:r>
      <w:r w:rsidRPr="00AA499E">
        <w:rPr>
          <w:rFonts w:ascii="Times New Roman" w:hAnsi="Times New Roman"/>
          <w:bCs/>
          <w:lang w:val="da-DK"/>
        </w:rPr>
        <w:t>B).</w:t>
      </w:r>
    </w:p>
    <w:p w14:paraId="05494C8E" w14:textId="77777777" w:rsidR="001C4DE3" w:rsidRPr="00AA499E" w:rsidRDefault="001C4DE3" w:rsidP="00847287">
      <w:pPr>
        <w:autoSpaceDE w:val="0"/>
        <w:autoSpaceDN w:val="0"/>
        <w:adjustRightInd w:val="0"/>
        <w:spacing w:after="0" w:line="240" w:lineRule="auto"/>
        <w:ind w:left="567" w:hanging="567"/>
        <w:rPr>
          <w:rFonts w:ascii="Times New Roman" w:hAnsi="Times New Roman"/>
          <w:b/>
          <w:bCs/>
          <w:lang w:val="da-DK"/>
        </w:rPr>
      </w:pPr>
    </w:p>
    <w:p w14:paraId="680A88D3"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Kontakt din læge med det samme,</w:t>
      </w:r>
      <w:r w:rsidRPr="00AA499E">
        <w:rPr>
          <w:rFonts w:ascii="Times New Roman" w:hAnsi="Times New Roman"/>
          <w:lang w:val="da-DK"/>
        </w:rPr>
        <w:t xml:space="preserve"> hvis du oplever en af ovenstående bivirkninger.</w:t>
      </w:r>
    </w:p>
    <w:p w14:paraId="772FEB0E"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4596137"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Andre bivirkninger kan omfatte:</w:t>
      </w:r>
    </w:p>
    <w:p w14:paraId="73F32876"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52641A85"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Meget almindelige </w:t>
      </w:r>
      <w:r w:rsidRPr="00AA499E">
        <w:rPr>
          <w:rFonts w:ascii="Times New Roman" w:hAnsi="Times New Roman"/>
          <w:lang w:val="da-DK"/>
        </w:rPr>
        <w:t>(kan forekomme hos flere end 1 af 10 brugere)</w:t>
      </w:r>
      <w:r w:rsidRPr="00AA499E">
        <w:rPr>
          <w:rFonts w:ascii="Times New Roman" w:hAnsi="Times New Roman"/>
          <w:b/>
          <w:bCs/>
          <w:lang w:val="da-DK"/>
        </w:rPr>
        <w:t>:</w:t>
      </w:r>
    </w:p>
    <w:p w14:paraId="655A50A2"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Hovedpine eller følelse af træthed.</w:t>
      </w:r>
    </w:p>
    <w:p w14:paraId="54D43B68"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Kvalme, opkastninger, diarré eller fordøjelsesbesvær.</w:t>
      </w:r>
    </w:p>
    <w:p w14:paraId="6CF7D57A"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Udslæt.</w:t>
      </w:r>
    </w:p>
    <w:p w14:paraId="7AC59B35" w14:textId="77777777" w:rsidR="00847287" w:rsidRPr="00AA499E" w:rsidRDefault="00847287" w:rsidP="00B05A3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eller led-, muskel- eller knoglesmerter</w:t>
      </w:r>
      <w:r w:rsidR="00C0422F" w:rsidRPr="00AA499E">
        <w:rPr>
          <w:rFonts w:ascii="Times New Roman" w:hAnsi="Times New Roman"/>
          <w:lang w:val="da-DK"/>
        </w:rPr>
        <w:t xml:space="preserve"> mens du er i behandling med imatinib, eller efter du er stoppe</w:t>
      </w:r>
      <w:r w:rsidR="009770BB" w:rsidRPr="00AA499E">
        <w:rPr>
          <w:rFonts w:ascii="Times New Roman" w:hAnsi="Times New Roman"/>
          <w:lang w:val="da-DK"/>
        </w:rPr>
        <w:t>t</w:t>
      </w:r>
      <w:r w:rsidR="00C0422F" w:rsidRPr="00AA499E">
        <w:rPr>
          <w:rFonts w:ascii="Times New Roman" w:hAnsi="Times New Roman"/>
          <w:lang w:val="da-DK"/>
        </w:rPr>
        <w:t xml:space="preserve"> med at tage imatinib</w:t>
      </w:r>
      <w:r w:rsidRPr="00AA499E">
        <w:rPr>
          <w:rFonts w:ascii="Times New Roman" w:hAnsi="Times New Roman"/>
          <w:lang w:val="da-DK"/>
        </w:rPr>
        <w:t>.</w:t>
      </w:r>
    </w:p>
    <w:p w14:paraId="09E0440E"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Hævelse, som fx af anklerne eller omkring øjnene.</w:t>
      </w:r>
    </w:p>
    <w:p w14:paraId="7B9F940A"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Vægtøgning.</w:t>
      </w:r>
    </w:p>
    <w:p w14:paraId="33FF445C"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62EE59A8"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CF272DF"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Almindelige </w:t>
      </w:r>
      <w:r w:rsidRPr="00AA499E">
        <w:rPr>
          <w:rFonts w:ascii="Times New Roman" w:hAnsi="Times New Roman"/>
          <w:lang w:val="da-DK"/>
        </w:rPr>
        <w:t>(kan forekomme hos op til 1 ud af 10 brugere)</w:t>
      </w:r>
      <w:r w:rsidRPr="00AA499E">
        <w:rPr>
          <w:rFonts w:ascii="Times New Roman" w:hAnsi="Times New Roman"/>
          <w:b/>
          <w:bCs/>
          <w:lang w:val="da-DK"/>
        </w:rPr>
        <w:t>:</w:t>
      </w:r>
    </w:p>
    <w:p w14:paraId="2C2DC3FB"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Appetitløshed, vægttab eller smagsforstyrrelser.</w:t>
      </w:r>
    </w:p>
    <w:p w14:paraId="72C44E78"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svag.</w:t>
      </w:r>
    </w:p>
    <w:p w14:paraId="70034D13"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Svært ved at sove (søvnløshed).</w:t>
      </w:r>
    </w:p>
    <w:p w14:paraId="49B0B8EE"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Flåd fra øjet med kløe, rødme og hævelse (betændelse af øjets bindehinde), øget tåreflåd eller sløret syn.</w:t>
      </w:r>
    </w:p>
    <w:p w14:paraId="1BB35303"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Næseblod.</w:t>
      </w:r>
    </w:p>
    <w:p w14:paraId="498457AE"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eller oppustning af maven, luft i maven, halsbrand eller forstoppelse.</w:t>
      </w:r>
    </w:p>
    <w:p w14:paraId="752493E3"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Kløe.</w:t>
      </w:r>
    </w:p>
    <w:p w14:paraId="174A57F7"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Usædvanligt hårtab eller udtyndning af håret.</w:t>
      </w:r>
    </w:p>
    <w:p w14:paraId="1A1D52CF"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Følelsesløshed i hænder eller fødder.</w:t>
      </w:r>
    </w:p>
    <w:p w14:paraId="71FE8BE3"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Sår i munden.</w:t>
      </w:r>
    </w:p>
    <w:p w14:paraId="4D49889D"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Hævede led og ledsmerter.</w:t>
      </w:r>
    </w:p>
    <w:p w14:paraId="190AC056"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Mundtørhed, tør hud eller tørre øjne.</w:t>
      </w:r>
    </w:p>
    <w:p w14:paraId="4C8159CA"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Nedsat eller øget følsomhed i huden.</w:t>
      </w:r>
    </w:p>
    <w:p w14:paraId="195E7D37"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Hedeture, kulderystelser eller natlig svedtendens.</w:t>
      </w:r>
    </w:p>
    <w:p w14:paraId="58F670DC"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01548583"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292A10C"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kendt </w:t>
      </w:r>
      <w:r w:rsidRPr="00AA499E">
        <w:rPr>
          <w:rFonts w:ascii="Times New Roman" w:hAnsi="Times New Roman"/>
          <w:lang w:val="da-DK"/>
        </w:rPr>
        <w:t>(hyppigheden kan ikke vurderes ud fra tilgængelige data)</w:t>
      </w:r>
      <w:r w:rsidRPr="00AA499E">
        <w:rPr>
          <w:rFonts w:ascii="Times New Roman" w:hAnsi="Times New Roman"/>
          <w:b/>
          <w:bCs/>
          <w:lang w:val="da-DK"/>
        </w:rPr>
        <w:t>:</w:t>
      </w:r>
    </w:p>
    <w:p w14:paraId="6E391483"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Rødmen og/eller hævelse af håndflader eller fodsåler, hvilket kan være ledsaget af en prikkende følelse eller brændende smerte.</w:t>
      </w:r>
    </w:p>
    <w:p w14:paraId="1ED4D20D" w14:textId="77777777" w:rsidR="000361CE" w:rsidRPr="00AA499E" w:rsidRDefault="00847287" w:rsidP="006D667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000361CE" w:rsidRPr="00AA499E">
        <w:rPr>
          <w:rFonts w:ascii="Times New Roman" w:hAnsi="Times New Roman"/>
          <w:lang w:val="da-DK"/>
        </w:rPr>
        <w:t>Smertefulde og/eller blæredannende hudlæsioner.</w:t>
      </w:r>
    </w:p>
    <w:p w14:paraId="658B0088" w14:textId="77777777" w:rsidR="000361CE" w:rsidRPr="00AA499E" w:rsidRDefault="000361CE" w:rsidP="000361CE">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Langsommere vækst hos børn og unge.</w:t>
      </w:r>
    </w:p>
    <w:p w14:paraId="20A04A02" w14:textId="77777777" w:rsidR="00847287" w:rsidRPr="00AA499E" w:rsidRDefault="00847287" w:rsidP="00A32833">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4043F815"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A9110CE" w14:textId="77777777" w:rsidR="009C10A4" w:rsidRPr="00AA499E" w:rsidRDefault="009C10A4" w:rsidP="009C10A4">
      <w:pPr>
        <w:numPr>
          <w:ilvl w:val="12"/>
          <w:numId w:val="0"/>
        </w:numPr>
        <w:spacing w:after="0" w:line="240" w:lineRule="auto"/>
        <w:outlineLvl w:val="0"/>
        <w:rPr>
          <w:rFonts w:ascii="Times New Roman" w:eastAsia="Times New Roman" w:hAnsi="Times New Roman"/>
          <w:noProof/>
          <w:u w:val="single"/>
          <w:lang w:val="da-DK" w:eastAsia="fr-LU"/>
        </w:rPr>
      </w:pPr>
      <w:r w:rsidRPr="00AA499E">
        <w:rPr>
          <w:rFonts w:ascii="Times New Roman" w:eastAsia="Times New Roman" w:hAnsi="Times New Roman"/>
          <w:noProof/>
          <w:u w:val="single"/>
          <w:lang w:val="da-DK" w:eastAsia="fr-LU"/>
        </w:rPr>
        <w:t xml:space="preserve">Indberetning af </w:t>
      </w:r>
      <w:r w:rsidRPr="00AA499E">
        <w:rPr>
          <w:rFonts w:ascii="Times New Roman" w:eastAsia="Times New Roman" w:hAnsi="Times New Roman"/>
          <w:u w:val="single"/>
          <w:lang w:val="da-DK" w:eastAsia="fr-LU"/>
        </w:rPr>
        <w:t>bivirkninger</w:t>
      </w:r>
    </w:p>
    <w:p w14:paraId="7A3E53C6" w14:textId="19A7B723" w:rsidR="009C10A4" w:rsidRPr="00AA499E" w:rsidRDefault="009C10A4" w:rsidP="009C10A4">
      <w:pPr>
        <w:suppressAutoHyphens/>
        <w:spacing w:after="0" w:line="240" w:lineRule="auto"/>
        <w:rPr>
          <w:rFonts w:ascii="Times New Roman" w:eastAsia="Times New Roman" w:hAnsi="Times New Roman"/>
          <w:color w:val="000000"/>
          <w:lang w:val="da-DK" w:eastAsia="fr-LU"/>
        </w:rPr>
      </w:pPr>
      <w:r w:rsidRPr="00AA499E">
        <w:rPr>
          <w:rFonts w:ascii="Times New Roman" w:eastAsia="Times New Roman" w:hAnsi="Times New Roman"/>
          <w:color w:val="000000"/>
          <w:lang w:val="da-DK" w:eastAsia="fr-LU"/>
        </w:rPr>
        <w:t xml:space="preserve">Hvis du oplever bivirkninger, bør du tale med din læge, </w:t>
      </w:r>
      <w:r w:rsidR="008106C4" w:rsidRPr="00AA499E">
        <w:rPr>
          <w:rFonts w:ascii="Times New Roman" w:eastAsia="Times New Roman" w:hAnsi="Times New Roman"/>
          <w:noProof/>
          <w:lang w:val="da-DK" w:eastAsia="fr-LU"/>
        </w:rPr>
        <w:t>apotekspersonalet eller sygeplejersken</w:t>
      </w:r>
      <w:r w:rsidRPr="00AA499E">
        <w:rPr>
          <w:rFonts w:ascii="Times New Roman" w:eastAsia="Times New Roman" w:hAnsi="Times New Roman"/>
          <w:color w:val="000000"/>
          <w:lang w:val="da-DK" w:eastAsia="fr-LU"/>
        </w:rPr>
        <w:t xml:space="preserve">. Dette gælder også mulige bivirkninger, som ikke er medtaget i denne indlægsseddel. Du eller dine pårørende kan også indberette bivirkninger direkte til </w:t>
      </w:r>
      <w:r w:rsidR="00406109" w:rsidRPr="00AA499E">
        <w:rPr>
          <w:rFonts w:ascii="Times New Roman" w:eastAsia="Times New Roman" w:hAnsi="Times New Roman"/>
          <w:color w:val="000000"/>
          <w:lang w:val="da-DK" w:eastAsia="fr-LU"/>
        </w:rPr>
        <w:t>Lægemiddelstyrelsen</w:t>
      </w:r>
      <w:r w:rsidRPr="00AA499E">
        <w:rPr>
          <w:rFonts w:ascii="Times New Roman" w:eastAsia="Times New Roman" w:hAnsi="Times New Roman"/>
          <w:color w:val="000000"/>
          <w:lang w:val="da-DK" w:eastAsia="fr-LU"/>
        </w:rPr>
        <w:t xml:space="preserve"> via </w:t>
      </w:r>
      <w:r w:rsidRPr="00AA499E">
        <w:rPr>
          <w:rFonts w:ascii="Times New Roman" w:eastAsia="Times New Roman" w:hAnsi="Times New Roman"/>
          <w:color w:val="000000"/>
          <w:highlight w:val="lightGray"/>
          <w:lang w:val="da-DK" w:eastAsia="fr-LU"/>
        </w:rPr>
        <w:t xml:space="preserve">det nationale rapporteringssystem anført i </w:t>
      </w:r>
      <w:hyperlink r:id="rId18" w:history="1">
        <w:r w:rsidRPr="00AA499E">
          <w:rPr>
            <w:rFonts w:ascii="Times New Roman" w:eastAsia="Times New Roman" w:hAnsi="Times New Roman"/>
            <w:color w:val="0000FF"/>
            <w:highlight w:val="lightGray"/>
            <w:u w:val="single"/>
            <w:lang w:val="da-DK" w:eastAsia="fr-LU"/>
          </w:rPr>
          <w:t>Appendiks V</w:t>
        </w:r>
      </w:hyperlink>
      <w:r w:rsidRPr="00AA499E">
        <w:rPr>
          <w:rFonts w:ascii="Times New Roman" w:eastAsia="Times New Roman" w:hAnsi="Times New Roman"/>
          <w:color w:val="000000"/>
          <w:lang w:val="da-DK" w:eastAsia="fr-LU"/>
        </w:rPr>
        <w:t>. Ved at indrapportere bivirkninger kan du hjælpe med at fremskaffe mere information om sikkerheden af dette lægemiddel.</w:t>
      </w:r>
    </w:p>
    <w:p w14:paraId="4420C1D3"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37B88EE6"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3E4EDFD4"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w:t>
      </w:r>
      <w:r w:rsidRPr="00AA499E">
        <w:rPr>
          <w:rFonts w:ascii="Times New Roman" w:hAnsi="Times New Roman"/>
          <w:b/>
          <w:bCs/>
          <w:lang w:val="da-DK"/>
        </w:rPr>
        <w:tab/>
        <w:t>Opbevaring</w:t>
      </w:r>
    </w:p>
    <w:p w14:paraId="72ED8C6C"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1E310538" w14:textId="52297090"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 lægemid</w:t>
      </w:r>
      <w:r w:rsidR="00406109" w:rsidRPr="00AA499E">
        <w:rPr>
          <w:rFonts w:ascii="Times New Roman" w:hAnsi="Times New Roman"/>
          <w:lang w:val="da-DK"/>
        </w:rPr>
        <w:t>let</w:t>
      </w:r>
      <w:r w:rsidRPr="00AA499E">
        <w:rPr>
          <w:rFonts w:ascii="Times New Roman" w:hAnsi="Times New Roman"/>
          <w:lang w:val="da-DK"/>
        </w:rPr>
        <w:t xml:space="preserve"> utilgængeligt for børn.</w:t>
      </w:r>
    </w:p>
    <w:p w14:paraId="59A20418" w14:textId="3CE8126D"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Brug ikke lægemid</w:t>
      </w:r>
      <w:r w:rsidR="00406109" w:rsidRPr="00AA499E">
        <w:rPr>
          <w:rFonts w:ascii="Times New Roman" w:hAnsi="Times New Roman"/>
          <w:lang w:val="da-DK"/>
        </w:rPr>
        <w:t>let</w:t>
      </w:r>
      <w:r w:rsidRPr="00AA499E">
        <w:rPr>
          <w:rFonts w:ascii="Times New Roman" w:hAnsi="Times New Roman"/>
          <w:lang w:val="da-DK"/>
        </w:rPr>
        <w:t xml:space="preserve"> efter den udløbsdato, der står på </w:t>
      </w:r>
      <w:bookmarkStart w:id="4" w:name="_Hlk45118578"/>
      <w:r w:rsidR="008106C4" w:rsidRPr="00AA499E">
        <w:rPr>
          <w:rFonts w:ascii="Times New Roman" w:hAnsi="Times New Roman"/>
          <w:lang w:val="da-DK"/>
        </w:rPr>
        <w:t xml:space="preserve">æsken </w:t>
      </w:r>
      <w:bookmarkEnd w:id="4"/>
      <w:r w:rsidR="000361CE" w:rsidRPr="00AA499E">
        <w:rPr>
          <w:rFonts w:ascii="Times New Roman" w:hAnsi="Times New Roman"/>
          <w:lang w:val="da-DK"/>
        </w:rPr>
        <w:t>og blisteren efter EXP</w:t>
      </w:r>
      <w:r w:rsidRPr="00AA499E">
        <w:rPr>
          <w:rFonts w:ascii="Times New Roman" w:hAnsi="Times New Roman"/>
          <w:lang w:val="da-DK"/>
        </w:rPr>
        <w:t>. Udløbsdatoen er den sidste dag i den nævnte måned.</w:t>
      </w:r>
    </w:p>
    <w:p w14:paraId="3783E2E3"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Må ikke opbevares ved temperaturer over </w:t>
      </w:r>
      <w:r w:rsidR="009C10A4" w:rsidRPr="00AA499E">
        <w:rPr>
          <w:rFonts w:ascii="Times New Roman" w:hAnsi="Times New Roman"/>
          <w:lang w:val="da-DK"/>
        </w:rPr>
        <w:t>25</w:t>
      </w:r>
      <w:r w:rsidRPr="00AA499E">
        <w:rPr>
          <w:rFonts w:ascii="Times New Roman" w:hAnsi="Times New Roman"/>
          <w:lang w:val="da-DK"/>
        </w:rPr>
        <w:t>°C. Opbevares i den originale yderpakning for at beskytte mod fugt.</w:t>
      </w:r>
    </w:p>
    <w:p w14:paraId="59A3F3F5"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Pakningen må ikke anvendes, hvis den er beskadiget, eller der er tegn på, at pakningen har været åbnet.</w:t>
      </w:r>
    </w:p>
    <w:p w14:paraId="01D2E183" w14:textId="0349A6F8"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Af hensyn til miljøet må du ikke smide medicinrester i afløbet, toilettet eller skraldespanden. Spørg på </w:t>
      </w:r>
      <w:r w:rsidR="008106C4" w:rsidRPr="00AA499E">
        <w:rPr>
          <w:rFonts w:ascii="Times New Roman" w:hAnsi="Times New Roman"/>
          <w:lang w:val="da-DK"/>
        </w:rPr>
        <w:t>apotekspersonalet</w:t>
      </w:r>
      <w:r w:rsidRPr="00AA499E">
        <w:rPr>
          <w:rFonts w:ascii="Times New Roman" w:hAnsi="Times New Roman"/>
          <w:lang w:val="da-DK"/>
        </w:rPr>
        <w:t>, hvordan du skal bortskaffe medicinrester. Dette er en miljømæssig foranstaltning.</w:t>
      </w:r>
    </w:p>
    <w:p w14:paraId="12221A76"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415DD95E"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4868B3FB"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Pakningsstørrelser og yderligere oplysninger</w:t>
      </w:r>
    </w:p>
    <w:p w14:paraId="73CD6CF0"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AD91B57"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indeholder</w:t>
      </w:r>
    </w:p>
    <w:p w14:paraId="65FA9EA9" w14:textId="77777777" w:rsidR="00847287" w:rsidRPr="00AA499E" w:rsidRDefault="00847287" w:rsidP="00847287">
      <w:pPr>
        <w:autoSpaceDE w:val="0"/>
        <w:autoSpaceDN w:val="0"/>
        <w:adjustRightInd w:val="0"/>
        <w:spacing w:after="0" w:line="240" w:lineRule="auto"/>
        <w:rPr>
          <w:rFonts w:ascii="Times New Roman" w:hAnsi="Times New Roman"/>
          <w:highlight w:val="lightGray"/>
          <w:lang w:val="da-DK"/>
        </w:rPr>
      </w:pPr>
    </w:p>
    <w:p w14:paraId="5AA5B33A"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t>Aktivt stof: imatinib (som mesilat). Hver kapsel indeholder 100 mg imatinib (som mesilat).</w:t>
      </w:r>
    </w:p>
    <w:p w14:paraId="21D99F40" w14:textId="77777777" w:rsidR="00847287" w:rsidRPr="00AA499E" w:rsidRDefault="00847287" w:rsidP="00847287">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Øvrige indholdsstoffer: Kapselindhold: mikrokrystallinsk cellulose, copovidon, crospovidon, natriumstearylfumarat, silica (vandskyende kolloid, kolloid vandfri). Kapselskal: hypromellose, titandioxid (E171), gul jernoxid (E172), rød jernoxid (E172). Prægeblæk: shellac, sort jernoxid (E172), propylenglycol, ammoniakopløsning, kaliumhydroxid.</w:t>
      </w:r>
    </w:p>
    <w:p w14:paraId="34BF124C"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12DC25B"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Udseende og pakningsstørrelser</w:t>
      </w:r>
    </w:p>
    <w:p w14:paraId="7385E13E" w14:textId="77777777" w:rsidR="00847287" w:rsidRPr="00AA499E" w:rsidRDefault="00847287" w:rsidP="00847287">
      <w:pPr>
        <w:autoSpaceDE w:val="0"/>
        <w:autoSpaceDN w:val="0"/>
        <w:adjustRightInd w:val="0"/>
        <w:spacing w:after="0" w:line="240" w:lineRule="auto"/>
        <w:rPr>
          <w:rFonts w:ascii="Times New Roman" w:hAnsi="Times New Roman"/>
          <w:highlight w:val="lightGray"/>
          <w:lang w:val="da-DK"/>
        </w:rPr>
      </w:pPr>
    </w:p>
    <w:p w14:paraId="721EEC99"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Hård kapsel med lyseorange overtræk og lyseorange kerne og præget med 100 mg i sort farve.</w:t>
      </w:r>
    </w:p>
    <w:p w14:paraId="2767AB23" w14:textId="77777777" w:rsidR="00847287" w:rsidRPr="00AA499E" w:rsidRDefault="00847287" w:rsidP="00847287">
      <w:pPr>
        <w:pStyle w:val="KeinLeerraum"/>
        <w:rPr>
          <w:rFonts w:ascii="Times New Roman" w:hAnsi="Times New Roman"/>
          <w:lang w:val="da-DK"/>
        </w:rPr>
      </w:pPr>
      <w:r w:rsidRPr="00AA499E">
        <w:rPr>
          <w:rFonts w:ascii="Times New Roman" w:hAnsi="Times New Roman"/>
          <w:lang w:val="da-DK"/>
        </w:rPr>
        <w:t>Kapslen indeholder lysegult pulver.</w:t>
      </w:r>
    </w:p>
    <w:p w14:paraId="4F1D1370"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97F9298" w14:textId="77777777" w:rsidR="00847287" w:rsidRPr="00AA499E" w:rsidRDefault="00847287" w:rsidP="00847287">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Pakningsstørrelser:</w:t>
      </w:r>
    </w:p>
    <w:p w14:paraId="1E27A212" w14:textId="77777777" w:rsidR="00847287" w:rsidRPr="00AA499E" w:rsidRDefault="001C4DE3" w:rsidP="00847287">
      <w:pPr>
        <w:pStyle w:val="KeinLeerraum"/>
        <w:rPr>
          <w:rFonts w:ascii="Times New Roman" w:hAnsi="Times New Roman"/>
          <w:lang w:val="da-DK"/>
        </w:rPr>
      </w:pPr>
      <w:r w:rsidRPr="00AA499E">
        <w:rPr>
          <w:rFonts w:ascii="Times New Roman" w:hAnsi="Times New Roman"/>
          <w:lang w:val="da-DK"/>
        </w:rPr>
        <w:t>Kapslerne</w:t>
      </w:r>
      <w:r w:rsidR="00847287" w:rsidRPr="00AA499E">
        <w:rPr>
          <w:rFonts w:ascii="Times New Roman" w:hAnsi="Times New Roman"/>
          <w:lang w:val="da-DK"/>
        </w:rPr>
        <w:t xml:space="preserve"> findes i </w:t>
      </w:r>
      <w:r w:rsidRPr="00AA499E">
        <w:rPr>
          <w:rFonts w:ascii="Times New Roman" w:hAnsi="Times New Roman"/>
          <w:lang w:val="da-DK"/>
        </w:rPr>
        <w:t>blister</w:t>
      </w:r>
      <w:r w:rsidR="00847287" w:rsidRPr="00AA499E">
        <w:rPr>
          <w:rFonts w:ascii="Times New Roman" w:hAnsi="Times New Roman"/>
          <w:lang w:val="da-DK"/>
        </w:rPr>
        <w:t xml:space="preserve">pakninger </w:t>
      </w:r>
      <w:r w:rsidRPr="00AA499E">
        <w:rPr>
          <w:rFonts w:ascii="Times New Roman" w:hAnsi="Times New Roman"/>
          <w:lang w:val="da-DK"/>
        </w:rPr>
        <w:t xml:space="preserve">af aluminium </w:t>
      </w:r>
      <w:r w:rsidR="00847287" w:rsidRPr="00AA499E">
        <w:rPr>
          <w:rFonts w:ascii="Times New Roman" w:hAnsi="Times New Roman"/>
          <w:lang w:val="da-DK"/>
        </w:rPr>
        <w:t xml:space="preserve">med 24, 48, </w:t>
      </w:r>
      <w:r w:rsidR="00D005DB" w:rsidRPr="00AA499E">
        <w:rPr>
          <w:rFonts w:ascii="Times New Roman" w:hAnsi="Times New Roman"/>
          <w:lang w:val="da-DK"/>
        </w:rPr>
        <w:t xml:space="preserve">60, </w:t>
      </w:r>
      <w:r w:rsidR="00847287" w:rsidRPr="00AA499E">
        <w:rPr>
          <w:rFonts w:ascii="Times New Roman" w:hAnsi="Times New Roman"/>
          <w:lang w:val="da-DK"/>
        </w:rPr>
        <w:t>96, 120 eller 180 kapsler.</w:t>
      </w:r>
    </w:p>
    <w:p w14:paraId="71813FA3" w14:textId="77777777" w:rsidR="00847287" w:rsidRPr="00AA499E" w:rsidRDefault="00847287" w:rsidP="00847287">
      <w:pPr>
        <w:autoSpaceDE w:val="0"/>
        <w:autoSpaceDN w:val="0"/>
        <w:adjustRightInd w:val="0"/>
        <w:spacing w:after="0" w:line="240" w:lineRule="auto"/>
        <w:rPr>
          <w:rFonts w:ascii="Times New Roman" w:hAnsi="Times New Roman"/>
          <w:highlight w:val="yellow"/>
          <w:lang w:val="da-DK"/>
        </w:rPr>
      </w:pPr>
    </w:p>
    <w:p w14:paraId="06734BC7"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alle pakningsstørrelser er nødvendigvis markedsført.</w:t>
      </w:r>
    </w:p>
    <w:p w14:paraId="102EB2A4"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6A87EA88"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Indehaver af markedsføringstilladelsen</w:t>
      </w:r>
    </w:p>
    <w:p w14:paraId="7B3D6301"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7D0C2A60"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Reykjavíkurvegur 76-78,</w:t>
      </w:r>
    </w:p>
    <w:p w14:paraId="56C29F62"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Hafnarfjörður</w:t>
      </w:r>
    </w:p>
    <w:p w14:paraId="03694BD8"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798F5DC1"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0C0CAF7A" w14:textId="77777777" w:rsidR="00847287" w:rsidRPr="00AA499E" w:rsidRDefault="00847287" w:rsidP="00847287">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Fremstiller</w:t>
      </w:r>
    </w:p>
    <w:p w14:paraId="5DB48042" w14:textId="77777777" w:rsidR="00847287" w:rsidRPr="00AA499E" w:rsidRDefault="00847287" w:rsidP="00847287">
      <w:pPr>
        <w:pStyle w:val="KeinLeerraum"/>
        <w:rPr>
          <w:rFonts w:ascii="Times New Roman" w:hAnsi="Times New Roman"/>
          <w:lang w:val="da-DK"/>
        </w:rPr>
      </w:pPr>
      <w:r w:rsidRPr="00AA499E">
        <w:rPr>
          <w:rFonts w:ascii="Times New Roman" w:hAnsi="Times New Roman"/>
          <w:lang w:val="da-DK"/>
        </w:rPr>
        <w:t>S.C. SindanPharma S.R.L.</w:t>
      </w:r>
    </w:p>
    <w:p w14:paraId="70A952DE" w14:textId="77777777" w:rsidR="00847287" w:rsidRPr="00AA499E" w:rsidRDefault="00847287" w:rsidP="00847287">
      <w:pPr>
        <w:pStyle w:val="KeinLeerraum"/>
        <w:rPr>
          <w:rFonts w:ascii="Times New Roman" w:hAnsi="Times New Roman"/>
          <w:lang w:val="da-DK"/>
        </w:rPr>
      </w:pPr>
      <w:r w:rsidRPr="00AA499E">
        <w:rPr>
          <w:rFonts w:ascii="Times New Roman" w:hAnsi="Times New Roman"/>
          <w:lang w:val="da-DK"/>
        </w:rPr>
        <w:t>11 Ion Mihalache Blvd</w:t>
      </w:r>
    </w:p>
    <w:p w14:paraId="2ADD0842" w14:textId="77777777" w:rsidR="00847287" w:rsidRPr="00AA499E" w:rsidRDefault="00847287" w:rsidP="00847287">
      <w:pPr>
        <w:pStyle w:val="KeinLeerraum"/>
        <w:rPr>
          <w:rFonts w:ascii="Times New Roman" w:hAnsi="Times New Roman"/>
          <w:lang w:val="da-DK"/>
        </w:rPr>
      </w:pPr>
      <w:r w:rsidRPr="00AA499E">
        <w:rPr>
          <w:rFonts w:ascii="Times New Roman" w:hAnsi="Times New Roman"/>
          <w:lang w:val="da-DK"/>
        </w:rPr>
        <w:t>Bukarest</w:t>
      </w:r>
    </w:p>
    <w:p w14:paraId="7C929E52" w14:textId="77777777" w:rsidR="00847287" w:rsidRPr="00AA499E" w:rsidRDefault="00847287" w:rsidP="00847287">
      <w:pPr>
        <w:pStyle w:val="KeinLeerraum"/>
        <w:rPr>
          <w:rFonts w:ascii="Times New Roman" w:hAnsi="Times New Roman"/>
          <w:lang w:val="da-DK"/>
        </w:rPr>
      </w:pPr>
      <w:r w:rsidRPr="00AA499E">
        <w:rPr>
          <w:rFonts w:ascii="Times New Roman" w:hAnsi="Times New Roman"/>
          <w:lang w:val="da-DK"/>
        </w:rPr>
        <w:t>Rumænien</w:t>
      </w:r>
    </w:p>
    <w:p w14:paraId="1FD0A188" w14:textId="77777777" w:rsidR="00847287" w:rsidRPr="00AA499E" w:rsidRDefault="00847287" w:rsidP="00847287">
      <w:pPr>
        <w:autoSpaceDE w:val="0"/>
        <w:autoSpaceDN w:val="0"/>
        <w:adjustRightInd w:val="0"/>
        <w:spacing w:after="0" w:line="240" w:lineRule="auto"/>
        <w:rPr>
          <w:rFonts w:ascii="Times New Roman" w:hAnsi="Times New Roman"/>
          <w:lang w:val="da-DK"/>
        </w:rPr>
      </w:pPr>
    </w:p>
    <w:p w14:paraId="21D1AE0F" w14:textId="77777777" w:rsidR="00847287" w:rsidRPr="00AA499E" w:rsidRDefault="00847287" w:rsidP="008472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ønsker yderligere oplysninger om dette lægemiddel, skal du henvende dig til den lokale repræsentant for</w:t>
      </w:r>
      <w:r w:rsidR="008239C4" w:rsidRPr="00AA499E">
        <w:rPr>
          <w:rFonts w:ascii="Times New Roman" w:hAnsi="Times New Roman"/>
          <w:lang w:val="da-DK"/>
        </w:rPr>
        <w:t xml:space="preserve"> </w:t>
      </w:r>
      <w:r w:rsidRPr="00AA499E">
        <w:rPr>
          <w:rFonts w:ascii="Times New Roman" w:hAnsi="Times New Roman"/>
          <w:lang w:val="da-DK"/>
        </w:rPr>
        <w:t>indehaveren af markedsføringstilladelsen.</w:t>
      </w:r>
    </w:p>
    <w:p w14:paraId="3A0CB730" w14:textId="77777777" w:rsidR="00A26B73" w:rsidRPr="007A1698" w:rsidRDefault="00A26B73" w:rsidP="00A26B73">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26B73" w:rsidRPr="00DC08DD" w14:paraId="74E8291B" w14:textId="77777777" w:rsidTr="00A26B73">
        <w:trPr>
          <w:gridBefore w:val="1"/>
          <w:wBefore w:w="34" w:type="dxa"/>
          <w:cantSplit/>
        </w:trPr>
        <w:tc>
          <w:tcPr>
            <w:tcW w:w="4644" w:type="dxa"/>
          </w:tcPr>
          <w:p w14:paraId="14DC8D2C"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België/Belgique/Belgien</w:t>
            </w:r>
          </w:p>
          <w:p w14:paraId="6C20979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39637390"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IJsland/Islande/Island</w:t>
            </w:r>
          </w:p>
          <w:p w14:paraId="375525B8"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Tél/Tel: +354 5503300</w:t>
            </w:r>
          </w:p>
          <w:p w14:paraId="5894C57B" w14:textId="77777777" w:rsidR="00A26B73" w:rsidRPr="00DC08DD" w:rsidRDefault="00A26B73" w:rsidP="00A26B73">
            <w:pPr>
              <w:pStyle w:val="KeinLeerraum"/>
              <w:rPr>
                <w:rFonts w:ascii="Times New Roman" w:hAnsi="Times New Roman"/>
                <w:lang w:val="en-GB"/>
              </w:rPr>
            </w:pPr>
          </w:p>
        </w:tc>
        <w:tc>
          <w:tcPr>
            <w:tcW w:w="4678" w:type="dxa"/>
          </w:tcPr>
          <w:p w14:paraId="5E68DE04"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Lietuva</w:t>
            </w:r>
          </w:p>
          <w:p w14:paraId="781A3397" w14:textId="3B972D25" w:rsidR="00A26B73" w:rsidRPr="00DC08DD" w:rsidRDefault="00A26B73" w:rsidP="00A26B73">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203A1687"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6F7EF775" w14:textId="77777777" w:rsidR="00A26B73" w:rsidRPr="00DC08DD" w:rsidRDefault="00A26B73" w:rsidP="00A26B73">
            <w:pPr>
              <w:pStyle w:val="KeinLeerraum"/>
              <w:rPr>
                <w:rFonts w:ascii="Times New Roman" w:hAnsi="Times New Roman"/>
                <w:lang w:val="en-GB"/>
              </w:rPr>
            </w:pPr>
          </w:p>
        </w:tc>
      </w:tr>
      <w:tr w:rsidR="00A26B73" w:rsidRPr="00DC08DD" w14:paraId="1ACC57B2" w14:textId="77777777" w:rsidTr="00A26B73">
        <w:trPr>
          <w:gridBefore w:val="1"/>
          <w:wBefore w:w="34" w:type="dxa"/>
          <w:cantSplit/>
        </w:trPr>
        <w:tc>
          <w:tcPr>
            <w:tcW w:w="4644" w:type="dxa"/>
          </w:tcPr>
          <w:p w14:paraId="097DD657"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България</w:t>
            </w:r>
          </w:p>
          <w:p w14:paraId="3B947FE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Актавис ЕАД</w:t>
            </w:r>
          </w:p>
          <w:p w14:paraId="4AFA9E06"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B8D2A5E" w14:textId="77777777" w:rsidR="00A26B73" w:rsidRPr="00DC08DD" w:rsidRDefault="00A26B73" w:rsidP="00A26B73">
            <w:pPr>
              <w:pStyle w:val="KeinLeerraum"/>
              <w:rPr>
                <w:rFonts w:ascii="Times New Roman" w:hAnsi="Times New Roman"/>
                <w:lang w:val="en-GB"/>
              </w:rPr>
            </w:pPr>
          </w:p>
        </w:tc>
        <w:tc>
          <w:tcPr>
            <w:tcW w:w="4678" w:type="dxa"/>
          </w:tcPr>
          <w:p w14:paraId="419F17FD"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Luxembourg/Luxemburg</w:t>
            </w:r>
          </w:p>
          <w:p w14:paraId="0F681576"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Actavis Group PTC ehf.</w:t>
            </w:r>
          </w:p>
          <w:p w14:paraId="270C0D76"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Islande/Island</w:t>
            </w:r>
          </w:p>
          <w:p w14:paraId="146D272F"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3A84FC35" w14:textId="77777777" w:rsidR="00A26B73" w:rsidRPr="00DC08DD" w:rsidRDefault="00A26B73" w:rsidP="00A26B73">
            <w:pPr>
              <w:pStyle w:val="KeinLeerraum"/>
              <w:rPr>
                <w:rFonts w:ascii="Times New Roman" w:hAnsi="Times New Roman"/>
                <w:lang w:val="en-GB"/>
              </w:rPr>
            </w:pPr>
          </w:p>
        </w:tc>
      </w:tr>
      <w:tr w:rsidR="00A26B73" w:rsidRPr="00DC08DD" w14:paraId="1E817F33" w14:textId="77777777" w:rsidTr="00A26B73">
        <w:trPr>
          <w:gridBefore w:val="1"/>
          <w:wBefore w:w="34" w:type="dxa"/>
          <w:cantSplit/>
          <w:trHeight w:val="751"/>
        </w:trPr>
        <w:tc>
          <w:tcPr>
            <w:tcW w:w="4644" w:type="dxa"/>
          </w:tcPr>
          <w:p w14:paraId="2C4D045C"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Česká republika</w:t>
            </w:r>
          </w:p>
          <w:p w14:paraId="21ACF5D8" w14:textId="77777777" w:rsidR="00A26B73" w:rsidRPr="00DC08DD" w:rsidRDefault="00A26B73" w:rsidP="00A26B73">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036030B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C38CC3F" w14:textId="77777777" w:rsidR="00A26B73" w:rsidRPr="00DC08DD" w:rsidRDefault="00A26B73" w:rsidP="00A26B73">
            <w:pPr>
              <w:pStyle w:val="KeinLeerraum"/>
              <w:rPr>
                <w:rFonts w:ascii="Times New Roman" w:hAnsi="Times New Roman"/>
                <w:lang w:val="en-GB"/>
              </w:rPr>
            </w:pPr>
          </w:p>
        </w:tc>
        <w:tc>
          <w:tcPr>
            <w:tcW w:w="4678" w:type="dxa"/>
          </w:tcPr>
          <w:p w14:paraId="4A004D7A"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Magyarország</w:t>
            </w:r>
          </w:p>
          <w:p w14:paraId="08A90AD4"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rPr>
              <w:t>Teva Gyógyszergyár Zrt.</w:t>
            </w:r>
          </w:p>
          <w:p w14:paraId="581121C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2448F8E7" w14:textId="77777777" w:rsidR="00A26B73" w:rsidRPr="00DC08DD" w:rsidRDefault="00A26B73" w:rsidP="00A26B73">
            <w:pPr>
              <w:pStyle w:val="KeinLeerraum"/>
              <w:rPr>
                <w:rFonts w:ascii="Times New Roman" w:hAnsi="Times New Roman"/>
                <w:lang w:val="en-GB"/>
              </w:rPr>
            </w:pPr>
          </w:p>
        </w:tc>
      </w:tr>
      <w:tr w:rsidR="00A26B73" w:rsidRPr="00DC08DD" w14:paraId="401F819D" w14:textId="77777777" w:rsidTr="00A26B73">
        <w:trPr>
          <w:gridBefore w:val="1"/>
          <w:wBefore w:w="34" w:type="dxa"/>
          <w:cantSplit/>
        </w:trPr>
        <w:tc>
          <w:tcPr>
            <w:tcW w:w="4644" w:type="dxa"/>
          </w:tcPr>
          <w:p w14:paraId="68F993BA"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Danmark</w:t>
            </w:r>
          </w:p>
          <w:p w14:paraId="49A53C5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Teva Denmark A/S</w:t>
            </w:r>
          </w:p>
          <w:p w14:paraId="63095D93"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Tlf: +45 44985511</w:t>
            </w:r>
          </w:p>
          <w:p w14:paraId="7957CD88" w14:textId="77777777" w:rsidR="00A26B73" w:rsidRPr="00DC08DD" w:rsidRDefault="00A26B73" w:rsidP="00A26B73">
            <w:pPr>
              <w:pStyle w:val="KeinLeerraum"/>
              <w:rPr>
                <w:rFonts w:ascii="Times New Roman" w:hAnsi="Times New Roman"/>
                <w:lang w:val="en-GB"/>
              </w:rPr>
            </w:pPr>
          </w:p>
        </w:tc>
        <w:tc>
          <w:tcPr>
            <w:tcW w:w="4678" w:type="dxa"/>
          </w:tcPr>
          <w:p w14:paraId="3874C149"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Malta</w:t>
            </w:r>
          </w:p>
          <w:p w14:paraId="7227D02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Ltd.</w:t>
            </w:r>
          </w:p>
          <w:p w14:paraId="7C686E2E"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D57E601" w14:textId="77777777" w:rsidR="00A26B73" w:rsidRPr="00DC08DD" w:rsidRDefault="00A26B73" w:rsidP="00A26B73">
            <w:pPr>
              <w:pStyle w:val="KeinLeerraum"/>
              <w:rPr>
                <w:rFonts w:ascii="Times New Roman" w:hAnsi="Times New Roman"/>
                <w:lang w:val="en-GB"/>
              </w:rPr>
            </w:pPr>
          </w:p>
        </w:tc>
      </w:tr>
      <w:tr w:rsidR="00A26B73" w:rsidRPr="00DC08DD" w14:paraId="49759F91" w14:textId="77777777" w:rsidTr="00A26B73">
        <w:trPr>
          <w:gridBefore w:val="1"/>
          <w:wBefore w:w="34" w:type="dxa"/>
          <w:cantSplit/>
        </w:trPr>
        <w:tc>
          <w:tcPr>
            <w:tcW w:w="4644" w:type="dxa"/>
          </w:tcPr>
          <w:p w14:paraId="13BC484B"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lastRenderedPageBreak/>
              <w:t>Deutschland</w:t>
            </w:r>
          </w:p>
          <w:p w14:paraId="392E1A12" w14:textId="77777777" w:rsidR="00A26B73" w:rsidRPr="00DC08DD" w:rsidRDefault="00A26B73" w:rsidP="00A26B73">
            <w:pPr>
              <w:spacing w:after="0" w:line="240" w:lineRule="auto"/>
              <w:rPr>
                <w:rFonts w:ascii="Times New Roman" w:hAnsi="Times New Roman"/>
                <w:lang w:val="en-GB"/>
              </w:rPr>
            </w:pPr>
            <w:r w:rsidRPr="00DC08DD">
              <w:rPr>
                <w:rFonts w:ascii="Times New Roman" w:hAnsi="Times New Roman"/>
                <w:lang w:val="en-GB"/>
              </w:rPr>
              <w:t>Actavis Group PTC ehf.</w:t>
            </w:r>
          </w:p>
          <w:p w14:paraId="38AB008D" w14:textId="77777777" w:rsidR="00A26B73" w:rsidRDefault="00A26B73" w:rsidP="00A26B73">
            <w:pPr>
              <w:pStyle w:val="KeinLeerraum"/>
              <w:rPr>
                <w:rFonts w:ascii="Times New Roman" w:hAnsi="Times New Roman"/>
                <w:lang w:val="en-US"/>
              </w:rPr>
            </w:pPr>
            <w:r w:rsidRPr="00DC08DD">
              <w:rPr>
                <w:rFonts w:ascii="Times New Roman" w:hAnsi="Times New Roman"/>
                <w:lang w:val="en-US"/>
              </w:rPr>
              <w:t>Island</w:t>
            </w:r>
          </w:p>
          <w:p w14:paraId="1340FD2A"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3F3CE2DD" w14:textId="77777777" w:rsidR="00A26B73" w:rsidRPr="00DC08DD" w:rsidRDefault="00A26B73" w:rsidP="00A26B73">
            <w:pPr>
              <w:pStyle w:val="KeinLeerraum"/>
              <w:rPr>
                <w:rFonts w:ascii="Times New Roman" w:hAnsi="Times New Roman"/>
                <w:lang w:val="en-GB"/>
              </w:rPr>
            </w:pPr>
          </w:p>
        </w:tc>
        <w:tc>
          <w:tcPr>
            <w:tcW w:w="4678" w:type="dxa"/>
          </w:tcPr>
          <w:p w14:paraId="1DD81161"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Nederland</w:t>
            </w:r>
          </w:p>
          <w:p w14:paraId="051F6898"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20FC4518" w14:textId="77777777" w:rsidR="00A26B73" w:rsidRDefault="00A26B73" w:rsidP="00A26B73">
            <w:pPr>
              <w:pStyle w:val="KeinLeerraum"/>
              <w:rPr>
                <w:rFonts w:ascii="Times New Roman" w:hAnsi="Times New Roman"/>
                <w:iCs/>
                <w:lang w:val="en-GB"/>
              </w:rPr>
            </w:pPr>
            <w:r w:rsidRPr="00DC08DD">
              <w:rPr>
                <w:rFonts w:ascii="Times New Roman" w:hAnsi="Times New Roman"/>
                <w:iCs/>
                <w:lang w:val="en-GB"/>
              </w:rPr>
              <w:t>IJsland</w:t>
            </w:r>
          </w:p>
          <w:p w14:paraId="08F37433" w14:textId="77777777" w:rsidR="00A26B73" w:rsidRPr="00C5795F"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7EBD9121" w14:textId="77777777" w:rsidR="00A26B73" w:rsidRPr="00DC08DD" w:rsidRDefault="00A26B73" w:rsidP="00A26B73">
            <w:pPr>
              <w:pStyle w:val="KeinLeerraum"/>
              <w:rPr>
                <w:rFonts w:ascii="Times New Roman" w:hAnsi="Times New Roman"/>
                <w:lang w:val="en-GB"/>
              </w:rPr>
            </w:pPr>
          </w:p>
        </w:tc>
      </w:tr>
      <w:tr w:rsidR="00A26B73" w:rsidRPr="00DC08DD" w14:paraId="3B3825FB" w14:textId="77777777" w:rsidTr="00A26B73">
        <w:trPr>
          <w:gridBefore w:val="1"/>
          <w:wBefore w:w="34" w:type="dxa"/>
          <w:cantSplit/>
        </w:trPr>
        <w:tc>
          <w:tcPr>
            <w:tcW w:w="4644" w:type="dxa"/>
          </w:tcPr>
          <w:p w14:paraId="40774BD4"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Eesti</w:t>
            </w:r>
          </w:p>
          <w:p w14:paraId="3BA4C8CD" w14:textId="2265533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3BB8309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242C318C" w14:textId="77777777" w:rsidR="00A26B73" w:rsidRPr="00DC08DD" w:rsidRDefault="00A26B73" w:rsidP="00A26B73">
            <w:pPr>
              <w:pStyle w:val="KeinLeerraum"/>
              <w:rPr>
                <w:rFonts w:ascii="Times New Roman" w:hAnsi="Times New Roman"/>
                <w:lang w:val="en-GB"/>
              </w:rPr>
            </w:pPr>
          </w:p>
        </w:tc>
        <w:tc>
          <w:tcPr>
            <w:tcW w:w="4678" w:type="dxa"/>
          </w:tcPr>
          <w:p w14:paraId="4E759FE6"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Norge</w:t>
            </w:r>
          </w:p>
          <w:p w14:paraId="118424CE"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Teva Norway AS</w:t>
            </w:r>
          </w:p>
          <w:p w14:paraId="1584BC0B"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Tlf: +47 66775590</w:t>
            </w:r>
          </w:p>
          <w:p w14:paraId="202EB73B" w14:textId="77777777" w:rsidR="00A26B73" w:rsidRPr="00DC08DD" w:rsidRDefault="00A26B73" w:rsidP="00A26B73">
            <w:pPr>
              <w:pStyle w:val="KeinLeerraum"/>
              <w:rPr>
                <w:rFonts w:ascii="Times New Roman" w:hAnsi="Times New Roman"/>
                <w:lang w:val="en-GB"/>
              </w:rPr>
            </w:pPr>
          </w:p>
        </w:tc>
      </w:tr>
      <w:tr w:rsidR="00A26B73" w:rsidRPr="00DC08DD" w14:paraId="37DA0A52" w14:textId="77777777" w:rsidTr="00A26B73">
        <w:trPr>
          <w:gridBefore w:val="1"/>
          <w:wBefore w:w="34" w:type="dxa"/>
          <w:cantSplit/>
        </w:trPr>
        <w:tc>
          <w:tcPr>
            <w:tcW w:w="4644" w:type="dxa"/>
          </w:tcPr>
          <w:p w14:paraId="7415D5F6" w14:textId="77777777" w:rsidR="00A26B73" w:rsidRPr="008F3048" w:rsidRDefault="00A26B73" w:rsidP="00A26B73">
            <w:pPr>
              <w:pStyle w:val="KeinLeerraum"/>
              <w:rPr>
                <w:rFonts w:ascii="Times New Roman" w:hAnsi="Times New Roman"/>
              </w:rPr>
            </w:pPr>
            <w:r w:rsidRPr="00DC08DD">
              <w:rPr>
                <w:rFonts w:ascii="Times New Roman" w:hAnsi="Times New Roman"/>
                <w:b/>
                <w:lang w:val="en-GB"/>
              </w:rPr>
              <w:t>Ελλάδα</w:t>
            </w:r>
          </w:p>
          <w:p w14:paraId="04BE3F06" w14:textId="77777777" w:rsidR="00A26B73" w:rsidRPr="008F3048" w:rsidRDefault="00A26B73" w:rsidP="00A26B73">
            <w:pPr>
              <w:pStyle w:val="NormalParagraphStyle"/>
              <w:spacing w:line="240" w:lineRule="auto"/>
              <w:rPr>
                <w:rFonts w:ascii="Times New Roman" w:hAnsi="Times New Roman"/>
                <w:color w:val="auto"/>
                <w:sz w:val="22"/>
                <w:szCs w:val="22"/>
                <w:lang w:val="is-IS"/>
              </w:rPr>
            </w:pPr>
            <w:r w:rsidRPr="008F3048">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1847803" w14:textId="24363202" w:rsidR="00A26B73" w:rsidRPr="00DC08DD" w:rsidRDefault="00A26B73" w:rsidP="00A26B73">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1FCD2B9" w14:textId="77777777" w:rsidR="00A26B73" w:rsidRPr="008F3048" w:rsidRDefault="00A26B73" w:rsidP="00A26B73">
            <w:pPr>
              <w:pStyle w:val="KeinLeerraum"/>
              <w:rPr>
                <w:rFonts w:ascii="Times New Roman" w:hAnsi="Times New Roman"/>
              </w:rPr>
            </w:pPr>
          </w:p>
        </w:tc>
        <w:tc>
          <w:tcPr>
            <w:tcW w:w="4678" w:type="dxa"/>
          </w:tcPr>
          <w:p w14:paraId="7B2CCF8E"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Österreich</w:t>
            </w:r>
          </w:p>
          <w:p w14:paraId="01237E50" w14:textId="77777777" w:rsidR="00A26B73" w:rsidRPr="0056362A" w:rsidRDefault="00A26B73" w:rsidP="00A26B73">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49B18320" w14:textId="77777777" w:rsidR="00A26B73" w:rsidRPr="00DC08DD" w:rsidRDefault="00A26B73" w:rsidP="00A26B73">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3A004814" w14:textId="77777777" w:rsidR="00A26B73" w:rsidRPr="0056362A" w:rsidRDefault="00A26B73" w:rsidP="00A26B73">
            <w:pPr>
              <w:pStyle w:val="KeinLeerraum"/>
              <w:rPr>
                <w:rFonts w:ascii="Times New Roman" w:hAnsi="Times New Roman"/>
                <w:lang w:val="de-DE"/>
              </w:rPr>
            </w:pPr>
          </w:p>
        </w:tc>
      </w:tr>
      <w:tr w:rsidR="00A26B73" w:rsidRPr="00DC08DD" w14:paraId="70039B46" w14:textId="77777777" w:rsidTr="00A26B73">
        <w:trPr>
          <w:cantSplit/>
        </w:trPr>
        <w:tc>
          <w:tcPr>
            <w:tcW w:w="4678" w:type="dxa"/>
            <w:gridSpan w:val="2"/>
          </w:tcPr>
          <w:p w14:paraId="42CACA93"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España</w:t>
            </w:r>
          </w:p>
          <w:p w14:paraId="78CA3A9F"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0137E212"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Islandia</w:t>
            </w:r>
          </w:p>
          <w:p w14:paraId="57E88D33"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0F7DD45E" w14:textId="77777777" w:rsidR="00A26B73" w:rsidRPr="00DC08DD" w:rsidRDefault="00A26B73" w:rsidP="00A26B73">
            <w:pPr>
              <w:pStyle w:val="KeinLeerraum"/>
              <w:rPr>
                <w:rFonts w:ascii="Times New Roman" w:hAnsi="Times New Roman"/>
                <w:lang w:val="en-GB"/>
              </w:rPr>
            </w:pPr>
          </w:p>
        </w:tc>
        <w:tc>
          <w:tcPr>
            <w:tcW w:w="4678" w:type="dxa"/>
          </w:tcPr>
          <w:p w14:paraId="6948DC3C" w14:textId="77777777" w:rsidR="00A26B73" w:rsidRPr="00DC08DD" w:rsidRDefault="00A26B73" w:rsidP="00A26B73">
            <w:pPr>
              <w:pStyle w:val="KeinLeerraum"/>
              <w:rPr>
                <w:rFonts w:ascii="Times New Roman" w:hAnsi="Times New Roman"/>
                <w:b/>
                <w:bCs/>
                <w:i/>
                <w:iCs/>
                <w:lang w:val="en-GB"/>
              </w:rPr>
            </w:pPr>
            <w:r w:rsidRPr="00DC08DD">
              <w:rPr>
                <w:rFonts w:ascii="Times New Roman" w:hAnsi="Times New Roman"/>
                <w:b/>
                <w:lang w:val="en-GB"/>
              </w:rPr>
              <w:t>Polska</w:t>
            </w:r>
          </w:p>
          <w:p w14:paraId="2B35CB94" w14:textId="77777777" w:rsidR="00A26B73" w:rsidRPr="00DC08DD" w:rsidRDefault="00A26B73" w:rsidP="00A26B73">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49CFC82E" w14:textId="77777777" w:rsidR="00A26B73" w:rsidRPr="00DC08DD" w:rsidRDefault="00A26B73" w:rsidP="00A26B73">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433F5744" w14:textId="77777777" w:rsidR="00A26B73" w:rsidRPr="00DC08DD" w:rsidRDefault="00A26B73" w:rsidP="00A26B73">
            <w:pPr>
              <w:pStyle w:val="KeinLeerraum"/>
              <w:rPr>
                <w:rFonts w:ascii="Times New Roman" w:hAnsi="Times New Roman"/>
                <w:lang w:val="en-GB"/>
              </w:rPr>
            </w:pPr>
          </w:p>
        </w:tc>
      </w:tr>
      <w:tr w:rsidR="00A26B73" w:rsidRPr="00DC08DD" w14:paraId="21C33889" w14:textId="77777777" w:rsidTr="00A26B73">
        <w:trPr>
          <w:cantSplit/>
        </w:trPr>
        <w:tc>
          <w:tcPr>
            <w:tcW w:w="4678" w:type="dxa"/>
            <w:gridSpan w:val="2"/>
          </w:tcPr>
          <w:p w14:paraId="5568C8E2"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France</w:t>
            </w:r>
          </w:p>
          <w:p w14:paraId="2FEF7B1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11510369" w14:textId="77777777" w:rsidR="00A26B73" w:rsidRDefault="00A26B73" w:rsidP="00A26B73">
            <w:pPr>
              <w:pStyle w:val="KeinLeerraum"/>
              <w:rPr>
                <w:rFonts w:ascii="Times New Roman" w:hAnsi="Times New Roman"/>
                <w:lang w:val="fr-FR"/>
              </w:rPr>
            </w:pPr>
            <w:r w:rsidRPr="00DC08DD">
              <w:rPr>
                <w:rFonts w:ascii="Times New Roman" w:hAnsi="Times New Roman"/>
                <w:lang w:val="fr-FR"/>
              </w:rPr>
              <w:t>Islande</w:t>
            </w:r>
          </w:p>
          <w:p w14:paraId="6BFC8A84"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525ACCB5" w14:textId="77777777" w:rsidR="00A26B73" w:rsidRPr="00DC08DD" w:rsidRDefault="00A26B73" w:rsidP="00A26B73">
            <w:pPr>
              <w:pStyle w:val="KeinLeerraum"/>
              <w:rPr>
                <w:rFonts w:ascii="Times New Roman" w:hAnsi="Times New Roman"/>
                <w:b/>
                <w:lang w:val="en-GB"/>
              </w:rPr>
            </w:pPr>
          </w:p>
        </w:tc>
        <w:tc>
          <w:tcPr>
            <w:tcW w:w="4678" w:type="dxa"/>
          </w:tcPr>
          <w:p w14:paraId="006C252F"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Portugal</w:t>
            </w:r>
          </w:p>
          <w:p w14:paraId="4FDB1EFD"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2440C27B" w14:textId="77777777" w:rsidR="00A26B73" w:rsidRDefault="00A26B73" w:rsidP="00A26B73">
            <w:pPr>
              <w:pStyle w:val="KeinLeerraum"/>
              <w:rPr>
                <w:rFonts w:ascii="Times New Roman" w:hAnsi="Times New Roman"/>
                <w:lang w:val="es-ES"/>
              </w:rPr>
            </w:pPr>
            <w:r w:rsidRPr="00DC08DD">
              <w:rPr>
                <w:rFonts w:ascii="Times New Roman" w:hAnsi="Times New Roman"/>
                <w:lang w:val="es-ES"/>
              </w:rPr>
              <w:t>Islândia</w:t>
            </w:r>
          </w:p>
          <w:p w14:paraId="63719D35"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rPr>
              <w:t>Tel: +354 5503300</w:t>
            </w:r>
          </w:p>
          <w:p w14:paraId="18A8E0C2" w14:textId="77777777" w:rsidR="00A26B73" w:rsidRPr="00DC08DD" w:rsidRDefault="00A26B73" w:rsidP="00A26B73">
            <w:pPr>
              <w:pStyle w:val="KeinLeerraum"/>
              <w:rPr>
                <w:rFonts w:ascii="Times New Roman" w:hAnsi="Times New Roman"/>
                <w:lang w:val="en-GB"/>
              </w:rPr>
            </w:pPr>
          </w:p>
        </w:tc>
      </w:tr>
      <w:tr w:rsidR="00A26B73" w:rsidRPr="00DC08DD" w14:paraId="325AD2B8" w14:textId="77777777" w:rsidTr="00A26B73">
        <w:trPr>
          <w:cantSplit/>
        </w:trPr>
        <w:tc>
          <w:tcPr>
            <w:tcW w:w="4678" w:type="dxa"/>
            <w:gridSpan w:val="2"/>
          </w:tcPr>
          <w:p w14:paraId="595CB33D"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54551256"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5EAD4BA6" w14:textId="77777777" w:rsidR="00A26B73" w:rsidRPr="00DC08DD" w:rsidRDefault="00A26B73" w:rsidP="00A26B73">
            <w:pPr>
              <w:pStyle w:val="KeinLeerraum"/>
              <w:rPr>
                <w:rFonts w:ascii="Times New Roman" w:hAnsi="Times New Roman"/>
              </w:rPr>
            </w:pPr>
            <w:r w:rsidRPr="00DC08DD">
              <w:rPr>
                <w:rFonts w:ascii="Times New Roman" w:hAnsi="Times New Roman"/>
              </w:rPr>
              <w:t>Tel: +385 13720000</w:t>
            </w:r>
          </w:p>
          <w:p w14:paraId="393C1A6A" w14:textId="77777777" w:rsidR="00A26B73" w:rsidRPr="00DC08DD" w:rsidRDefault="00A26B73" w:rsidP="00A26B73">
            <w:pPr>
              <w:pStyle w:val="KeinLeerraum"/>
              <w:rPr>
                <w:rFonts w:ascii="Times New Roman" w:hAnsi="Times New Roman"/>
                <w:lang w:val="en-GB"/>
              </w:rPr>
            </w:pPr>
          </w:p>
        </w:tc>
        <w:tc>
          <w:tcPr>
            <w:tcW w:w="4678" w:type="dxa"/>
          </w:tcPr>
          <w:p w14:paraId="51CE18B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România</w:t>
            </w:r>
          </w:p>
          <w:p w14:paraId="6A962360" w14:textId="77777777" w:rsidR="00A26B73" w:rsidRPr="00DC08DD" w:rsidRDefault="00A26B73" w:rsidP="00A26B73">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1CD81B5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299E20BE" w14:textId="77777777" w:rsidR="00A26B73" w:rsidRPr="00DC08DD" w:rsidRDefault="00A26B73" w:rsidP="00A26B73">
            <w:pPr>
              <w:pStyle w:val="KeinLeerraum"/>
              <w:rPr>
                <w:rFonts w:ascii="Times New Roman" w:hAnsi="Times New Roman"/>
                <w:lang w:val="en-GB"/>
              </w:rPr>
            </w:pPr>
          </w:p>
        </w:tc>
      </w:tr>
      <w:tr w:rsidR="00A26B73" w:rsidRPr="00DC08DD" w14:paraId="77A391A3" w14:textId="77777777" w:rsidTr="00A26B73">
        <w:trPr>
          <w:cantSplit/>
        </w:trPr>
        <w:tc>
          <w:tcPr>
            <w:tcW w:w="4678" w:type="dxa"/>
            <w:gridSpan w:val="2"/>
          </w:tcPr>
          <w:p w14:paraId="6152B170"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Ireland</w:t>
            </w:r>
          </w:p>
          <w:p w14:paraId="3C6DF24D" w14:textId="77777777" w:rsidR="00A26B73" w:rsidRPr="009A42FE" w:rsidRDefault="00A26B73" w:rsidP="00A26B73">
            <w:pPr>
              <w:pStyle w:val="KeinLeerraum"/>
              <w:rPr>
                <w:rFonts w:ascii="Times New Roman" w:hAnsi="Times New Roman"/>
                <w:lang w:val="en-GB"/>
              </w:rPr>
            </w:pPr>
            <w:r w:rsidRPr="009A42FE">
              <w:rPr>
                <w:rFonts w:ascii="Times New Roman" w:hAnsi="Times New Roman"/>
                <w:lang w:val="en-GB"/>
              </w:rPr>
              <w:t>Teva Pharmaceuticals Ireland</w:t>
            </w:r>
          </w:p>
          <w:p w14:paraId="60F53AEE" w14:textId="20722E75" w:rsidR="00A26B73" w:rsidRDefault="00A26B73" w:rsidP="00A26B73">
            <w:pPr>
              <w:pStyle w:val="KeinLeerraum"/>
              <w:rPr>
                <w:rFonts w:ascii="Times New Roman" w:hAnsi="Times New Roman"/>
                <w:lang w:val="en-GB"/>
              </w:rPr>
            </w:pPr>
            <w:r>
              <w:rPr>
                <w:rFonts w:ascii="Times New Roman" w:hAnsi="Times New Roman"/>
                <w:lang w:val="en-GB"/>
              </w:rPr>
              <w:t>Tel: +353 19127700</w:t>
            </w:r>
          </w:p>
          <w:p w14:paraId="3AE296D3" w14:textId="77777777" w:rsidR="00A26B73" w:rsidRPr="00DC08DD" w:rsidRDefault="00A26B73" w:rsidP="00A26B73">
            <w:pPr>
              <w:pStyle w:val="KeinLeerraum"/>
              <w:rPr>
                <w:rFonts w:ascii="Times New Roman" w:hAnsi="Times New Roman"/>
                <w:lang w:val="en-GB"/>
              </w:rPr>
            </w:pPr>
          </w:p>
        </w:tc>
        <w:tc>
          <w:tcPr>
            <w:tcW w:w="4678" w:type="dxa"/>
          </w:tcPr>
          <w:p w14:paraId="21C0F8BE"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Slovenija</w:t>
            </w:r>
          </w:p>
          <w:p w14:paraId="03134D9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Pliva Ljubljana d.o.o.</w:t>
            </w:r>
          </w:p>
          <w:p w14:paraId="16938487"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+386 15890390</w:t>
            </w:r>
          </w:p>
          <w:p w14:paraId="344FE226" w14:textId="77777777" w:rsidR="00A26B73" w:rsidRPr="00DC08DD" w:rsidRDefault="00A26B73" w:rsidP="00A26B73">
            <w:pPr>
              <w:pStyle w:val="KeinLeerraum"/>
              <w:rPr>
                <w:rFonts w:ascii="Times New Roman" w:hAnsi="Times New Roman"/>
                <w:b/>
                <w:lang w:val="en-GB"/>
              </w:rPr>
            </w:pPr>
          </w:p>
        </w:tc>
      </w:tr>
      <w:tr w:rsidR="00A26B73" w:rsidRPr="00DC08DD" w14:paraId="3F08983B" w14:textId="77777777" w:rsidTr="00A26B73">
        <w:trPr>
          <w:cantSplit/>
        </w:trPr>
        <w:tc>
          <w:tcPr>
            <w:tcW w:w="4678" w:type="dxa"/>
            <w:gridSpan w:val="2"/>
          </w:tcPr>
          <w:p w14:paraId="5916FF24"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Ísland</w:t>
            </w:r>
          </w:p>
          <w:p w14:paraId="6246FBB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5832998E"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Sími: +354 5503300</w:t>
            </w:r>
          </w:p>
          <w:p w14:paraId="2839B7C7" w14:textId="77777777" w:rsidR="00A26B73" w:rsidRPr="00DC08DD" w:rsidRDefault="00A26B73" w:rsidP="00A26B73">
            <w:pPr>
              <w:pStyle w:val="KeinLeerraum"/>
              <w:rPr>
                <w:rFonts w:ascii="Times New Roman" w:hAnsi="Times New Roman"/>
                <w:b/>
                <w:lang w:val="en-GB"/>
              </w:rPr>
            </w:pPr>
          </w:p>
        </w:tc>
        <w:tc>
          <w:tcPr>
            <w:tcW w:w="4678" w:type="dxa"/>
          </w:tcPr>
          <w:p w14:paraId="494C02F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Slovenská republika</w:t>
            </w:r>
          </w:p>
          <w:p w14:paraId="0419B37E"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6907976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3473D54" w14:textId="77777777" w:rsidR="00A26B73" w:rsidRPr="00DC08DD" w:rsidRDefault="00A26B73" w:rsidP="00A26B73">
            <w:pPr>
              <w:pStyle w:val="KeinLeerraum"/>
              <w:rPr>
                <w:rFonts w:ascii="Times New Roman" w:hAnsi="Times New Roman"/>
                <w:lang w:val="en-GB"/>
              </w:rPr>
            </w:pPr>
          </w:p>
        </w:tc>
      </w:tr>
      <w:tr w:rsidR="00A26B73" w:rsidRPr="00DC08DD" w14:paraId="2FC15B12" w14:textId="77777777" w:rsidTr="00A26B73">
        <w:trPr>
          <w:cantSplit/>
        </w:trPr>
        <w:tc>
          <w:tcPr>
            <w:tcW w:w="4678" w:type="dxa"/>
            <w:gridSpan w:val="2"/>
          </w:tcPr>
          <w:p w14:paraId="47C4EBAC"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Italia</w:t>
            </w:r>
          </w:p>
          <w:p w14:paraId="6891EFF6"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41AF9F56" w14:textId="77777777" w:rsidR="00A26B73" w:rsidRDefault="00A26B73" w:rsidP="00A26B73">
            <w:pPr>
              <w:pStyle w:val="KeinLeerraum"/>
              <w:rPr>
                <w:rFonts w:ascii="Times New Roman" w:hAnsi="Times New Roman"/>
                <w:lang w:val="da-DK"/>
              </w:rPr>
            </w:pPr>
            <w:r w:rsidRPr="00DC08DD">
              <w:rPr>
                <w:rFonts w:ascii="Times New Roman" w:hAnsi="Times New Roman"/>
                <w:lang w:val="da-DK"/>
              </w:rPr>
              <w:t>Islanda</w:t>
            </w:r>
          </w:p>
          <w:p w14:paraId="09808076" w14:textId="77777777" w:rsidR="00A26B73" w:rsidRPr="001B0C82" w:rsidRDefault="00A26B73" w:rsidP="00A26B73">
            <w:pPr>
              <w:pStyle w:val="KeinLeerraum"/>
              <w:rPr>
                <w:rFonts w:ascii="Times New Roman" w:hAnsi="Times New Roman"/>
                <w:lang w:val="en-US"/>
              </w:rPr>
            </w:pPr>
            <w:r w:rsidRPr="00B85F24">
              <w:rPr>
                <w:rFonts w:ascii="Times New Roman" w:hAnsi="Times New Roman"/>
                <w:noProof/>
              </w:rPr>
              <w:t>Tel: +354 5503300</w:t>
            </w:r>
          </w:p>
          <w:p w14:paraId="21CCD6A8" w14:textId="77777777" w:rsidR="00A26B73" w:rsidRPr="00DC08DD" w:rsidRDefault="00A26B73" w:rsidP="00A26B73">
            <w:pPr>
              <w:pStyle w:val="KeinLeerraum"/>
              <w:rPr>
                <w:rFonts w:ascii="Times New Roman" w:hAnsi="Times New Roman"/>
                <w:b/>
                <w:lang w:val="en-GB"/>
              </w:rPr>
            </w:pPr>
          </w:p>
        </w:tc>
        <w:tc>
          <w:tcPr>
            <w:tcW w:w="4678" w:type="dxa"/>
          </w:tcPr>
          <w:p w14:paraId="4A53AFD1"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Suomi/Finland</w:t>
            </w:r>
          </w:p>
          <w:p w14:paraId="078CB507" w14:textId="576CF307" w:rsidR="00A26B73" w:rsidRPr="00A26B73" w:rsidRDefault="00A26B73" w:rsidP="00A26B73">
            <w:pPr>
              <w:pStyle w:val="KeinLeerraum"/>
              <w:rPr>
                <w:rFonts w:ascii="Times New Roman" w:hAnsi="Times New Roman"/>
                <w:lang w:val="sv-SE"/>
              </w:rPr>
            </w:pPr>
            <w:r w:rsidRPr="00A26B73">
              <w:rPr>
                <w:rFonts w:ascii="Times New Roman" w:hAnsi="Times New Roman"/>
                <w:lang w:val="sv-SE"/>
              </w:rPr>
              <w:t>Teva Finland Oy</w:t>
            </w:r>
          </w:p>
          <w:p w14:paraId="3C0987B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A26B73">
              <w:rPr>
                <w:rFonts w:ascii="Times New Roman" w:hAnsi="Times New Roman"/>
                <w:lang w:val="sv-SE"/>
              </w:rPr>
              <w:t>201805900</w:t>
            </w:r>
          </w:p>
          <w:p w14:paraId="54A742FA" w14:textId="77777777" w:rsidR="00A26B73" w:rsidRPr="00DC08DD" w:rsidRDefault="00A26B73" w:rsidP="00A26B73">
            <w:pPr>
              <w:pStyle w:val="KeinLeerraum"/>
              <w:rPr>
                <w:rFonts w:ascii="Times New Roman" w:hAnsi="Times New Roman"/>
                <w:b/>
                <w:lang w:val="en-GB"/>
              </w:rPr>
            </w:pPr>
          </w:p>
        </w:tc>
      </w:tr>
      <w:tr w:rsidR="00A26B73" w:rsidRPr="00DC08DD" w14:paraId="190E7980" w14:textId="77777777" w:rsidTr="00A26B73">
        <w:trPr>
          <w:cantSplit/>
        </w:trPr>
        <w:tc>
          <w:tcPr>
            <w:tcW w:w="4678" w:type="dxa"/>
            <w:gridSpan w:val="2"/>
          </w:tcPr>
          <w:p w14:paraId="27CF8ABF" w14:textId="77777777" w:rsidR="00A26B73" w:rsidRPr="00F81B0C" w:rsidRDefault="00A26B73" w:rsidP="00A26B73">
            <w:pPr>
              <w:pStyle w:val="KeinLeerraum"/>
              <w:rPr>
                <w:rFonts w:ascii="Times New Roman" w:hAnsi="Times New Roman"/>
                <w:b/>
              </w:rPr>
            </w:pPr>
            <w:r w:rsidRPr="00DC08DD">
              <w:rPr>
                <w:rFonts w:ascii="Times New Roman" w:hAnsi="Times New Roman"/>
                <w:b/>
                <w:lang w:val="en-GB"/>
              </w:rPr>
              <w:t>Κύπρος</w:t>
            </w:r>
          </w:p>
          <w:p w14:paraId="600A869E" w14:textId="77777777" w:rsidR="00A26B73" w:rsidRPr="00F81B0C" w:rsidRDefault="00A26B73" w:rsidP="00A26B73">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0EDB554F" w14:textId="77777777" w:rsidR="00A26B73" w:rsidRPr="00F81B0C" w:rsidRDefault="00A26B73" w:rsidP="00A26B73">
            <w:pPr>
              <w:pStyle w:val="KeinLeerraum"/>
              <w:rPr>
                <w:rFonts w:ascii="Times New Roman" w:hAnsi="Times New Roman"/>
              </w:rPr>
            </w:pPr>
            <w:r w:rsidRPr="00DC08DD">
              <w:rPr>
                <w:rFonts w:ascii="Times New Roman" w:hAnsi="Times New Roman"/>
                <w:lang w:val="el-GR"/>
              </w:rPr>
              <w:t>Ελλάδα</w:t>
            </w:r>
          </w:p>
          <w:p w14:paraId="0F647F7C" w14:textId="09B43A0C" w:rsidR="00A26B73" w:rsidRPr="00F81B0C" w:rsidRDefault="00A26B73" w:rsidP="00A26B73">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D7B6BFA" w14:textId="77777777" w:rsidR="00A26B73" w:rsidRPr="00F81B0C" w:rsidRDefault="00A26B73" w:rsidP="00A26B73">
            <w:pPr>
              <w:pStyle w:val="KeinLeerraum"/>
              <w:rPr>
                <w:rFonts w:ascii="Times New Roman" w:hAnsi="Times New Roman"/>
              </w:rPr>
            </w:pPr>
          </w:p>
        </w:tc>
        <w:tc>
          <w:tcPr>
            <w:tcW w:w="4678" w:type="dxa"/>
          </w:tcPr>
          <w:p w14:paraId="22EA0494" w14:textId="77777777" w:rsidR="00A26B73" w:rsidRPr="0056362A" w:rsidRDefault="00A26B73" w:rsidP="00A26B73">
            <w:pPr>
              <w:pStyle w:val="KeinLeerraum"/>
              <w:rPr>
                <w:rFonts w:ascii="Times New Roman" w:hAnsi="Times New Roman"/>
                <w:b/>
                <w:lang w:val="de-DE"/>
              </w:rPr>
            </w:pPr>
            <w:r w:rsidRPr="0056362A">
              <w:rPr>
                <w:rFonts w:ascii="Times New Roman" w:hAnsi="Times New Roman"/>
                <w:b/>
                <w:lang w:val="de-DE"/>
              </w:rPr>
              <w:t>Sverige</w:t>
            </w:r>
          </w:p>
          <w:p w14:paraId="06BE626F"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Teva Sweden AB</w:t>
            </w:r>
          </w:p>
          <w:p w14:paraId="50D2E66F"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Tel: +46 42121100</w:t>
            </w:r>
          </w:p>
          <w:p w14:paraId="45DF0D4F" w14:textId="77777777" w:rsidR="00A26B73" w:rsidRPr="0056362A" w:rsidRDefault="00A26B73" w:rsidP="00A26B73">
            <w:pPr>
              <w:pStyle w:val="KeinLeerraum"/>
              <w:rPr>
                <w:rFonts w:ascii="Times New Roman" w:hAnsi="Times New Roman"/>
                <w:lang w:val="de-DE"/>
              </w:rPr>
            </w:pPr>
          </w:p>
        </w:tc>
      </w:tr>
      <w:tr w:rsidR="00A26B73" w:rsidRPr="00DC08DD" w14:paraId="3920EE52" w14:textId="77777777" w:rsidTr="00A26B73">
        <w:trPr>
          <w:cantSplit/>
        </w:trPr>
        <w:tc>
          <w:tcPr>
            <w:tcW w:w="4678" w:type="dxa"/>
            <w:gridSpan w:val="2"/>
          </w:tcPr>
          <w:p w14:paraId="5B57E942" w14:textId="77777777" w:rsidR="00A26B73" w:rsidRPr="00DC08DD" w:rsidRDefault="00A26B73" w:rsidP="00A26B73">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569C66F0" w14:textId="6223A46A" w:rsidR="00A26B73" w:rsidRPr="00A26B73" w:rsidRDefault="00A26B73" w:rsidP="00A26B73">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4925D67C" w14:textId="77777777" w:rsidR="00A26B73" w:rsidRPr="00DC08DD" w:rsidRDefault="00A26B73" w:rsidP="00A26B73">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BA22FF5" w14:textId="77777777" w:rsidR="00A26B73" w:rsidRPr="00DC08DD" w:rsidRDefault="00A26B73" w:rsidP="00A26B73">
            <w:pPr>
              <w:pStyle w:val="KeinLeerraum"/>
              <w:rPr>
                <w:rFonts w:ascii="Times New Roman" w:hAnsi="Times New Roman"/>
                <w:lang w:val="en-GB"/>
              </w:rPr>
            </w:pPr>
          </w:p>
        </w:tc>
        <w:tc>
          <w:tcPr>
            <w:tcW w:w="4678" w:type="dxa"/>
          </w:tcPr>
          <w:p w14:paraId="2816ACD6"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United Kingdom</w:t>
            </w:r>
          </w:p>
          <w:p w14:paraId="08F157A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UK Limited</w:t>
            </w:r>
          </w:p>
          <w:p w14:paraId="2DBB4C59" w14:textId="77777777" w:rsidR="00A26B73" w:rsidRPr="00DC08DD" w:rsidRDefault="00A26B73" w:rsidP="00A26B73">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056CC728" w14:textId="77777777" w:rsidR="00A26B73" w:rsidRPr="00DC08DD" w:rsidRDefault="00A26B73" w:rsidP="00A26B73">
            <w:pPr>
              <w:pStyle w:val="KeinLeerraum"/>
              <w:rPr>
                <w:rFonts w:ascii="Times New Roman" w:hAnsi="Times New Roman"/>
                <w:lang w:val="en-GB"/>
              </w:rPr>
            </w:pPr>
          </w:p>
        </w:tc>
      </w:tr>
    </w:tbl>
    <w:p w14:paraId="3F63A0BF" w14:textId="77777777" w:rsidR="00A26B73" w:rsidRPr="000F398A" w:rsidRDefault="00A26B73" w:rsidP="00A26B73">
      <w:pPr>
        <w:autoSpaceDE w:val="0"/>
        <w:autoSpaceDN w:val="0"/>
        <w:adjustRightInd w:val="0"/>
        <w:spacing w:after="0" w:line="240" w:lineRule="auto"/>
        <w:rPr>
          <w:rFonts w:ascii="Times New Roman" w:hAnsi="Times New Roman"/>
        </w:rPr>
      </w:pPr>
    </w:p>
    <w:p w14:paraId="6E0D63F4" w14:textId="77777777" w:rsidR="00847287" w:rsidRPr="00AA499E" w:rsidRDefault="00847287" w:rsidP="00847287">
      <w:pPr>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lastRenderedPageBreak/>
        <w:t>Denne indlægsseddel blev senest ændret &lt;DATO&gt;</w:t>
      </w:r>
    </w:p>
    <w:p w14:paraId="12C06CF2" w14:textId="77777777" w:rsidR="00847287" w:rsidRPr="00AA499E" w:rsidRDefault="00847287" w:rsidP="00847287">
      <w:pPr>
        <w:autoSpaceDE w:val="0"/>
        <w:autoSpaceDN w:val="0"/>
        <w:adjustRightInd w:val="0"/>
        <w:spacing w:after="0" w:line="240" w:lineRule="auto"/>
        <w:contextualSpacing/>
        <w:rPr>
          <w:rFonts w:ascii="Times New Roman" w:hAnsi="Times New Roman"/>
          <w:lang w:val="da-DK"/>
        </w:rPr>
      </w:pPr>
    </w:p>
    <w:p w14:paraId="7B204991" w14:textId="77777777" w:rsidR="00847287" w:rsidRPr="00AA499E" w:rsidRDefault="00847287" w:rsidP="00847287">
      <w:pPr>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t>Andre informationskilder</w:t>
      </w:r>
    </w:p>
    <w:p w14:paraId="20B32EB9" w14:textId="77777777" w:rsidR="00847287" w:rsidRPr="00AA499E" w:rsidRDefault="00847287" w:rsidP="00847287">
      <w:pPr>
        <w:autoSpaceDE w:val="0"/>
        <w:autoSpaceDN w:val="0"/>
        <w:adjustRightInd w:val="0"/>
        <w:spacing w:after="0" w:line="240" w:lineRule="auto"/>
        <w:contextualSpacing/>
        <w:rPr>
          <w:rFonts w:ascii="Times New Roman" w:hAnsi="Times New Roman"/>
          <w:lang w:val="da-DK"/>
        </w:rPr>
      </w:pPr>
    </w:p>
    <w:p w14:paraId="15142A2E" w14:textId="77777777" w:rsidR="00847287" w:rsidRPr="00AA499E" w:rsidRDefault="00847287" w:rsidP="00847287">
      <w:pPr>
        <w:autoSpaceDE w:val="0"/>
        <w:autoSpaceDN w:val="0"/>
        <w:adjustRightInd w:val="0"/>
        <w:spacing w:after="0" w:line="240" w:lineRule="auto"/>
        <w:contextualSpacing/>
        <w:rPr>
          <w:rFonts w:ascii="Times New Roman" w:hAnsi="Times New Roman"/>
          <w:lang w:val="da-DK"/>
        </w:rPr>
      </w:pPr>
      <w:r w:rsidRPr="00AA499E">
        <w:rPr>
          <w:rFonts w:ascii="Times New Roman" w:hAnsi="Times New Roman"/>
          <w:lang w:val="da-DK"/>
        </w:rPr>
        <w:t>Du kan finde yderligere oplysninger om dette lægemiddel på Det Europæiske Lægemiddelagenturs hjemmeside:</w:t>
      </w:r>
    </w:p>
    <w:p w14:paraId="41A2D850" w14:textId="77777777" w:rsidR="00847287" w:rsidRPr="00AA499E" w:rsidRDefault="008F3048" w:rsidP="00847287">
      <w:pPr>
        <w:autoSpaceDE w:val="0"/>
        <w:autoSpaceDN w:val="0"/>
        <w:adjustRightInd w:val="0"/>
        <w:spacing w:after="0" w:line="240" w:lineRule="auto"/>
        <w:contextualSpacing/>
        <w:rPr>
          <w:rFonts w:ascii="Times New Roman" w:hAnsi="Times New Roman"/>
          <w:lang w:val="da-DK"/>
        </w:rPr>
      </w:pPr>
      <w:hyperlink r:id="rId19" w:history="1">
        <w:r w:rsidR="00847287" w:rsidRPr="00AA499E">
          <w:rPr>
            <w:rStyle w:val="Hyperlink"/>
            <w:rFonts w:ascii="Times New Roman" w:hAnsi="Times New Roman"/>
            <w:lang w:val="da-DK"/>
          </w:rPr>
          <w:t>http://www.ema.europa.eu</w:t>
        </w:r>
      </w:hyperlink>
    </w:p>
    <w:p w14:paraId="1F515858" w14:textId="77777777" w:rsidR="00847287" w:rsidRPr="00AA499E" w:rsidRDefault="00847287" w:rsidP="00847287">
      <w:pPr>
        <w:autoSpaceDE w:val="0"/>
        <w:autoSpaceDN w:val="0"/>
        <w:adjustRightInd w:val="0"/>
        <w:spacing w:after="0" w:line="240" w:lineRule="auto"/>
        <w:contextualSpacing/>
        <w:rPr>
          <w:rFonts w:ascii="Times New Roman" w:hAnsi="Times New Roman"/>
          <w:lang w:val="da-DK"/>
        </w:rPr>
      </w:pPr>
    </w:p>
    <w:p w14:paraId="0EB6F54C" w14:textId="77777777" w:rsidR="009D4FEF" w:rsidRPr="00AA499E" w:rsidRDefault="00616F3C" w:rsidP="009D4FEF">
      <w:pPr>
        <w:spacing w:before="80" w:after="0" w:line="240" w:lineRule="auto"/>
        <w:ind w:left="2684" w:right="2646"/>
        <w:jc w:val="center"/>
        <w:rPr>
          <w:rFonts w:ascii="Times New Roman" w:eastAsia="Times New Roman" w:hAnsi="Times New Roman"/>
          <w:lang w:val="da-DK"/>
        </w:rPr>
      </w:pPr>
      <w:r w:rsidRPr="00AA499E">
        <w:rPr>
          <w:rFonts w:ascii="Times New Roman" w:hAnsi="Times New Roman"/>
          <w:lang w:val="da-DK"/>
        </w:rPr>
        <w:br w:type="page"/>
      </w:r>
      <w:r w:rsidR="009D4FEF" w:rsidRPr="00AA499E">
        <w:rPr>
          <w:rFonts w:ascii="Times New Roman" w:eastAsia="Times New Roman" w:hAnsi="Times New Roman"/>
          <w:b/>
          <w:bCs/>
          <w:lang w:val="da-DK"/>
        </w:rPr>
        <w:lastRenderedPageBreak/>
        <w:t>Indlægsseddel: Information til brugeren</w:t>
      </w:r>
    </w:p>
    <w:p w14:paraId="1BED2979" w14:textId="77777777" w:rsidR="009D4FEF" w:rsidRPr="00AA499E" w:rsidRDefault="009D4FEF" w:rsidP="009D4FEF">
      <w:pPr>
        <w:autoSpaceDE w:val="0"/>
        <w:autoSpaceDN w:val="0"/>
        <w:adjustRightInd w:val="0"/>
        <w:spacing w:after="0" w:line="240" w:lineRule="auto"/>
        <w:jc w:val="center"/>
        <w:rPr>
          <w:rFonts w:ascii="Times New Roman" w:hAnsi="Times New Roman"/>
          <w:lang w:val="da-DK"/>
        </w:rPr>
      </w:pPr>
    </w:p>
    <w:p w14:paraId="745CB7A8" w14:textId="77777777" w:rsidR="009D4FEF" w:rsidRPr="00AA499E" w:rsidRDefault="009D4FEF" w:rsidP="009D4FEF">
      <w:pPr>
        <w:widowControl w:val="0"/>
        <w:tabs>
          <w:tab w:val="left" w:pos="9356"/>
        </w:tabs>
        <w:autoSpaceDE w:val="0"/>
        <w:autoSpaceDN w:val="0"/>
        <w:adjustRightInd w:val="0"/>
        <w:spacing w:after="0" w:line="240" w:lineRule="auto"/>
        <w:ind w:right="50"/>
        <w:jc w:val="center"/>
        <w:rPr>
          <w:rFonts w:ascii="Times New Roman" w:hAnsi="Times New Roman"/>
          <w:lang w:val="da-DK"/>
        </w:rPr>
      </w:pPr>
      <w:r w:rsidRPr="00AA499E">
        <w:rPr>
          <w:rFonts w:ascii="Times New Roman" w:hAnsi="Times New Roman"/>
          <w:b/>
          <w:bCs/>
          <w:lang w:val="da-DK"/>
        </w:rPr>
        <w:t>Imatinib Actavis 400 mg hårde kapsler</w:t>
      </w:r>
    </w:p>
    <w:p w14:paraId="23FEAAC8" w14:textId="77777777" w:rsidR="009D4FEF" w:rsidRPr="00AA499E" w:rsidRDefault="00C0422F" w:rsidP="009D4FEF">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i</w:t>
      </w:r>
      <w:r w:rsidR="009D4FEF" w:rsidRPr="00AA499E">
        <w:rPr>
          <w:rFonts w:ascii="Times New Roman" w:hAnsi="Times New Roman"/>
          <w:lang w:val="da-DK"/>
        </w:rPr>
        <w:t>matinib</w:t>
      </w:r>
    </w:p>
    <w:p w14:paraId="7BEA9325"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11BE022"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572758E"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Læs denne indlægsseddel grundigt, inden du begynder at tage dette lægemiddel, </w:t>
      </w:r>
      <w:r w:rsidRPr="00AA499E">
        <w:rPr>
          <w:rFonts w:ascii="Times New Roman" w:hAnsi="Times New Roman"/>
          <w:lang w:val="da-DK"/>
        </w:rPr>
        <w:t xml:space="preserve"> </w:t>
      </w:r>
      <w:r w:rsidRPr="00AA499E">
        <w:rPr>
          <w:rFonts w:ascii="Times New Roman" w:hAnsi="Times New Roman"/>
          <w:b/>
          <w:bCs/>
          <w:lang w:val="da-DK"/>
        </w:rPr>
        <w:t>da den indeholder vigtige oplysninger.</w:t>
      </w:r>
    </w:p>
    <w:p w14:paraId="2314B682"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Gem indlægssedlen. Du kan få brug for at læse den igen.</w:t>
      </w:r>
    </w:p>
    <w:p w14:paraId="6CAA5E9C" w14:textId="0C677058"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Spørg lægen, apotekspersonalet </w:t>
      </w:r>
      <w:r w:rsidR="006B0B7E" w:rsidRPr="00AA499E">
        <w:rPr>
          <w:rFonts w:ascii="Times New Roman" w:hAnsi="Times New Roman"/>
          <w:lang w:val="da-DK"/>
        </w:rPr>
        <w:t>eller sygeplejersken</w:t>
      </w:r>
      <w:r w:rsidRPr="00AA499E">
        <w:rPr>
          <w:rFonts w:ascii="Times New Roman" w:hAnsi="Times New Roman"/>
          <w:lang w:val="da-DK"/>
        </w:rPr>
        <w:t>, hvis der er mere, du vil vide.</w:t>
      </w:r>
    </w:p>
    <w:p w14:paraId="5EFC6827"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Lægen har ordineret lægemidlet til dig personligt. Lad derfor være med at give </w:t>
      </w:r>
      <w:r w:rsidR="00406109" w:rsidRPr="00AA499E">
        <w:rPr>
          <w:rFonts w:ascii="Times New Roman" w:hAnsi="Times New Roman"/>
          <w:lang w:val="da-DK"/>
        </w:rPr>
        <w:t xml:space="preserve">medicinen </w:t>
      </w:r>
      <w:r w:rsidRPr="00AA499E">
        <w:rPr>
          <w:rFonts w:ascii="Times New Roman" w:hAnsi="Times New Roman"/>
          <w:lang w:val="da-DK"/>
        </w:rPr>
        <w:t>til andre. Det kan være skadeligt for andre, selvom de har de samme symptomer, som du har.</w:t>
      </w:r>
    </w:p>
    <w:p w14:paraId="14348626" w14:textId="309C1BEC"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Tal med lægen, apotekspersonalet </w:t>
      </w:r>
      <w:r w:rsidR="006B0B7E" w:rsidRPr="00AA499E">
        <w:rPr>
          <w:rFonts w:ascii="Times New Roman" w:hAnsi="Times New Roman"/>
          <w:lang w:val="da-DK"/>
        </w:rPr>
        <w:t>eller sygeplejersken</w:t>
      </w:r>
      <w:r w:rsidRPr="00AA499E">
        <w:rPr>
          <w:rFonts w:ascii="Times New Roman" w:hAnsi="Times New Roman"/>
          <w:lang w:val="da-DK"/>
        </w:rPr>
        <w:t>, hvis du får bivirkninger</w:t>
      </w:r>
      <w:r w:rsidR="00406109" w:rsidRPr="00AA499E">
        <w:rPr>
          <w:rFonts w:ascii="Times New Roman" w:hAnsi="Times New Roman"/>
          <w:lang w:val="da-DK"/>
        </w:rPr>
        <w:t>, herunder</w:t>
      </w:r>
      <w:r w:rsidRPr="00AA499E">
        <w:rPr>
          <w:rFonts w:ascii="Times New Roman" w:hAnsi="Times New Roman"/>
          <w:lang w:val="da-DK"/>
        </w:rPr>
        <w:t xml:space="preserve"> bivirkninger, som ikke er nævnt </w:t>
      </w:r>
      <w:r w:rsidR="00DA0778" w:rsidRPr="00AA499E">
        <w:rPr>
          <w:rFonts w:ascii="Times New Roman" w:hAnsi="Times New Roman"/>
          <w:lang w:val="da-DK"/>
        </w:rPr>
        <w:t>i denne indlægsseddel</w:t>
      </w:r>
      <w:r w:rsidRPr="00AA499E">
        <w:rPr>
          <w:rFonts w:ascii="Times New Roman" w:hAnsi="Times New Roman"/>
          <w:lang w:val="da-DK"/>
        </w:rPr>
        <w:t>. Se afsnit 4.</w:t>
      </w:r>
    </w:p>
    <w:p w14:paraId="3E0B1B73" w14:textId="77777777" w:rsidR="00406109" w:rsidRPr="00AA499E" w:rsidRDefault="00406109" w:rsidP="00406109">
      <w:pPr>
        <w:autoSpaceDE w:val="0"/>
        <w:autoSpaceDN w:val="0"/>
        <w:adjustRightInd w:val="0"/>
        <w:spacing w:after="0" w:line="240" w:lineRule="auto"/>
        <w:rPr>
          <w:rFonts w:ascii="Times New Roman" w:hAnsi="Times New Roman"/>
          <w:lang w:val="da-DK"/>
        </w:rPr>
      </w:pPr>
    </w:p>
    <w:p w14:paraId="4B28D4BB" w14:textId="77777777" w:rsidR="00406109" w:rsidRPr="00AA499E" w:rsidRDefault="00406109" w:rsidP="0040610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 den nyeste indlægsseddel på www.indlaegsseddel.dk.</w:t>
      </w:r>
    </w:p>
    <w:p w14:paraId="7875EE7C"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F4B021B"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Oversigt over indlægssedlen</w:t>
      </w:r>
    </w:p>
    <w:p w14:paraId="5B9CB7C6"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6430B56"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Virkning og anvendelse</w:t>
      </w:r>
    </w:p>
    <w:p w14:paraId="7516A500" w14:textId="77777777" w:rsidR="009D4FEF" w:rsidRPr="00AA499E" w:rsidRDefault="009D4FEF" w:rsidP="009D4FEF">
      <w:pPr>
        <w:tabs>
          <w:tab w:val="left" w:pos="567"/>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Det skal du vide, før du begynder at tage Imatinib Actavis</w:t>
      </w:r>
    </w:p>
    <w:p w14:paraId="00C4EB23"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Sådan skal du tage Imatinib Actavis</w:t>
      </w:r>
    </w:p>
    <w:p w14:paraId="1D7D543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Bivirkninger</w:t>
      </w:r>
    </w:p>
    <w:p w14:paraId="6C13914C"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5.</w:t>
      </w:r>
      <w:r w:rsidRPr="00AA499E">
        <w:rPr>
          <w:rFonts w:ascii="Times New Roman" w:hAnsi="Times New Roman"/>
          <w:lang w:val="da-DK"/>
        </w:rPr>
        <w:tab/>
        <w:t>Opbevaring</w:t>
      </w:r>
    </w:p>
    <w:p w14:paraId="45BA1079"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6.</w:t>
      </w:r>
      <w:r w:rsidRPr="00AA499E">
        <w:rPr>
          <w:rFonts w:ascii="Times New Roman" w:hAnsi="Times New Roman"/>
          <w:lang w:val="da-DK"/>
        </w:rPr>
        <w:tab/>
        <w:t>Pakningsstørrelser og yderligere oplysninger</w:t>
      </w:r>
    </w:p>
    <w:p w14:paraId="0E16DDE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E4CC37D"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1F44597"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Virkning og anvendelse</w:t>
      </w:r>
    </w:p>
    <w:p w14:paraId="131E67A8"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07B5B8C"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er et lægemiddel, der indeholder et aktivt stof kaldet imatinib. Dette lægemiddel virker ved at hæmme væksten af unormale celler ved de sygdomme, der er nævnt nedenfor. Disse omfatter nogle former for kræft.</w:t>
      </w:r>
    </w:p>
    <w:p w14:paraId="6773C739"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FAECCD7" w14:textId="77777777" w:rsidR="00AA6204" w:rsidRPr="00AA499E" w:rsidRDefault="00AA6204" w:rsidP="00AA6204">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bruges til behandling af:</w:t>
      </w:r>
    </w:p>
    <w:p w14:paraId="4FF54CF7"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p>
    <w:p w14:paraId="1096790C" w14:textId="77777777" w:rsidR="009D4FEF" w:rsidRPr="00AA499E" w:rsidRDefault="009D4FEF" w:rsidP="009D4FEF">
      <w:pPr>
        <w:numPr>
          <w:ilvl w:val="0"/>
          <w:numId w:val="7"/>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Kronisk myeloid leukæmi (CML).</w:t>
      </w:r>
      <w:r w:rsidRPr="00AA499E">
        <w:rPr>
          <w:rFonts w:ascii="Times New Roman" w:hAnsi="Times New Roman"/>
          <w:lang w:val="da-DK"/>
        </w:rPr>
        <w:t xml:space="preserve"> Leukæmi er kræft i de hvide blodlegemer. Hvide blodlegemer hjælper som regel kroppen med at bekæmpe infektioner. Kronisk myeloid leukæmi er en type leukæmi, hvor nogle bestemte unormale hvide blodlegemer (der kaldes myeloide celler) vokser ukontrolleret.</w:t>
      </w:r>
    </w:p>
    <w:p w14:paraId="77AE889D"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DBBE545"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voksne patienter er Imatinib Actavis beregnet til brug i den mest fremskredne fase af sygdommen (blastkrise). Hos børn og teenagere kan Imatinib Actavis bruges i forskellige sygdomsfaser (kronisk, accelereret fase og blastkrise).</w:t>
      </w:r>
    </w:p>
    <w:p w14:paraId="2C577A2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2F72921" w14:textId="77777777" w:rsidR="009D4FEF" w:rsidRPr="00AA499E" w:rsidRDefault="009D4FEF" w:rsidP="009D4FEF">
      <w:pPr>
        <w:numPr>
          <w:ilvl w:val="0"/>
          <w:numId w:val="22"/>
        </w:num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 xml:space="preserve">Philadelphia-kromosom-positiv akut lymfoblastær leukæmi (Ph-positiv ALL). </w:t>
      </w:r>
    </w:p>
    <w:p w14:paraId="4EF1987A" w14:textId="77777777" w:rsidR="009D4FEF" w:rsidRPr="00AA499E" w:rsidRDefault="009D4FEF" w:rsidP="009D4FE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Leukæmi er kræft i de hvide blodlegemer. Hvide blodlegemer hjælper som regel kroppen med at bekæmpe infektioner. Akut lymfoblastær leukæmi er en form af leukæmi, hvor visse abnorme hvide blodlegemer (kaldet lymfoblaster) vokser ukontrolleret. Imatinib Actavis hæmmer væksten af disse celler.</w:t>
      </w:r>
    </w:p>
    <w:p w14:paraId="257350B8" w14:textId="77777777" w:rsidR="00AA6204" w:rsidRPr="00AA499E" w:rsidRDefault="00AA6204" w:rsidP="00AA6204">
      <w:pPr>
        <w:autoSpaceDE w:val="0"/>
        <w:autoSpaceDN w:val="0"/>
        <w:adjustRightInd w:val="0"/>
        <w:spacing w:after="0" w:line="240" w:lineRule="auto"/>
        <w:rPr>
          <w:rFonts w:ascii="Times New Roman" w:hAnsi="Times New Roman"/>
          <w:lang w:val="da-DK"/>
        </w:rPr>
      </w:pPr>
    </w:p>
    <w:p w14:paraId="53EC78DC" w14:textId="77777777" w:rsidR="00AA6204" w:rsidRPr="00AA499E" w:rsidRDefault="00AA6204" w:rsidP="00A32833">
      <w:pPr>
        <w:keepNext/>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lastRenderedPageBreak/>
        <w:t>Imatinib Actavis anvendes også til behandling af voksne med:</w:t>
      </w:r>
    </w:p>
    <w:p w14:paraId="31E57DD8" w14:textId="77777777" w:rsidR="00AA6204" w:rsidRPr="00AA499E" w:rsidRDefault="00AA6204" w:rsidP="00A32833">
      <w:pPr>
        <w:keepNext/>
        <w:autoSpaceDE w:val="0"/>
        <w:autoSpaceDN w:val="0"/>
        <w:adjustRightInd w:val="0"/>
        <w:spacing w:after="0" w:line="240" w:lineRule="auto"/>
        <w:rPr>
          <w:rFonts w:ascii="Times New Roman" w:hAnsi="Times New Roman"/>
          <w:lang w:val="da-DK"/>
        </w:rPr>
      </w:pPr>
    </w:p>
    <w:p w14:paraId="4C198CDA" w14:textId="77777777" w:rsidR="009D4FEF" w:rsidRPr="00AA499E" w:rsidRDefault="009D4FEF" w:rsidP="009D4FEF">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Myelodysplastiske/myeloproliferative sygdomme (MDS/MDP). </w:t>
      </w:r>
      <w:r w:rsidRPr="00AA499E">
        <w:rPr>
          <w:rFonts w:ascii="Times New Roman" w:hAnsi="Times New Roman"/>
          <w:lang w:val="da-DK"/>
        </w:rPr>
        <w:t>Disse er en gruppe af sygdomme i blodet, hvor nogle blodlegemer begynder at vokse ukontrolleret. Imatinib Actavis hæmmer væksten af disse blodlegemer i en vis undergruppe af disse sygdomme.</w:t>
      </w:r>
    </w:p>
    <w:p w14:paraId="0B3D68AE" w14:textId="77777777" w:rsidR="009D4FEF" w:rsidRPr="00AA499E" w:rsidRDefault="009D4FEF" w:rsidP="009D4FEF">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Hypereosinofil syndrom (HES) og/eller kronisk eosinofil leukæmi (CEL). </w:t>
      </w:r>
      <w:r w:rsidRPr="00AA499E">
        <w:rPr>
          <w:rFonts w:ascii="Times New Roman" w:hAnsi="Times New Roman"/>
          <w:lang w:val="da-DK"/>
        </w:rPr>
        <w:t>Disse er sygdomme i blodet, i hvilke visse blodlegemer (kaldet eosinofile celler) begynder at vokse ukontrolleret. Imatinib Actavis hæmmer væksten af disse celler i en vis undergruppe af disse sygdomme.</w:t>
      </w:r>
    </w:p>
    <w:p w14:paraId="4DE59AC0" w14:textId="77777777" w:rsidR="00A32833" w:rsidRPr="00AA499E" w:rsidRDefault="009D4FEF" w:rsidP="009D4FEF">
      <w:pPr>
        <w:pStyle w:val="Default"/>
        <w:numPr>
          <w:ilvl w:val="0"/>
          <w:numId w:val="23"/>
        </w:numPr>
        <w:ind w:left="567" w:hanging="567"/>
        <w:rPr>
          <w:sz w:val="22"/>
          <w:szCs w:val="22"/>
          <w:lang w:val="da-DK"/>
        </w:rPr>
      </w:pPr>
      <w:r w:rsidRPr="00AA499E">
        <w:rPr>
          <w:b/>
          <w:bCs/>
          <w:sz w:val="22"/>
          <w:szCs w:val="22"/>
          <w:lang w:val="da-DK"/>
        </w:rPr>
        <w:t xml:space="preserve">Dermatofibrosarkom protuberans (DFSP). </w:t>
      </w:r>
      <w:r w:rsidRPr="00AA499E">
        <w:rPr>
          <w:sz w:val="22"/>
          <w:szCs w:val="22"/>
          <w:lang w:val="da-DK"/>
        </w:rPr>
        <w:t>DFSP er en kræftform i vævet under huden, hvor visse celler vokser ukontrolleret. Imatinib Actavis</w:t>
      </w:r>
      <w:r w:rsidRPr="00AA499E">
        <w:rPr>
          <w:lang w:val="da-DK"/>
        </w:rPr>
        <w:t xml:space="preserve"> </w:t>
      </w:r>
      <w:r w:rsidRPr="00AA499E">
        <w:rPr>
          <w:sz w:val="22"/>
          <w:szCs w:val="22"/>
          <w:lang w:val="da-DK"/>
        </w:rPr>
        <w:t>hæmmer væksten af disse celler.</w:t>
      </w:r>
    </w:p>
    <w:p w14:paraId="7C6E92C9" w14:textId="77777777" w:rsidR="009D4FEF" w:rsidRPr="00AA499E" w:rsidRDefault="009D4FEF" w:rsidP="00A32833">
      <w:pPr>
        <w:pStyle w:val="Default"/>
        <w:rPr>
          <w:sz w:val="22"/>
          <w:szCs w:val="22"/>
          <w:lang w:val="da-DK"/>
        </w:rPr>
      </w:pPr>
    </w:p>
    <w:p w14:paraId="39021D75"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resten af denne indlægsseddel vil vi bruge forkortelserne, når vi omtaler disse sygdomme.</w:t>
      </w:r>
    </w:p>
    <w:p w14:paraId="2130F5D6"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E53CE88"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har spørgsmål om, hvordan Imatinib Actavis virker, eller hvorfor du har fået ordineret dette lægemiddel, kontakt din læge.</w:t>
      </w:r>
    </w:p>
    <w:p w14:paraId="202735A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B4270C9"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EED8112"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2.</w:t>
      </w:r>
      <w:r w:rsidRPr="00AA499E">
        <w:rPr>
          <w:rFonts w:ascii="Times New Roman" w:hAnsi="Times New Roman"/>
          <w:b/>
          <w:bCs/>
          <w:lang w:val="da-DK"/>
        </w:rPr>
        <w:tab/>
        <w:t>Det skal du vide, før du begynder at tage Imatinib Actavis</w:t>
      </w:r>
    </w:p>
    <w:p w14:paraId="587D7644"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02EE9AA"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vil kun blive ordineret til dig af en læge med erfaring i behandlingen af kræft i blodet eller kræftknuder.</w:t>
      </w:r>
    </w:p>
    <w:p w14:paraId="02C70C3B"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92CF55F"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Følg omhyggeligt din læges anvisninger, selvom de er forskellige fra den generelle information i denne indlægsseddel.</w:t>
      </w:r>
    </w:p>
    <w:p w14:paraId="3CCE115C"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487CCAB7" w14:textId="6FE7F0FE"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Tag ikke Imatinib Actavis</w:t>
      </w:r>
    </w:p>
    <w:p w14:paraId="7679B594"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allergisk over for imatinib eller et af de øvrige indholdsstoffer i lægemidlet (angivet i punkt 6).</w:t>
      </w:r>
    </w:p>
    <w:p w14:paraId="3637EC92"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p>
    <w:p w14:paraId="1A7B75FB"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dette gælder for dig, </w:t>
      </w:r>
      <w:r w:rsidRPr="00AA499E">
        <w:rPr>
          <w:rFonts w:ascii="Times New Roman" w:hAnsi="Times New Roman"/>
          <w:b/>
          <w:bCs/>
          <w:lang w:val="da-DK"/>
        </w:rPr>
        <w:t>skal du fortælle din læge det, før du tager Imatinib Actavis.</w:t>
      </w:r>
    </w:p>
    <w:p w14:paraId="0D69E8F7"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31B09D9"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tror, du er allergisk, men ikke er sikker, skal du kontakte din læge for at få rådgivning.</w:t>
      </w:r>
    </w:p>
    <w:p w14:paraId="2F55939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10ACAF7"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Advarsler og forsigtighedsregler</w:t>
      </w:r>
    </w:p>
    <w:p w14:paraId="16191C6E"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Kontakt lægen, før du tager Imatinib Actavis:</w:t>
      </w:r>
    </w:p>
    <w:p w14:paraId="5C64725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har eller har haft lever-, nyre- eller hjerteproblemer.</w:t>
      </w:r>
    </w:p>
    <w:p w14:paraId="14844D4A"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tager medicin indeholdende levothyroxin, fordi din skjoldbruskkirtel er blevet fjernet.</w:t>
      </w:r>
    </w:p>
    <w:p w14:paraId="3295D677" w14:textId="77777777" w:rsidR="0017077B" w:rsidRPr="00AA499E" w:rsidRDefault="00B70E7C"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nogensinde har været eller måske er smittet med hepatitis B-virus. Dette skyldes, at (</w:t>
      </w:r>
      <w:r w:rsidR="002A7A45" w:rsidRPr="00AA499E">
        <w:rPr>
          <w:rFonts w:ascii="Times New Roman" w:hAnsi="Times New Roman"/>
          <w:lang w:val="da-DK"/>
        </w:rPr>
        <w:t>Imatinib Actavis</w:t>
      </w:r>
      <w:r w:rsidRPr="00AA499E">
        <w:rPr>
          <w:rFonts w:ascii="Times New Roman" w:hAnsi="Times New Roman"/>
          <w:lang w:val="da-DK"/>
        </w:rPr>
        <w:t>) kan forårsage, at hepatitis B-infektionen bliver aktiv igen, hvilket undertiden kan være dødeligt. Lægen vil omhyggeligt kontrolleres dig for tegn på denne infektion, før behandlingen påbegyndes.</w:t>
      </w:r>
    </w:p>
    <w:p w14:paraId="3951711E" w14:textId="77777777" w:rsidR="00B70E7C" w:rsidRPr="00AA499E" w:rsidRDefault="0017077B"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får blå mærker, blødninger, feber, træthed og oplever forvirring, mens du tager Imatinib Actavis, skal du kontakte din læge. Dette kan være tegn på beskadigelse af dine blodkar, hvilket kaldes trombotisk mikroangiopati (TMA).</w:t>
      </w:r>
    </w:p>
    <w:p w14:paraId="046D563B"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noget af det ovenstående gælder for dig, </w:t>
      </w:r>
      <w:r w:rsidRPr="00AA499E">
        <w:rPr>
          <w:rFonts w:ascii="Times New Roman" w:hAnsi="Times New Roman"/>
          <w:b/>
          <w:bCs/>
          <w:lang w:val="da-DK"/>
        </w:rPr>
        <w:t>skal du fortælle din læge det, før du tager Imatinib Actavis.</w:t>
      </w:r>
    </w:p>
    <w:p w14:paraId="7191D01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1E957E8" w14:textId="77777777" w:rsidR="00AA6204" w:rsidRPr="00AA499E" w:rsidRDefault="00AA6204" w:rsidP="00AA6204">
      <w:pPr>
        <w:pStyle w:val="BodyText22"/>
        <w:widowControl w:val="0"/>
        <w:tabs>
          <w:tab w:val="clear" w:pos="-720"/>
        </w:tabs>
        <w:rPr>
          <w:i w:val="0"/>
          <w:color w:val="000000"/>
          <w:szCs w:val="22"/>
        </w:rPr>
      </w:pPr>
      <w:r w:rsidRPr="00AA499E">
        <w:rPr>
          <w:i w:val="0"/>
          <w:color w:val="000000"/>
          <w:szCs w:val="22"/>
        </w:rPr>
        <w:t>Du kan blive mere følsom overfor sollys, når du tager Imatinib Actavis. Det er vigtigt at dække de områder af huden, som udsættes for solen, og at bruge solcreme med høj solbeskyttelsesfaktor (SPF). Disse forholdsregler gælder også for børn.</w:t>
      </w:r>
    </w:p>
    <w:p w14:paraId="6FDE0677" w14:textId="77777777" w:rsidR="00AA6204" w:rsidRPr="00AA499E" w:rsidRDefault="00AA6204" w:rsidP="00AA6204">
      <w:pPr>
        <w:autoSpaceDE w:val="0"/>
        <w:autoSpaceDN w:val="0"/>
        <w:adjustRightInd w:val="0"/>
        <w:spacing w:after="0" w:line="240" w:lineRule="auto"/>
        <w:rPr>
          <w:rFonts w:ascii="Times New Roman" w:hAnsi="Times New Roman"/>
          <w:b/>
          <w:bCs/>
          <w:lang w:val="da-DK"/>
        </w:rPr>
      </w:pPr>
    </w:p>
    <w:p w14:paraId="33AB035C"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Du skal straks fortælle din læge, </w:t>
      </w:r>
      <w:r w:rsidRPr="00AA499E">
        <w:rPr>
          <w:rFonts w:ascii="Times New Roman" w:hAnsi="Times New Roman"/>
          <w:lang w:val="da-DK"/>
        </w:rPr>
        <w:t>hvis du meget hurtigt tager på i vægt, mens du er i behandling med Imatinib Actavis. Imatinib Actavis kan forårsage, at din krop begynder at ophobe væske (svær væskeretention).</w:t>
      </w:r>
    </w:p>
    <w:p w14:paraId="42ACC234"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8A3204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Mens du tager Imatinib Actavis, vil din læge regelmæssigt kontrollere, om lægemidlet virker. Du vil også få taget blodprøver og blive vejet regelmæssigt.</w:t>
      </w:r>
    </w:p>
    <w:p w14:paraId="251B1AE4"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BE36C7B" w14:textId="77777777" w:rsidR="009D4FEF" w:rsidRPr="00AA499E" w:rsidRDefault="009D4FEF" w:rsidP="009D4FEF">
      <w:pPr>
        <w:autoSpaceDE w:val="0"/>
        <w:autoSpaceDN w:val="0"/>
        <w:adjustRightInd w:val="0"/>
        <w:spacing w:after="0" w:line="240" w:lineRule="auto"/>
        <w:rPr>
          <w:rFonts w:ascii="Times New Roman" w:eastAsia="Times New Roman" w:hAnsi="Times New Roman"/>
          <w:b/>
          <w:bCs/>
          <w:lang w:val="da-DK"/>
        </w:rPr>
      </w:pPr>
      <w:r w:rsidRPr="00AA499E">
        <w:rPr>
          <w:rFonts w:ascii="Times New Roman" w:eastAsia="Times New Roman" w:hAnsi="Times New Roman"/>
          <w:b/>
          <w:bCs/>
          <w:lang w:val="da-DK"/>
        </w:rPr>
        <w:t>Børn og unge</w:t>
      </w:r>
    </w:p>
    <w:p w14:paraId="7EC56161" w14:textId="77777777" w:rsidR="009770BB" w:rsidRPr="00AA499E" w:rsidRDefault="009770BB" w:rsidP="009770B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bruges også til behandling af børn med CML. Der er ingen erfaring med behandling af CML hos børn under 2 år. Der er begrænset erfaring hos børn og Ph-positiv ALL og meget begrænset erfaring med børn med MDS/MPD, DFSP og HES/CEL.</w:t>
      </w:r>
    </w:p>
    <w:p w14:paraId="7535B701"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8BA897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Nogle børn og unge, der får Imatinib Actavis, kan vokse langsommere end normalt. Lægen vil kontrollere væksten ved regelmæssige besøg.</w:t>
      </w:r>
    </w:p>
    <w:p w14:paraId="17377311"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454623CC"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af anden medicin sammen med Imatinib Actavis</w:t>
      </w:r>
    </w:p>
    <w:p w14:paraId="2ED83409" w14:textId="30152C52"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Fortæl altid lægen eller på apoteket, hvis du tager anden medicin for nylig</w:t>
      </w:r>
      <w:r w:rsidR="00554886" w:rsidRPr="00537232">
        <w:rPr>
          <w:rFonts w:ascii="Times New Roman" w:hAnsi="Times New Roman"/>
          <w:lang w:val="da-DK"/>
        </w:rPr>
        <w:t xml:space="preserve"> har taget </w:t>
      </w:r>
      <w:r w:rsidR="00554886" w:rsidRPr="00C76A02">
        <w:rPr>
          <w:rFonts w:ascii="Times New Roman" w:hAnsi="Times New Roman"/>
          <w:lang w:val="da-DK"/>
        </w:rPr>
        <w:t>anden medicin eller planlægger at tage anden medicin</w:t>
      </w:r>
      <w:r w:rsidRPr="00AA499E">
        <w:rPr>
          <w:rFonts w:ascii="Times New Roman" w:hAnsi="Times New Roman"/>
          <w:lang w:val="da-DK"/>
        </w:rPr>
        <w:t>. Dette gælder også medicin, som ikke er købt på recept (såsom paracetamol), inklusive naturlægemidler (såsom perikon). Nogle lægemidler kan påvirke virkningen af Imatinib Actavis, når de bruges samtidigt. De kan enten øge eller nedsætte virkningen af Imatinib Actavis, hvilket kan resultere i enten flere bivirkninger, eller de kan gøre Imatinib Actavis mindre virksomt. Imatinib Actavis kan gøre det samme ved andre lægemidler.</w:t>
      </w:r>
    </w:p>
    <w:p w14:paraId="3750F877"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858B3BD" w14:textId="77777777" w:rsidR="009D4FEF" w:rsidRPr="00AA499E" w:rsidRDefault="009D4FEF" w:rsidP="009D4FEF">
      <w:pPr>
        <w:widowControl w:val="0"/>
        <w:rPr>
          <w:rFonts w:ascii="Times New Roman" w:hAnsi="Times New Roman"/>
          <w:color w:val="000000"/>
          <w:lang w:val="da-DK"/>
        </w:rPr>
      </w:pPr>
      <w:r w:rsidRPr="00AA499E">
        <w:rPr>
          <w:rFonts w:ascii="Times New Roman" w:hAnsi="Times New Roman"/>
          <w:color w:val="000000"/>
          <w:lang w:val="da-DK"/>
        </w:rPr>
        <w:t>Fortæl din læge hvis du tager medicin, der forebygger dannelsen af blodpropper.</w:t>
      </w:r>
    </w:p>
    <w:p w14:paraId="3DF43094"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Graviditet, amning og frugtbarhed</w:t>
      </w:r>
    </w:p>
    <w:p w14:paraId="5BF86C37"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gravid eller ammer, har mistanke om, at du er gravid, eller planlægger at blive gravid, skal du spørge din læge til råds, før du tager dette lægemiddel.</w:t>
      </w:r>
    </w:p>
    <w:p w14:paraId="645C5AA3"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Imatinib Actavis anbefales ikke under graviditeten, medmindre det er strengt nødvendigt, da det kan skade din baby. Din læge vil fortælle dig om de mulige risici, der er forbundet med brug af Imatinib Actavis under graviditeten.</w:t>
      </w:r>
    </w:p>
    <w:p w14:paraId="460E0531"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Under behandlingen</w:t>
      </w:r>
      <w:r w:rsidR="00C665E1" w:rsidRPr="00AA499E">
        <w:rPr>
          <w:rFonts w:ascii="Times New Roman" w:hAnsi="Times New Roman"/>
          <w:lang w:val="da-DK"/>
        </w:rPr>
        <w:t xml:space="preserve"> og i 15 dage efter ophør af behandlingen</w:t>
      </w:r>
      <w:r w:rsidRPr="00AA499E">
        <w:rPr>
          <w:rFonts w:ascii="Times New Roman" w:hAnsi="Times New Roman"/>
          <w:lang w:val="da-DK"/>
        </w:rPr>
        <w:t xml:space="preserve"> anbefales det, at kvinder som kan blive gravide, anvender effektiv beskyttelse mod graviditet.</w:t>
      </w:r>
    </w:p>
    <w:p w14:paraId="22EA0ACF" w14:textId="37521CEE"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Du må ikke amme, mens du er i behandling</w:t>
      </w:r>
      <w:r w:rsidR="00C665E1" w:rsidRPr="00AA499E">
        <w:rPr>
          <w:rFonts w:ascii="Times New Roman" w:hAnsi="Times New Roman"/>
          <w:lang w:val="da-DK"/>
        </w:rPr>
        <w:t xml:space="preserve"> og i 15 dage efter ophør af behandling</w:t>
      </w:r>
      <w:r w:rsidRPr="00AA499E">
        <w:rPr>
          <w:rFonts w:ascii="Times New Roman" w:hAnsi="Times New Roman"/>
          <w:lang w:val="da-DK"/>
        </w:rPr>
        <w:t xml:space="preserve"> med Imatinib Actavis</w:t>
      </w:r>
      <w:r w:rsidR="00C665E1" w:rsidRPr="00AA499E">
        <w:rPr>
          <w:rFonts w:ascii="Times New Roman" w:hAnsi="Times New Roman"/>
          <w:lang w:val="da-DK"/>
        </w:rPr>
        <w:t>, da det kan skade din baby.</w:t>
      </w:r>
    </w:p>
    <w:p w14:paraId="07AD7128"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eastAsia="Times New Roman" w:hAnsi="Times New Roman"/>
          <w:lang w:val="da-DK"/>
        </w:rPr>
        <w:t xml:space="preserve">Hvis du er bekymret for din frugtbarhed, mens du tager </w:t>
      </w:r>
      <w:r w:rsidRPr="00AA499E">
        <w:rPr>
          <w:rFonts w:ascii="Times New Roman" w:hAnsi="Times New Roman"/>
          <w:lang w:val="da-DK"/>
        </w:rPr>
        <w:t>Imatinib Actavis,</w:t>
      </w:r>
      <w:r w:rsidRPr="00AA499E">
        <w:rPr>
          <w:rFonts w:ascii="Times New Roman" w:eastAsia="Times New Roman" w:hAnsi="Times New Roman"/>
          <w:lang w:val="da-DK"/>
        </w:rPr>
        <w:t xml:space="preserve"> skal du kontakte din læge.</w:t>
      </w:r>
    </w:p>
    <w:p w14:paraId="23DAC9B9"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B798EE8"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Trafik- og arbejdssikkerhed</w:t>
      </w:r>
    </w:p>
    <w:p w14:paraId="216C25D0"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kan blive svimmel eller søvnig eller få sløret syn, mens du tager dette lægemiddel. Hvis dette sker, bør du ikke køre bil eller bruge værktøj og maskiner, før du føler dig godt tilpas igen.</w:t>
      </w:r>
    </w:p>
    <w:p w14:paraId="4CF353A2"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DDC5B19" w14:textId="77777777" w:rsidR="006F0678" w:rsidRPr="00AA499E" w:rsidRDefault="006F0678" w:rsidP="006F0678">
      <w:pPr>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t>Imatinib Actavis indeholder natrium</w:t>
      </w:r>
    </w:p>
    <w:p w14:paraId="799FA179" w14:textId="77777777" w:rsidR="006F0678" w:rsidRPr="00AA499E" w:rsidRDefault="006F0678" w:rsidP="006F0678">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Dette lægemiddel indeholder mindre end 1 mmol (23 mg) natrium pr. hård kapsel, dvs. det er i det væsentlige natrium-frit.</w:t>
      </w:r>
    </w:p>
    <w:p w14:paraId="7C02A586" w14:textId="77777777" w:rsidR="005F0C07" w:rsidRPr="00AA499E" w:rsidRDefault="005F0C07" w:rsidP="006F0678">
      <w:pPr>
        <w:autoSpaceDE w:val="0"/>
        <w:autoSpaceDN w:val="0"/>
        <w:adjustRightInd w:val="0"/>
        <w:spacing w:after="0" w:line="240" w:lineRule="auto"/>
        <w:rPr>
          <w:rFonts w:ascii="Times New Roman" w:hAnsi="Times New Roman"/>
          <w:lang w:val="da-DK"/>
        </w:rPr>
      </w:pPr>
    </w:p>
    <w:p w14:paraId="0C950E94"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4D5CF1D9"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3.</w:t>
      </w:r>
      <w:r w:rsidRPr="00AA499E">
        <w:rPr>
          <w:rFonts w:ascii="Times New Roman" w:hAnsi="Times New Roman"/>
          <w:b/>
          <w:bCs/>
          <w:lang w:val="da-DK"/>
        </w:rPr>
        <w:tab/>
        <w:t>Sådan skal du tage Imatinib Actavis</w:t>
      </w:r>
    </w:p>
    <w:p w14:paraId="01B6E083"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FCFAA6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lastRenderedPageBreak/>
        <w:t>Din læge har udskrevet Imatinib Actavis, fordi du lider af en alvorlig sygdom. Imatinib Actavis kan hjælpe dig med at bekæmpe denne tilstand.</w:t>
      </w:r>
    </w:p>
    <w:p w14:paraId="3CC9F137"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A379EC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Tag altid dette lægemiddel nøjagtigt efter lægens eller apotekspersonalets anvisning. Det er vigtigt, at du tager det så længe, lægen eller apotekspersonalet fortæller dig, at du skal. Er du i tvivl, så spørg lægen eller på apoteket.</w:t>
      </w:r>
    </w:p>
    <w:p w14:paraId="32D2087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E9A7E9D"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må ikke stoppe med at tage Imatinib Actavis, medmindre din læge fortæller dig det. Hvis du ikke er i stand til at tage medicinen, som din læge har foreskrevet, eller hvis du føler, at du ikke længere behøver den, skal du kontakte din læge med det samme.</w:t>
      </w:r>
    </w:p>
    <w:p w14:paraId="47F82347"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56E3742"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Den sædvanlige dosis af Imatinib Actavis er</w:t>
      </w:r>
    </w:p>
    <w:p w14:paraId="404A97F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8B5F43F"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til voksne</w:t>
      </w:r>
    </w:p>
    <w:p w14:paraId="4767C9DC"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vil fortælle dig, præcis hvor mange Imatinib Actavis-kapsler, du skal tage.</w:t>
      </w:r>
    </w:p>
    <w:p w14:paraId="73B7E6DE"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120CCB4" w14:textId="77777777" w:rsidR="009D4FEF" w:rsidRPr="00AA499E" w:rsidRDefault="009D4FEF" w:rsidP="009D4FEF">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er i behandling for CML: </w:t>
      </w:r>
    </w:p>
    <w:p w14:paraId="125A118D" w14:textId="77777777" w:rsidR="009D4FEF" w:rsidRPr="00AA499E" w:rsidRDefault="009D4FEF" w:rsidP="006D667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sædvanlige startdosis er </w:t>
      </w:r>
      <w:r w:rsidRPr="00AA499E">
        <w:rPr>
          <w:rFonts w:ascii="Times New Roman" w:hAnsi="Times New Roman"/>
          <w:bCs/>
          <w:lang w:val="da-DK"/>
        </w:rPr>
        <w:t>600 mg,</w:t>
      </w:r>
      <w:r w:rsidRPr="00AA499E">
        <w:rPr>
          <w:rFonts w:ascii="Times New Roman" w:hAnsi="Times New Roman"/>
          <w:b/>
          <w:bCs/>
          <w:lang w:val="da-DK"/>
        </w:rPr>
        <w:t xml:space="preserve"> </w:t>
      </w:r>
      <w:r w:rsidRPr="00AA499E">
        <w:rPr>
          <w:rFonts w:ascii="Times New Roman" w:hAnsi="Times New Roman"/>
          <w:lang w:val="da-DK"/>
        </w:rPr>
        <w:t xml:space="preserve">som skal tages som én kapsel af 400 mg plus 2 kapsler af 100 mg </w:t>
      </w:r>
      <w:r w:rsidRPr="00AA499E">
        <w:rPr>
          <w:rFonts w:ascii="Times New Roman" w:hAnsi="Times New Roman"/>
          <w:b/>
          <w:bCs/>
          <w:lang w:val="da-DK"/>
        </w:rPr>
        <w:t xml:space="preserve">én gang </w:t>
      </w:r>
      <w:r w:rsidRPr="00AA499E">
        <w:rPr>
          <w:rFonts w:ascii="Times New Roman" w:hAnsi="Times New Roman"/>
          <w:lang w:val="da-DK"/>
        </w:rPr>
        <w:t>daglig.</w:t>
      </w:r>
    </w:p>
    <w:p w14:paraId="246000F3" w14:textId="77777777" w:rsidR="009D4FEF" w:rsidRPr="00AA499E" w:rsidRDefault="009D4FEF" w:rsidP="00A32833">
      <w:pPr>
        <w:autoSpaceDE w:val="0"/>
        <w:autoSpaceDN w:val="0"/>
        <w:adjustRightInd w:val="0"/>
        <w:spacing w:after="0" w:line="240" w:lineRule="auto"/>
        <w:rPr>
          <w:rFonts w:ascii="Times New Roman" w:hAnsi="Times New Roman"/>
          <w:lang w:val="da-DK"/>
        </w:rPr>
      </w:pPr>
    </w:p>
    <w:p w14:paraId="121142FF"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kan foreskrive højere eller lavere dosis afhængigt af, hvordan du reagerer på behandlingen. Hvis din daglige dosis er 800 mg (2 kapsler), skal du tage én kapsel om morgenen og en anden kapsel om aftenen.</w:t>
      </w:r>
    </w:p>
    <w:p w14:paraId="3B43E683"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6EEFA12" w14:textId="77777777" w:rsidR="009D4FEF" w:rsidRPr="00AA499E" w:rsidRDefault="009D4FEF" w:rsidP="009D4FEF">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Ph-positiv ALL: </w:t>
      </w:r>
    </w:p>
    <w:p w14:paraId="08FC4D26" w14:textId="77777777" w:rsidR="009D4FEF" w:rsidRPr="00AA499E" w:rsidRDefault="009D4FEF" w:rsidP="009D4FE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600 mg, som skal tages som én kapsel af 400 mg plus 2 kapsler af 100 mg </w:t>
      </w:r>
      <w:r w:rsidRPr="00AA499E">
        <w:rPr>
          <w:rFonts w:ascii="Times New Roman" w:hAnsi="Times New Roman"/>
          <w:b/>
          <w:bCs/>
          <w:lang w:val="da-DK"/>
        </w:rPr>
        <w:t xml:space="preserve">én gang </w:t>
      </w:r>
      <w:r w:rsidRPr="00AA499E">
        <w:rPr>
          <w:rFonts w:ascii="Times New Roman" w:hAnsi="Times New Roman"/>
          <w:lang w:val="da-DK"/>
        </w:rPr>
        <w:t>daglig.</w:t>
      </w:r>
    </w:p>
    <w:p w14:paraId="52285EA7"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 </w:t>
      </w:r>
    </w:p>
    <w:p w14:paraId="71C4212E" w14:textId="77777777" w:rsidR="009D4FEF" w:rsidRPr="00AA499E" w:rsidRDefault="009D4FEF" w:rsidP="009D4FEF">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MDS/MPD: </w:t>
      </w:r>
    </w:p>
    <w:p w14:paraId="0C39CCDD" w14:textId="77777777" w:rsidR="009D4FEF" w:rsidRPr="00AA499E" w:rsidRDefault="009D4FEF" w:rsidP="009D4FE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400 mg, som skal tages som én kapsel </w:t>
      </w:r>
      <w:r w:rsidRPr="00AA499E">
        <w:rPr>
          <w:rFonts w:ascii="Times New Roman" w:hAnsi="Times New Roman"/>
          <w:b/>
          <w:bCs/>
          <w:lang w:val="da-DK"/>
        </w:rPr>
        <w:t xml:space="preserve">én gang </w:t>
      </w:r>
      <w:r w:rsidRPr="00AA499E">
        <w:rPr>
          <w:rFonts w:ascii="Times New Roman" w:hAnsi="Times New Roman"/>
          <w:lang w:val="da-DK"/>
        </w:rPr>
        <w:t>daglig.</w:t>
      </w:r>
    </w:p>
    <w:p w14:paraId="2074E42C"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F623411" w14:textId="77777777" w:rsidR="009D4FEF" w:rsidRPr="00AA499E" w:rsidRDefault="009D4FEF" w:rsidP="009D4FEF">
      <w:pPr>
        <w:pStyle w:val="Default"/>
        <w:numPr>
          <w:ilvl w:val="0"/>
          <w:numId w:val="24"/>
        </w:numPr>
        <w:ind w:left="567" w:hanging="567"/>
        <w:rPr>
          <w:sz w:val="22"/>
          <w:szCs w:val="22"/>
          <w:lang w:val="da-DK"/>
        </w:rPr>
      </w:pPr>
      <w:r w:rsidRPr="00AA499E">
        <w:rPr>
          <w:b/>
          <w:bCs/>
          <w:sz w:val="22"/>
          <w:szCs w:val="22"/>
          <w:lang w:val="da-DK"/>
        </w:rPr>
        <w:t xml:space="preserve">Hvis du behandles for HES/CEL: </w:t>
      </w:r>
    </w:p>
    <w:p w14:paraId="35743FFA" w14:textId="77777777" w:rsidR="009D4FEF" w:rsidRPr="00AA499E" w:rsidRDefault="009D4FEF" w:rsidP="009D4FEF">
      <w:pPr>
        <w:pStyle w:val="Default"/>
        <w:ind w:left="567"/>
        <w:rPr>
          <w:sz w:val="22"/>
          <w:szCs w:val="22"/>
          <w:lang w:val="da-DK"/>
        </w:rPr>
      </w:pPr>
      <w:r w:rsidRPr="00AA499E">
        <w:rPr>
          <w:sz w:val="22"/>
          <w:szCs w:val="22"/>
          <w:lang w:val="da-DK"/>
        </w:rPr>
        <w:t xml:space="preserve">Startdosis er 100 mg, som skal tages som </w:t>
      </w:r>
      <w:r w:rsidRPr="00AA499E">
        <w:rPr>
          <w:lang w:val="da-DK"/>
        </w:rPr>
        <w:t>én kapsel af 100 mg</w:t>
      </w:r>
      <w:r w:rsidRPr="00AA499E">
        <w:rPr>
          <w:sz w:val="22"/>
          <w:szCs w:val="22"/>
          <w:lang w:val="da-DK"/>
        </w:rPr>
        <w:t xml:space="preserve"> </w:t>
      </w:r>
      <w:r w:rsidRPr="00AA499E">
        <w:rPr>
          <w:b/>
          <w:bCs/>
          <w:sz w:val="22"/>
          <w:szCs w:val="22"/>
          <w:lang w:val="da-DK"/>
        </w:rPr>
        <w:t xml:space="preserve">én gang </w:t>
      </w:r>
      <w:r w:rsidRPr="00AA499E">
        <w:rPr>
          <w:sz w:val="22"/>
          <w:szCs w:val="22"/>
          <w:lang w:val="da-DK"/>
        </w:rPr>
        <w:t xml:space="preserve">daglig. Din læge kan beslutte at øge dosis til 400 mg, som skal tages som </w:t>
      </w:r>
      <w:r w:rsidRPr="00AA499E">
        <w:rPr>
          <w:lang w:val="da-DK"/>
        </w:rPr>
        <w:t xml:space="preserve">én kapsel af 400 mg </w:t>
      </w:r>
      <w:r w:rsidRPr="00AA499E">
        <w:rPr>
          <w:b/>
          <w:bCs/>
          <w:sz w:val="22"/>
          <w:szCs w:val="22"/>
          <w:lang w:val="da-DK"/>
        </w:rPr>
        <w:t xml:space="preserve">én gang </w:t>
      </w:r>
      <w:r w:rsidRPr="00AA499E">
        <w:rPr>
          <w:sz w:val="22"/>
          <w:szCs w:val="22"/>
          <w:lang w:val="da-DK"/>
        </w:rPr>
        <w:t xml:space="preserve">daglig afhængig af, hvordan du responderer på behandlingen. </w:t>
      </w:r>
    </w:p>
    <w:p w14:paraId="47C71E74" w14:textId="77777777" w:rsidR="009D4FEF" w:rsidRPr="00AA499E" w:rsidRDefault="009D4FEF" w:rsidP="009D4FEF">
      <w:pPr>
        <w:pStyle w:val="Default"/>
        <w:rPr>
          <w:sz w:val="22"/>
          <w:szCs w:val="22"/>
          <w:lang w:val="da-DK"/>
        </w:rPr>
      </w:pPr>
    </w:p>
    <w:p w14:paraId="3CE830AB" w14:textId="77777777" w:rsidR="009D4FEF" w:rsidRPr="00AA499E" w:rsidRDefault="009D4FEF" w:rsidP="009D4FEF">
      <w:pPr>
        <w:pStyle w:val="Default"/>
        <w:numPr>
          <w:ilvl w:val="0"/>
          <w:numId w:val="24"/>
        </w:numPr>
        <w:ind w:left="567" w:hanging="567"/>
        <w:rPr>
          <w:sz w:val="22"/>
          <w:szCs w:val="22"/>
          <w:lang w:val="da-DK"/>
        </w:rPr>
      </w:pPr>
      <w:r w:rsidRPr="00AA499E">
        <w:rPr>
          <w:b/>
          <w:bCs/>
          <w:sz w:val="22"/>
          <w:szCs w:val="22"/>
          <w:lang w:val="da-DK"/>
        </w:rPr>
        <w:t xml:space="preserve">Hvis du behandles for DSFP: </w:t>
      </w:r>
    </w:p>
    <w:p w14:paraId="329FD282" w14:textId="77777777" w:rsidR="009D4FEF" w:rsidRPr="00AA499E" w:rsidRDefault="009D4FEF" w:rsidP="009D4FE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Dosis er 800 mg pr. dag (2 kapsler). Du skal tage én kapsel om morgenen og en anden kapsel om aftenen.</w:t>
      </w:r>
    </w:p>
    <w:p w14:paraId="385B9C85"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D90653F"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til børn og unge</w:t>
      </w:r>
    </w:p>
    <w:p w14:paraId="1788EDF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Lægen vil fortælle dig, hvor mange Imatinib Actavis-kapsler, du skal give dit barn. Antallet af Imatinib Actavis-kapsler afhænger af barnets tilstand, kropsvægt og højde. </w:t>
      </w:r>
    </w:p>
    <w:p w14:paraId="7B1CF809"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21646808" w14:textId="77777777" w:rsidR="009D4FEF" w:rsidRPr="00AA499E" w:rsidRDefault="009770BB"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totale daglige dosis til børn og teenagere må ikke overstige 800 mg for CML-patienter og 600 mg for Ph+ALL-patienter. </w:t>
      </w:r>
      <w:r w:rsidR="009D4FEF" w:rsidRPr="00AA499E">
        <w:rPr>
          <w:rFonts w:ascii="Times New Roman" w:hAnsi="Times New Roman"/>
          <w:lang w:val="da-DK"/>
        </w:rPr>
        <w:t>Behandlingen kan enten gives til dit barn som én daglig dosis, eller alternativt kan den daglige dosis deles og gives to gange (halvdelen om morgenen og den anden halvdel om aftenen).</w:t>
      </w:r>
    </w:p>
    <w:p w14:paraId="23F7D10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519BB86"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Hvornår og hvordan skal du tage Imatinib Actavis</w:t>
      </w:r>
    </w:p>
    <w:p w14:paraId="773BEB4D"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r>
      <w:r w:rsidRPr="00AA499E">
        <w:rPr>
          <w:rFonts w:ascii="Times New Roman" w:hAnsi="Times New Roman"/>
          <w:b/>
          <w:bCs/>
          <w:lang w:val="da-DK"/>
        </w:rPr>
        <w:t xml:space="preserve">Tag Imatinib Actavis sammen med et måltid. </w:t>
      </w:r>
      <w:r w:rsidRPr="00AA499E">
        <w:rPr>
          <w:rFonts w:ascii="Times New Roman" w:hAnsi="Times New Roman"/>
          <w:lang w:val="da-DK"/>
        </w:rPr>
        <w:t>Dette vil hjælpe med at beskytte dig mod maveproblemer, når du tager Imatinib Actavis.</w:t>
      </w:r>
    </w:p>
    <w:p w14:paraId="50BEF144" w14:textId="77777777" w:rsidR="009D4FEF" w:rsidRPr="00AA499E" w:rsidRDefault="009D4FEF" w:rsidP="009D4FEF">
      <w:pPr>
        <w:pStyle w:val="Default"/>
        <w:spacing w:after="28"/>
        <w:ind w:left="567" w:hanging="567"/>
        <w:rPr>
          <w:sz w:val="22"/>
          <w:szCs w:val="22"/>
          <w:lang w:val="da-DK"/>
        </w:rPr>
      </w:pPr>
      <w:r w:rsidRPr="00AA499E">
        <w:rPr>
          <w:sz w:val="22"/>
          <w:szCs w:val="22"/>
          <w:lang w:val="da-DK"/>
        </w:rPr>
        <w:t xml:space="preserve">- </w:t>
      </w:r>
      <w:r w:rsidRPr="00AA499E">
        <w:rPr>
          <w:sz w:val="22"/>
          <w:szCs w:val="22"/>
          <w:lang w:val="da-DK"/>
        </w:rPr>
        <w:tab/>
      </w:r>
      <w:r w:rsidRPr="00AA499E">
        <w:rPr>
          <w:b/>
          <w:bCs/>
          <w:sz w:val="22"/>
          <w:szCs w:val="22"/>
          <w:lang w:val="da-DK"/>
        </w:rPr>
        <w:t xml:space="preserve">Synk kapslerne hele med et stort glas vand. </w:t>
      </w:r>
      <w:r w:rsidRPr="00AA499E">
        <w:rPr>
          <w:sz w:val="22"/>
          <w:szCs w:val="22"/>
          <w:lang w:val="da-DK"/>
        </w:rPr>
        <w:t xml:space="preserve">Du må ikke åbne eller knuse kapslerne med mindre du ikke er i stand til at synke (for eksempel hos børn). </w:t>
      </w:r>
    </w:p>
    <w:p w14:paraId="483AA721" w14:textId="77777777" w:rsidR="009D4FEF" w:rsidRPr="00AA499E" w:rsidRDefault="009D4FEF" w:rsidP="009D4FEF">
      <w:pPr>
        <w:pStyle w:val="Default"/>
        <w:spacing w:after="28"/>
        <w:ind w:left="567" w:hanging="567"/>
        <w:rPr>
          <w:sz w:val="22"/>
          <w:szCs w:val="22"/>
          <w:lang w:val="da-DK"/>
        </w:rPr>
      </w:pPr>
      <w:r w:rsidRPr="00AA499E">
        <w:rPr>
          <w:sz w:val="22"/>
          <w:szCs w:val="22"/>
          <w:lang w:val="da-DK"/>
        </w:rPr>
        <w:t xml:space="preserve">- </w:t>
      </w:r>
      <w:r w:rsidRPr="00AA499E">
        <w:rPr>
          <w:sz w:val="22"/>
          <w:szCs w:val="22"/>
          <w:lang w:val="da-DK"/>
        </w:rPr>
        <w:tab/>
        <w:t xml:space="preserve">Hvis du ikke er i stand til at synke kapslerne, kan du åbne dem og opløse pulveret i et glas almindeligt vand eller æblejuice. </w:t>
      </w:r>
    </w:p>
    <w:p w14:paraId="0D2A6646" w14:textId="77777777" w:rsidR="009D4FEF" w:rsidRPr="00AA499E" w:rsidRDefault="009D4FEF" w:rsidP="009D4FEF">
      <w:pPr>
        <w:pStyle w:val="Default"/>
        <w:ind w:left="567" w:hanging="567"/>
        <w:rPr>
          <w:sz w:val="22"/>
          <w:szCs w:val="22"/>
          <w:lang w:val="da-DK"/>
        </w:rPr>
      </w:pPr>
      <w:r w:rsidRPr="00AA499E">
        <w:rPr>
          <w:sz w:val="22"/>
          <w:szCs w:val="22"/>
          <w:lang w:val="da-DK"/>
        </w:rPr>
        <w:t xml:space="preserve">- </w:t>
      </w:r>
      <w:r w:rsidRPr="00AA499E">
        <w:rPr>
          <w:sz w:val="22"/>
          <w:szCs w:val="22"/>
          <w:lang w:val="da-DK"/>
        </w:rPr>
        <w:tab/>
        <w:t xml:space="preserve">Hvis du er kvinde og er gravid eller planlægger at blive gravid, skal du være forsigtig, når du åbner kasplerne og håndterer indholdet for at undgå hud- og øjenkontakt eller indånding af pulveret. Du skal vaske dine hænder straks efter, du har åbnet kapslerne. </w:t>
      </w:r>
    </w:p>
    <w:p w14:paraId="2EA23145" w14:textId="77777777" w:rsidR="009D4FEF" w:rsidRPr="00AA499E" w:rsidRDefault="009D4FEF" w:rsidP="009D4FEF">
      <w:pPr>
        <w:pStyle w:val="KeinLeerraum"/>
        <w:rPr>
          <w:rFonts w:ascii="Times New Roman" w:hAnsi="Times New Roman"/>
          <w:highlight w:val="lightGray"/>
          <w:lang w:val="da-DK"/>
        </w:rPr>
      </w:pPr>
    </w:p>
    <w:p w14:paraId="1F48F37E"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 længe skal du tage Imatinib Actavis</w:t>
      </w:r>
    </w:p>
    <w:p w14:paraId="4CB1F0EE"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Bliv ved med at tage Imatinib Actavis hver dag, så længe som din læge har foreskevet det.</w:t>
      </w:r>
    </w:p>
    <w:p w14:paraId="6174B13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4BFE4F2" w14:textId="77777777" w:rsidR="009D4FEF" w:rsidRPr="00AA499E" w:rsidRDefault="009D4FEF" w:rsidP="00B007BB">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taget for meget Imatinib Actavis</w:t>
      </w:r>
    </w:p>
    <w:p w14:paraId="60BF00D0"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Hvis du ved et uheld har indtaget for mange kapsler, skal du kontakte din læge  </w:t>
      </w:r>
      <w:r w:rsidRPr="00AA499E">
        <w:rPr>
          <w:rFonts w:ascii="Times New Roman" w:hAnsi="Times New Roman"/>
          <w:b/>
          <w:bCs/>
          <w:lang w:val="da-DK"/>
        </w:rPr>
        <w:t>med det samme</w:t>
      </w:r>
      <w:r w:rsidRPr="00AA499E">
        <w:rPr>
          <w:rFonts w:ascii="Times New Roman" w:hAnsi="Times New Roman"/>
          <w:lang w:val="da-DK"/>
        </w:rPr>
        <w:t>. Lægebehandling kan være nødvendig. Tag pakningen med dig.</w:t>
      </w:r>
    </w:p>
    <w:p w14:paraId="1A8F10CB"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D83FE6E"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glemt at tage Imatinib Actavis</w:t>
      </w:r>
    </w:p>
    <w:p w14:paraId="4BC4B520"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glemmer at tage en dosis, så tag den, så snart du kommer i tanke om det. Men hvis det næsten er tid til at tage den næste dosis, skal du springe den glemte dosis over.</w:t>
      </w:r>
    </w:p>
    <w:p w14:paraId="54656D82"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Fortsæt derefter med den planlagte dosering.</w:t>
      </w:r>
    </w:p>
    <w:p w14:paraId="5226E8BF"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Du må ikke tage en dobbeltdosis som erstatning for den glemte dosis.</w:t>
      </w:r>
    </w:p>
    <w:p w14:paraId="39BBBD08"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p>
    <w:p w14:paraId="724FA6FB" w14:textId="642CB9D0"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Spørg lægen, på apoteket </w:t>
      </w:r>
      <w:r w:rsidR="006B0B7E" w:rsidRPr="00AA499E">
        <w:rPr>
          <w:rFonts w:ascii="Times New Roman" w:hAnsi="Times New Roman"/>
          <w:lang w:val="da-DK"/>
        </w:rPr>
        <w:t>eller sygeplejersken</w:t>
      </w:r>
      <w:r w:rsidRPr="00AA499E">
        <w:rPr>
          <w:rFonts w:ascii="Times New Roman" w:hAnsi="Times New Roman"/>
          <w:lang w:val="da-DK"/>
        </w:rPr>
        <w:t>, hvis der er noget, du er i tvivl om.</w:t>
      </w:r>
    </w:p>
    <w:p w14:paraId="74C5EB88"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7E9C673"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E6F2856"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w:t>
      </w:r>
      <w:r w:rsidRPr="00AA499E">
        <w:rPr>
          <w:rFonts w:ascii="Times New Roman" w:hAnsi="Times New Roman"/>
          <w:b/>
          <w:bCs/>
          <w:lang w:val="da-DK"/>
        </w:rPr>
        <w:tab/>
        <w:t>Bivirkninger</w:t>
      </w:r>
    </w:p>
    <w:p w14:paraId="596B16B3"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C52B85A" w14:textId="3A755A72"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Dette lægemiddel kan som al</w:t>
      </w:r>
      <w:r w:rsidR="00911F6E" w:rsidRPr="00AA499E">
        <w:rPr>
          <w:rFonts w:ascii="Times New Roman" w:hAnsi="Times New Roman"/>
          <w:lang w:val="da-DK"/>
        </w:rPr>
        <w:t xml:space="preserve">le </w:t>
      </w:r>
      <w:r w:rsidRPr="00AA499E">
        <w:rPr>
          <w:rFonts w:ascii="Times New Roman" w:hAnsi="Times New Roman"/>
          <w:lang w:val="da-DK"/>
        </w:rPr>
        <w:t>and</w:t>
      </w:r>
      <w:r w:rsidR="00911F6E" w:rsidRPr="00AA499E">
        <w:rPr>
          <w:rFonts w:ascii="Times New Roman" w:hAnsi="Times New Roman"/>
          <w:lang w:val="da-DK"/>
        </w:rPr>
        <w:t>re lægemidler</w:t>
      </w:r>
      <w:r w:rsidRPr="00AA499E">
        <w:rPr>
          <w:rFonts w:ascii="Times New Roman" w:hAnsi="Times New Roman"/>
          <w:lang w:val="da-DK"/>
        </w:rPr>
        <w:t>give bivirkninger, men ikke alle får bivirkninger. De er som regel lette til moderate.</w:t>
      </w:r>
    </w:p>
    <w:p w14:paraId="0C77410C"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6070FA6"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Nogle bivirkninger kan være alvorlige. Kontakt din læge med det samme, hvis du oplever nogle af de følgende bivirkninger:</w:t>
      </w:r>
    </w:p>
    <w:p w14:paraId="67F0262C"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2F56225"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Meget almindelige (</w:t>
      </w:r>
      <w:r w:rsidRPr="00AA499E">
        <w:rPr>
          <w:rFonts w:ascii="Times New Roman" w:hAnsi="Times New Roman"/>
          <w:lang w:val="da-DK"/>
        </w:rPr>
        <w:t>kan forekomme hos flere end 1 ud af 10 mennesker)</w:t>
      </w:r>
      <w:r w:rsidRPr="00AA499E">
        <w:rPr>
          <w:rFonts w:ascii="Times New Roman" w:hAnsi="Times New Roman"/>
          <w:b/>
          <w:bCs/>
          <w:lang w:val="da-DK"/>
        </w:rPr>
        <w:t xml:space="preserve"> eller almindelige (</w:t>
      </w:r>
      <w:r w:rsidRPr="00AA499E">
        <w:rPr>
          <w:rFonts w:ascii="Times New Roman" w:hAnsi="Times New Roman"/>
          <w:lang w:val="da-DK"/>
        </w:rPr>
        <w:t>kan forekomme op til 1 ud af 10 mennesker)</w:t>
      </w:r>
      <w:r w:rsidRPr="00AA499E">
        <w:rPr>
          <w:rFonts w:ascii="Times New Roman" w:hAnsi="Times New Roman"/>
          <w:b/>
          <w:bCs/>
          <w:lang w:val="da-DK"/>
        </w:rPr>
        <w:t>:</w:t>
      </w:r>
    </w:p>
    <w:p w14:paraId="1AC2D818"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Hurtig vægtøgning. Imatinib Actavis kan forårsage, at din krop begynder at ophobe væske (svær væskeretention).</w:t>
      </w:r>
    </w:p>
    <w:p w14:paraId="3FE8E278"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Symptomer på infektioner såsom feber, kraftige kulderystelser, ondt i halsen eller sår i munden. Imatinib Actavis kan nedsætte antallet af hvide blodlegemer, så du lettere kan få infektioner.</w:t>
      </w:r>
    </w:p>
    <w:p w14:paraId="6444E697"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oplever uventede blødninger eller blå mærker (når du ikke er kommet til skade).</w:t>
      </w:r>
    </w:p>
    <w:p w14:paraId="424F1642"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F15AEED"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almindelige </w:t>
      </w:r>
      <w:r w:rsidRPr="00AA499E">
        <w:rPr>
          <w:rFonts w:ascii="Times New Roman" w:hAnsi="Times New Roman"/>
          <w:lang w:val="da-DK"/>
        </w:rPr>
        <w:t xml:space="preserve">(kan forekomme hos op til 1 ud af 100 mennesker) </w:t>
      </w:r>
      <w:r w:rsidRPr="00AA499E">
        <w:rPr>
          <w:rFonts w:ascii="Times New Roman" w:hAnsi="Times New Roman"/>
          <w:b/>
          <w:bCs/>
          <w:lang w:val="da-DK"/>
        </w:rPr>
        <w:t xml:space="preserve">til sjældne </w:t>
      </w:r>
      <w:r w:rsidRPr="00AA499E">
        <w:rPr>
          <w:rFonts w:ascii="Times New Roman" w:hAnsi="Times New Roman"/>
          <w:lang w:val="da-DK"/>
        </w:rPr>
        <w:t>(kan forekomme hos op til 1 ud af 1.000 mennesker)</w:t>
      </w:r>
      <w:r w:rsidRPr="00AA499E">
        <w:rPr>
          <w:rFonts w:ascii="Times New Roman" w:hAnsi="Times New Roman"/>
          <w:b/>
          <w:bCs/>
          <w:lang w:val="da-DK"/>
        </w:rPr>
        <w:t>:</w:t>
      </w:r>
    </w:p>
    <w:p w14:paraId="2DE4A8D8"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Brystsmerter, uregelmæssig hjerterytme (tegn på hjerteproblemer).</w:t>
      </w:r>
    </w:p>
    <w:p w14:paraId="382E2BEE"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Hoste, åndedrætsbesvær eller smerter ved vejrtrækning (tegn på lungeproblemer).</w:t>
      </w:r>
    </w:p>
    <w:p w14:paraId="5E580B8C"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besvime (tegn på lavt blodtryk).</w:t>
      </w:r>
    </w:p>
    <w:p w14:paraId="72BFDBA3"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Have kvalme med tab af appetitten, mørk</w:t>
      </w:r>
      <w:r w:rsidRPr="00AA499E" w:rsidDel="00DE134F">
        <w:rPr>
          <w:rFonts w:ascii="Times New Roman" w:hAnsi="Times New Roman"/>
          <w:lang w:val="da-DK"/>
        </w:rPr>
        <w:t xml:space="preserve"> </w:t>
      </w:r>
      <w:r w:rsidRPr="00AA499E">
        <w:rPr>
          <w:rFonts w:ascii="Times New Roman" w:hAnsi="Times New Roman"/>
          <w:lang w:val="da-DK"/>
        </w:rPr>
        <w:t>urin, gul hud eller øjne (tegn på leverproblemer).</w:t>
      </w:r>
    </w:p>
    <w:p w14:paraId="4559FDFE"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Udslæt, rød hud med små blærer på læber, øjne, hud eller mund, afskallet hud, feber, hævede røde eller lilla hudområder, kløe, brændende fornemmelse, pustuløst udslæt (tegn på hudproblemer).</w:t>
      </w:r>
    </w:p>
    <w:p w14:paraId="2871C3D4"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t>Kraftige mavesmerter, blod i opkast, afføring eller urin, sortfarvet afføring (tegn på mave-tarm-sygdomme).</w:t>
      </w:r>
    </w:p>
    <w:p w14:paraId="2F726B97"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Kraftigt nedsat urinmængde, følelse af tørst (tegn på nyreproblemer).</w:t>
      </w:r>
    </w:p>
    <w:p w14:paraId="539655F2"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Have kvalme med diarré og opkastning, mavesmerter eller feber (tegn på tarmproblemer).</w:t>
      </w:r>
    </w:p>
    <w:p w14:paraId="496C19CD"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 hovedpine, svækkelse eller lammelser af lemmer eller ansigt, talebesvær, pludseligt bevidsthedstab (tegn på problemer med nervesystemet såsom blødning eller hævelse i kranie/hjerne).</w:t>
      </w:r>
    </w:p>
    <w:p w14:paraId="5326B519"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Bleghed, føle sig træt og stakåndet og have mørk urin (tegn på lavt antal røde blodceller).</w:t>
      </w:r>
    </w:p>
    <w:p w14:paraId="0EFE61F1"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Øjensmerter eller svækkelse af dit syn, blødning i øjnene.</w:t>
      </w:r>
    </w:p>
    <w:p w14:paraId="50001691"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i hoften eller svært ved at gå.</w:t>
      </w:r>
    </w:p>
    <w:p w14:paraId="2E6EA579"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Følelsesløse eller kolde tæer og fingre (tegn på Raynaud´s syndrom).</w:t>
      </w:r>
    </w:p>
    <w:p w14:paraId="65CEE2E7"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Pludselig hævelse og rødme af huden (tegn på en hudinfektion kaldet cellulitis).</w:t>
      </w:r>
    </w:p>
    <w:p w14:paraId="4CE3B0DA"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Hørebesvær.</w:t>
      </w:r>
    </w:p>
    <w:p w14:paraId="56047B7A"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Muskelsvaghed, kramper og en unormal hjerterytme (tegn på ændringer i mængden af kalium i dit blod).</w:t>
      </w:r>
    </w:p>
    <w:p w14:paraId="0501E0D3"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Let ved at få blå mærker.</w:t>
      </w:r>
    </w:p>
    <w:p w14:paraId="341AA88A"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Mavesmerter med kvalme.</w:t>
      </w:r>
    </w:p>
    <w:p w14:paraId="7DC07E36"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med feber, rød-brun urin, smerter eller svaghed i dine muskler (tegn på muskelproblemer).</w:t>
      </w:r>
    </w:p>
    <w:p w14:paraId="5CB6D3C7"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Bækkensmerter, nogle gange med kvalme og opkastninger med uventet vaginalblødning, føle sig svimmel eller besvime pga. nedsat blodtryk (tegn på problemer med dine æggestokke eller livmoder).</w:t>
      </w:r>
    </w:p>
    <w:p w14:paraId="6CE7645D"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Kvalme, åndenød, uregelmæssig hjerterytme (puls), uklar urin, træthed og/eller ubehag forbundet med abnorme resultater af laboratorieprøver (f.eks. højt kalium-, urinsyre- og calcium og lavt fosforniveau i blodet).</w:t>
      </w:r>
    </w:p>
    <w:p w14:paraId="04023348" w14:textId="77777777" w:rsidR="0017077B" w:rsidRPr="00C76A02" w:rsidRDefault="0017077B" w:rsidP="0017077B">
      <w:pPr>
        <w:autoSpaceDE w:val="0"/>
        <w:autoSpaceDN w:val="0"/>
        <w:adjustRightInd w:val="0"/>
        <w:spacing w:after="0" w:line="240" w:lineRule="auto"/>
        <w:ind w:left="567" w:hanging="567"/>
        <w:rPr>
          <w:rFonts w:ascii="Times New Roman" w:hAnsi="Times New Roman"/>
          <w:lang w:val="sv-SE"/>
        </w:rPr>
      </w:pPr>
      <w:r w:rsidRPr="00C76A02">
        <w:rPr>
          <w:rFonts w:ascii="Times New Roman" w:hAnsi="Times New Roman"/>
          <w:lang w:val="sv-SE"/>
        </w:rPr>
        <w:t>-</w:t>
      </w:r>
      <w:r w:rsidRPr="00C76A02">
        <w:rPr>
          <w:rFonts w:ascii="Times New Roman" w:hAnsi="Times New Roman"/>
          <w:lang w:val="sv-SE"/>
        </w:rPr>
        <w:tab/>
        <w:t>Blodpropper i små blodkar (trombotisk mikroangiopati).</w:t>
      </w:r>
    </w:p>
    <w:p w14:paraId="63760F6B" w14:textId="77777777" w:rsidR="009D4FEF" w:rsidRPr="00C76A02" w:rsidRDefault="009D4FEF" w:rsidP="009D4FEF">
      <w:pPr>
        <w:autoSpaceDE w:val="0"/>
        <w:autoSpaceDN w:val="0"/>
        <w:adjustRightInd w:val="0"/>
        <w:spacing w:after="0" w:line="240" w:lineRule="auto"/>
        <w:ind w:left="567" w:hanging="567"/>
        <w:rPr>
          <w:rFonts w:ascii="Times New Roman" w:hAnsi="Times New Roman"/>
          <w:b/>
          <w:bCs/>
          <w:lang w:val="sv-SE"/>
        </w:rPr>
      </w:pPr>
    </w:p>
    <w:p w14:paraId="433A79E7" w14:textId="77777777" w:rsidR="009D4FEF" w:rsidRPr="00AA499E" w:rsidRDefault="009D4FEF" w:rsidP="009D4FEF">
      <w:pPr>
        <w:pStyle w:val="Default"/>
        <w:rPr>
          <w:sz w:val="22"/>
          <w:szCs w:val="22"/>
          <w:lang w:val="da-DK"/>
        </w:rPr>
      </w:pPr>
      <w:r w:rsidRPr="00AA499E">
        <w:rPr>
          <w:b/>
          <w:bCs/>
          <w:sz w:val="22"/>
          <w:szCs w:val="22"/>
          <w:lang w:val="da-DK"/>
        </w:rPr>
        <w:t xml:space="preserve">Ikke kendt </w:t>
      </w:r>
      <w:r w:rsidRPr="00AA499E">
        <w:rPr>
          <w:sz w:val="22"/>
          <w:szCs w:val="22"/>
          <w:lang w:val="da-DK"/>
        </w:rPr>
        <w:t xml:space="preserve">(kan ikke vurderes ud fra tilgængelige data): </w:t>
      </w:r>
    </w:p>
    <w:p w14:paraId="35635A53" w14:textId="77777777" w:rsidR="00526431"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Kombination af omfattende svært udslæt, følelse af at være syg, feber, højt indhold af visse hvide blodlegemer eller gul hud eller øjne (tegn på gulsot) med stakåndethed, brystsmerter/ubehag, svært nedsat urinproduktion og tørst osv. (tegn på en behandlingsrelateret allergisk reaktion).</w:t>
      </w:r>
    </w:p>
    <w:p w14:paraId="3F8CFFF7" w14:textId="77777777" w:rsidR="009D4FEF" w:rsidRPr="00AA499E" w:rsidRDefault="00526431"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Kronisk nyresvigt.</w:t>
      </w:r>
      <w:r w:rsidR="009D4FEF" w:rsidRPr="00AA499E">
        <w:rPr>
          <w:rFonts w:ascii="Times New Roman" w:hAnsi="Times New Roman"/>
          <w:lang w:val="da-DK"/>
        </w:rPr>
        <w:t xml:space="preserve"> </w:t>
      </w:r>
    </w:p>
    <w:p w14:paraId="1F446A18" w14:textId="77777777" w:rsidR="009770BB" w:rsidRPr="00AA499E" w:rsidRDefault="009770BB" w:rsidP="009770BB">
      <w:pPr>
        <w:autoSpaceDE w:val="0"/>
        <w:autoSpaceDN w:val="0"/>
        <w:adjustRightInd w:val="0"/>
        <w:spacing w:after="0" w:line="240" w:lineRule="auto"/>
        <w:ind w:left="567" w:hanging="567"/>
        <w:rPr>
          <w:rFonts w:ascii="Times New Roman" w:hAnsi="Times New Roman"/>
          <w:bCs/>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Cs/>
          <w:lang w:val="da-DK"/>
        </w:rPr>
        <w:t xml:space="preserve">Genopblussen (reaktivering) af hepatitis B-infektion, hvis </w:t>
      </w:r>
      <w:r w:rsidR="00A32833" w:rsidRPr="00AA499E">
        <w:rPr>
          <w:rFonts w:ascii="Times New Roman" w:hAnsi="Times New Roman"/>
          <w:bCs/>
          <w:lang w:val="da-DK"/>
        </w:rPr>
        <w:t>du tidligere har haft hepatitis </w:t>
      </w:r>
      <w:r w:rsidRPr="00AA499E">
        <w:rPr>
          <w:rFonts w:ascii="Times New Roman" w:hAnsi="Times New Roman"/>
          <w:bCs/>
          <w:lang w:val="da-DK"/>
        </w:rPr>
        <w:t>B (leverbetænde</w:t>
      </w:r>
      <w:r w:rsidR="00A32833" w:rsidRPr="00AA499E">
        <w:rPr>
          <w:rFonts w:ascii="Times New Roman" w:hAnsi="Times New Roman"/>
          <w:bCs/>
          <w:lang w:val="da-DK"/>
        </w:rPr>
        <w:t>lse type </w:t>
      </w:r>
      <w:r w:rsidRPr="00AA499E">
        <w:rPr>
          <w:rFonts w:ascii="Times New Roman" w:hAnsi="Times New Roman"/>
          <w:bCs/>
          <w:lang w:val="da-DK"/>
        </w:rPr>
        <w:t>B).</w:t>
      </w:r>
    </w:p>
    <w:p w14:paraId="1EA6D983" w14:textId="77777777" w:rsidR="009D4FEF" w:rsidRPr="00AA499E" w:rsidRDefault="009D4FEF" w:rsidP="009D4FEF">
      <w:pPr>
        <w:autoSpaceDE w:val="0"/>
        <w:autoSpaceDN w:val="0"/>
        <w:adjustRightInd w:val="0"/>
        <w:spacing w:after="0" w:line="240" w:lineRule="auto"/>
        <w:ind w:left="567" w:hanging="567"/>
        <w:rPr>
          <w:rFonts w:ascii="Times New Roman" w:hAnsi="Times New Roman"/>
          <w:b/>
          <w:bCs/>
          <w:lang w:val="da-DK"/>
        </w:rPr>
      </w:pPr>
    </w:p>
    <w:p w14:paraId="01F33250"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Kontakt din læge med det samme,</w:t>
      </w:r>
      <w:r w:rsidRPr="00AA499E">
        <w:rPr>
          <w:rFonts w:ascii="Times New Roman" w:hAnsi="Times New Roman"/>
          <w:lang w:val="da-DK"/>
        </w:rPr>
        <w:t xml:space="preserve"> hvis du oplever en af ovenstående bivirkninger.</w:t>
      </w:r>
    </w:p>
    <w:p w14:paraId="69DDD19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DBFA131"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Andre bivirkninger kan omfatte:</w:t>
      </w:r>
    </w:p>
    <w:p w14:paraId="3B97E33D"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4CF5808A"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Meget almindelige </w:t>
      </w:r>
      <w:r w:rsidRPr="00AA499E">
        <w:rPr>
          <w:rFonts w:ascii="Times New Roman" w:hAnsi="Times New Roman"/>
          <w:lang w:val="da-DK"/>
        </w:rPr>
        <w:t>(kan forekomme hos flere end 1 af 10 brugere)</w:t>
      </w:r>
      <w:r w:rsidRPr="00AA499E">
        <w:rPr>
          <w:rFonts w:ascii="Times New Roman" w:hAnsi="Times New Roman"/>
          <w:b/>
          <w:bCs/>
          <w:lang w:val="da-DK"/>
        </w:rPr>
        <w:t>:</w:t>
      </w:r>
    </w:p>
    <w:p w14:paraId="0150FEC3"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Hovedpine eller følelse af træthed.</w:t>
      </w:r>
    </w:p>
    <w:p w14:paraId="1B4A1D0A"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Kvalme, opkastninger, diarré eller fordøjelsesbesvær.</w:t>
      </w:r>
    </w:p>
    <w:p w14:paraId="0548C3D5"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Udslæt.</w:t>
      </w:r>
    </w:p>
    <w:p w14:paraId="538D6E06" w14:textId="77777777" w:rsidR="009D4FEF" w:rsidRPr="00AA499E" w:rsidRDefault="009D4FEF" w:rsidP="00B05A3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eller led-, muskel- eller knoglesmerter</w:t>
      </w:r>
      <w:r w:rsidR="00324263" w:rsidRPr="00AA499E">
        <w:rPr>
          <w:rFonts w:ascii="Times New Roman" w:hAnsi="Times New Roman"/>
          <w:lang w:val="da-DK"/>
        </w:rPr>
        <w:t xml:space="preserve"> mens du er i behandling med imatinib, eller efter du er stoppe</w:t>
      </w:r>
      <w:r w:rsidR="009770BB" w:rsidRPr="00AA499E">
        <w:rPr>
          <w:rFonts w:ascii="Times New Roman" w:hAnsi="Times New Roman"/>
          <w:lang w:val="da-DK"/>
        </w:rPr>
        <w:t>t</w:t>
      </w:r>
      <w:r w:rsidR="00324263" w:rsidRPr="00AA499E">
        <w:rPr>
          <w:rFonts w:ascii="Times New Roman" w:hAnsi="Times New Roman"/>
          <w:lang w:val="da-DK"/>
        </w:rPr>
        <w:t xml:space="preserve"> med at tage imatinib</w:t>
      </w:r>
      <w:r w:rsidRPr="00AA499E">
        <w:rPr>
          <w:rFonts w:ascii="Times New Roman" w:hAnsi="Times New Roman"/>
          <w:lang w:val="da-DK"/>
        </w:rPr>
        <w:t>.</w:t>
      </w:r>
    </w:p>
    <w:p w14:paraId="73C2C1BE"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Hævelse, som fx af anklerne eller omkring øjnene.</w:t>
      </w:r>
    </w:p>
    <w:p w14:paraId="118F8B37"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Vægtøgning.</w:t>
      </w:r>
    </w:p>
    <w:p w14:paraId="4ADC73C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0651847D"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0546CEE"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Almindelige </w:t>
      </w:r>
      <w:r w:rsidRPr="00AA499E">
        <w:rPr>
          <w:rFonts w:ascii="Times New Roman" w:hAnsi="Times New Roman"/>
          <w:lang w:val="da-DK"/>
        </w:rPr>
        <w:t>(kan forekomme hos op til 1 ud af 10 brugere)</w:t>
      </w:r>
      <w:r w:rsidRPr="00AA499E">
        <w:rPr>
          <w:rFonts w:ascii="Times New Roman" w:hAnsi="Times New Roman"/>
          <w:b/>
          <w:bCs/>
          <w:lang w:val="da-DK"/>
        </w:rPr>
        <w:t>:</w:t>
      </w:r>
    </w:p>
    <w:p w14:paraId="41E39ECF"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t>Appetitløshed, vægttab eller smagsforstyrrelser.</w:t>
      </w:r>
    </w:p>
    <w:p w14:paraId="54503574"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svag.</w:t>
      </w:r>
    </w:p>
    <w:p w14:paraId="241F8B98"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Svært ved at sove (søvnløshed).</w:t>
      </w:r>
    </w:p>
    <w:p w14:paraId="693B01A2"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Flåd fra øjet med kløe, rødme og hævelse (betændelse af øjets bindehinde), øget tåreflåd eller sløret syn.</w:t>
      </w:r>
    </w:p>
    <w:p w14:paraId="17BAA5A1"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Næseblod.</w:t>
      </w:r>
    </w:p>
    <w:p w14:paraId="6E70DC0A"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eller oppustning af maven, luft i maven, halsbrand eller forstoppelse.</w:t>
      </w:r>
    </w:p>
    <w:p w14:paraId="7AB66191"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Kløe.</w:t>
      </w:r>
    </w:p>
    <w:p w14:paraId="41C9F448"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Usædvanligt hårtab eller udtyndning af håret.</w:t>
      </w:r>
    </w:p>
    <w:p w14:paraId="7BAD4AB0"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Følelsesløshed i hænder eller fødder.</w:t>
      </w:r>
    </w:p>
    <w:p w14:paraId="42174EA7"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Sår i munden.</w:t>
      </w:r>
    </w:p>
    <w:p w14:paraId="13313B4E"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Hævede led og ledsmerter.</w:t>
      </w:r>
    </w:p>
    <w:p w14:paraId="62BCE29F"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Mundtørhed, tør hud eller tørre øjne.</w:t>
      </w:r>
    </w:p>
    <w:p w14:paraId="034ECBF3"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Nedsat eller øget følsomhed i huden.</w:t>
      </w:r>
    </w:p>
    <w:p w14:paraId="00F2E91F"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Hedeture, kulderystelser eller natlig svedtendens.</w:t>
      </w:r>
    </w:p>
    <w:p w14:paraId="01E5F474"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6DDFB45D"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A1743A3"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kendt </w:t>
      </w:r>
      <w:r w:rsidRPr="00AA499E">
        <w:rPr>
          <w:rFonts w:ascii="Times New Roman" w:hAnsi="Times New Roman"/>
          <w:lang w:val="da-DK"/>
        </w:rPr>
        <w:t>(hyppigheden kan ikke vurderes ud fra tilgængelige data)</w:t>
      </w:r>
      <w:r w:rsidRPr="00AA499E">
        <w:rPr>
          <w:rFonts w:ascii="Times New Roman" w:hAnsi="Times New Roman"/>
          <w:b/>
          <w:bCs/>
          <w:lang w:val="da-DK"/>
        </w:rPr>
        <w:t>:</w:t>
      </w:r>
    </w:p>
    <w:p w14:paraId="298A9DE8"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Rødmen og/eller hævelse af håndflader eller fodsåler, hvilket kan være ledsaget af en prikkende følelse eller brændende smerte.</w:t>
      </w:r>
    </w:p>
    <w:p w14:paraId="45D89104" w14:textId="77777777" w:rsidR="000361CE" w:rsidRPr="00AA499E" w:rsidRDefault="009D4FEF" w:rsidP="00A32833">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000361CE" w:rsidRPr="00AA499E">
        <w:rPr>
          <w:rFonts w:ascii="Times New Roman" w:hAnsi="Times New Roman"/>
          <w:lang w:val="da-DK"/>
        </w:rPr>
        <w:t>Smertefulde og/eller blæredannende hudlæsioner.</w:t>
      </w:r>
    </w:p>
    <w:p w14:paraId="20402816" w14:textId="77777777" w:rsidR="000361CE" w:rsidRPr="00AA499E" w:rsidRDefault="000361CE" w:rsidP="000361CE">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Langsommere vækst hos børn og unge.</w:t>
      </w:r>
    </w:p>
    <w:p w14:paraId="584EA178" w14:textId="77777777" w:rsidR="009D4FEF" w:rsidRPr="00AA499E" w:rsidRDefault="009D4FEF" w:rsidP="00A32833">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5B954B63"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97A0A28" w14:textId="77777777" w:rsidR="009D4FEF" w:rsidRPr="00AA499E" w:rsidRDefault="009D4FEF" w:rsidP="009D4FEF">
      <w:pPr>
        <w:numPr>
          <w:ilvl w:val="12"/>
          <w:numId w:val="0"/>
        </w:numPr>
        <w:spacing w:after="0" w:line="240" w:lineRule="auto"/>
        <w:outlineLvl w:val="0"/>
        <w:rPr>
          <w:rFonts w:ascii="Times New Roman" w:eastAsia="Times New Roman" w:hAnsi="Times New Roman"/>
          <w:noProof/>
          <w:u w:val="single"/>
          <w:lang w:val="da-DK" w:eastAsia="fr-LU"/>
        </w:rPr>
      </w:pPr>
      <w:r w:rsidRPr="00AA499E">
        <w:rPr>
          <w:rFonts w:ascii="Times New Roman" w:eastAsia="Times New Roman" w:hAnsi="Times New Roman"/>
          <w:noProof/>
          <w:u w:val="single"/>
          <w:lang w:val="da-DK" w:eastAsia="fr-LU"/>
        </w:rPr>
        <w:t xml:space="preserve">Indberetning af </w:t>
      </w:r>
      <w:r w:rsidRPr="00AA499E">
        <w:rPr>
          <w:rFonts w:ascii="Times New Roman" w:eastAsia="Times New Roman" w:hAnsi="Times New Roman"/>
          <w:u w:val="single"/>
          <w:lang w:val="da-DK" w:eastAsia="fr-LU"/>
        </w:rPr>
        <w:t>bivirkninger</w:t>
      </w:r>
    </w:p>
    <w:p w14:paraId="29E4574E" w14:textId="15AA106D" w:rsidR="009D4FEF" w:rsidRPr="00AA499E" w:rsidRDefault="009D4FEF" w:rsidP="009D4FEF">
      <w:pPr>
        <w:suppressAutoHyphens/>
        <w:spacing w:after="0" w:line="240" w:lineRule="auto"/>
        <w:rPr>
          <w:rFonts w:ascii="Times New Roman" w:eastAsia="Times New Roman" w:hAnsi="Times New Roman"/>
          <w:color w:val="000000"/>
          <w:lang w:val="da-DK" w:eastAsia="fr-LU"/>
        </w:rPr>
      </w:pPr>
      <w:r w:rsidRPr="00AA499E">
        <w:rPr>
          <w:rFonts w:ascii="Times New Roman" w:eastAsia="Times New Roman" w:hAnsi="Times New Roman"/>
          <w:color w:val="000000"/>
          <w:lang w:val="da-DK" w:eastAsia="fr-LU"/>
        </w:rPr>
        <w:t xml:space="preserve">Hvis du oplever bivirkninger, bør du tale med din læge, </w:t>
      </w:r>
      <w:r w:rsidR="008106C4" w:rsidRPr="00AA499E">
        <w:rPr>
          <w:rFonts w:ascii="Times New Roman" w:eastAsia="Times New Roman" w:hAnsi="Times New Roman"/>
          <w:noProof/>
          <w:lang w:val="da-DK" w:eastAsia="fr-LU"/>
        </w:rPr>
        <w:t>apotekspersonalet eller sygeplejersken</w:t>
      </w:r>
      <w:r w:rsidRPr="00AA499E">
        <w:rPr>
          <w:rFonts w:ascii="Times New Roman" w:eastAsia="Times New Roman" w:hAnsi="Times New Roman"/>
          <w:color w:val="000000"/>
          <w:lang w:val="da-DK" w:eastAsia="fr-LU"/>
        </w:rPr>
        <w:t xml:space="preserve">. Dette gælder også mulige bivirkninger, som ikke er medtaget i denne indlægsseddel. Du eller dine pårørende kan også indberette bivirkninger direkte til </w:t>
      </w:r>
      <w:r w:rsidR="00406109" w:rsidRPr="00AA499E">
        <w:rPr>
          <w:rFonts w:ascii="Times New Roman" w:eastAsia="Times New Roman" w:hAnsi="Times New Roman"/>
          <w:color w:val="000000"/>
          <w:lang w:val="da-DK" w:eastAsia="fr-LU"/>
        </w:rPr>
        <w:t>Lægemiddelstyrelsen</w:t>
      </w:r>
      <w:r w:rsidRPr="00AA499E">
        <w:rPr>
          <w:rFonts w:ascii="Times New Roman" w:eastAsia="Times New Roman" w:hAnsi="Times New Roman"/>
          <w:color w:val="000000"/>
          <w:lang w:val="da-DK" w:eastAsia="fr-LU"/>
        </w:rPr>
        <w:t xml:space="preserve"> via </w:t>
      </w:r>
      <w:r w:rsidRPr="00AA499E">
        <w:rPr>
          <w:rFonts w:ascii="Times New Roman" w:eastAsia="Times New Roman" w:hAnsi="Times New Roman"/>
          <w:color w:val="000000"/>
          <w:highlight w:val="lightGray"/>
          <w:lang w:val="da-DK" w:eastAsia="fr-LU"/>
        </w:rPr>
        <w:t xml:space="preserve">det nationale rapporteringssystem anført i </w:t>
      </w:r>
      <w:hyperlink r:id="rId20" w:history="1">
        <w:r w:rsidRPr="00AA499E">
          <w:rPr>
            <w:rFonts w:ascii="Times New Roman" w:eastAsia="Times New Roman" w:hAnsi="Times New Roman"/>
            <w:color w:val="0000FF"/>
            <w:highlight w:val="lightGray"/>
            <w:u w:val="single"/>
            <w:lang w:val="da-DK" w:eastAsia="fr-LU"/>
          </w:rPr>
          <w:t>Appendiks V</w:t>
        </w:r>
      </w:hyperlink>
      <w:r w:rsidRPr="00AA499E">
        <w:rPr>
          <w:rFonts w:ascii="Times New Roman" w:eastAsia="Times New Roman" w:hAnsi="Times New Roman"/>
          <w:color w:val="000000"/>
          <w:lang w:val="da-DK" w:eastAsia="fr-LU"/>
        </w:rPr>
        <w:t>. Ved at indrapportere bivirkninger kan du hjælpe med at fremskaffe mere information om sikkerheden af dette lægemiddel.</w:t>
      </w:r>
    </w:p>
    <w:p w14:paraId="37F61CB5"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7B82FA1"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008388F"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w:t>
      </w:r>
      <w:r w:rsidRPr="00AA499E">
        <w:rPr>
          <w:rFonts w:ascii="Times New Roman" w:hAnsi="Times New Roman"/>
          <w:b/>
          <w:bCs/>
          <w:lang w:val="da-DK"/>
        </w:rPr>
        <w:tab/>
        <w:t>Opbevaring</w:t>
      </w:r>
    </w:p>
    <w:p w14:paraId="066EB692"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05EB2D0"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 lægemid</w:t>
      </w:r>
      <w:r w:rsidR="00406109" w:rsidRPr="00AA499E">
        <w:rPr>
          <w:rFonts w:ascii="Times New Roman" w:hAnsi="Times New Roman"/>
          <w:lang w:val="da-DK"/>
        </w:rPr>
        <w:t>let</w:t>
      </w:r>
      <w:r w:rsidRPr="00AA499E">
        <w:rPr>
          <w:rFonts w:ascii="Times New Roman" w:hAnsi="Times New Roman"/>
          <w:lang w:val="da-DK"/>
        </w:rPr>
        <w:t xml:space="preserve"> utilgængeligt for børn.</w:t>
      </w:r>
    </w:p>
    <w:p w14:paraId="2BFEC31C" w14:textId="46BB2362"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Brug ikke lægemid</w:t>
      </w:r>
      <w:r w:rsidR="00406109" w:rsidRPr="00AA499E">
        <w:rPr>
          <w:rFonts w:ascii="Times New Roman" w:hAnsi="Times New Roman"/>
          <w:lang w:val="da-DK"/>
        </w:rPr>
        <w:t>let</w:t>
      </w:r>
      <w:r w:rsidRPr="00AA499E">
        <w:rPr>
          <w:rFonts w:ascii="Times New Roman" w:hAnsi="Times New Roman"/>
          <w:lang w:val="da-DK"/>
        </w:rPr>
        <w:t xml:space="preserve"> efter den udløbsdato, der står på </w:t>
      </w:r>
      <w:r w:rsidR="008106C4" w:rsidRPr="00AA499E">
        <w:rPr>
          <w:rFonts w:ascii="Times New Roman" w:hAnsi="Times New Roman"/>
          <w:lang w:val="da-DK"/>
        </w:rPr>
        <w:t xml:space="preserve">æsken </w:t>
      </w:r>
      <w:r w:rsidR="000361CE" w:rsidRPr="00AA499E">
        <w:rPr>
          <w:rFonts w:ascii="Times New Roman" w:hAnsi="Times New Roman"/>
          <w:lang w:val="da-DK"/>
        </w:rPr>
        <w:t>og blisteren efter EXP</w:t>
      </w:r>
      <w:r w:rsidRPr="00AA499E">
        <w:rPr>
          <w:rFonts w:ascii="Times New Roman" w:hAnsi="Times New Roman"/>
          <w:lang w:val="da-DK"/>
        </w:rPr>
        <w:t>. Udløbsdatoen er den sidste dag i den nævnte måned.</w:t>
      </w:r>
    </w:p>
    <w:p w14:paraId="678FD213"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Må ikke opbevares ved temperaturer over 25°C. Opbevares i den originale yderpakning for at beskytte mod fugt.</w:t>
      </w:r>
    </w:p>
    <w:p w14:paraId="137B18FE"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Pakningen må ikke anvendes, hvis den er beskadiget, eller der er tegn på, at pakningen har været åbnet.</w:t>
      </w:r>
    </w:p>
    <w:p w14:paraId="747A85F0" w14:textId="14492FF6"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Af hensyn til miljøet må du ikke smide medicinrester i afløbet, toilettet eller skraldespanden. Spørg på </w:t>
      </w:r>
      <w:r w:rsidR="008106C4" w:rsidRPr="00AA499E">
        <w:rPr>
          <w:rFonts w:ascii="Times New Roman" w:hAnsi="Times New Roman"/>
          <w:lang w:val="da-DK"/>
        </w:rPr>
        <w:t>apotekspersonalet</w:t>
      </w:r>
      <w:r w:rsidRPr="00AA499E">
        <w:rPr>
          <w:rFonts w:ascii="Times New Roman" w:hAnsi="Times New Roman"/>
          <w:lang w:val="da-DK"/>
        </w:rPr>
        <w:t>, hvordan du skal bortskaffe medicinrester. Dette er en miljømæssig foranstaltning.</w:t>
      </w:r>
    </w:p>
    <w:p w14:paraId="1B7134D6"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6104B7E7"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0D1001AC"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Pakningsstørrelser og yderligere oplysninger</w:t>
      </w:r>
    </w:p>
    <w:p w14:paraId="3A1CD46A"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F0DB16F"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indeholder</w:t>
      </w:r>
    </w:p>
    <w:p w14:paraId="4B5CE1BD"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Aktivt stof: imatinib (som mesilat). Hver kapsel indeholder 400 mg imatinib (som mesilat).</w:t>
      </w:r>
    </w:p>
    <w:p w14:paraId="454CF796" w14:textId="77777777" w:rsidR="009D4FEF" w:rsidRPr="00AA499E" w:rsidRDefault="009D4FEF" w:rsidP="009D4FEF">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Øvrige indholdsstoffer: Kapselindhold: mikrokrystallinsk cellulose, copovidon, crospovidon, natriumstearylfumarat, silica (vandskyende kolloid, kolloid vandfri). </w:t>
      </w:r>
    </w:p>
    <w:p w14:paraId="34C30CDC" w14:textId="77777777" w:rsidR="009D4FEF" w:rsidRPr="00AA499E" w:rsidRDefault="009D4FEF" w:rsidP="009D4FE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lastRenderedPageBreak/>
        <w:t xml:space="preserve">Kapselskal: hypromellose, titandioxid (E 171), gul jernoxid (E 172), rød jernoxid (E 172), sort jernoxid (E 172). </w:t>
      </w:r>
    </w:p>
    <w:p w14:paraId="39D125D2" w14:textId="77777777" w:rsidR="009D4FEF" w:rsidRPr="00AA499E" w:rsidRDefault="009D4FEF" w:rsidP="009D4FEF">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Prægeblæk: shellac glaze-45%, sort jernoxid (E172), propylenglycol,  ammonium hydroxid 28%.</w:t>
      </w:r>
    </w:p>
    <w:p w14:paraId="27A4B139"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42F9991"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Udseende og pakningsstørrelser</w:t>
      </w:r>
    </w:p>
    <w:p w14:paraId="612342EA"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Hård kapsel med  orange uigennemsigtig overtræk og kerne og præget med 400 mg i sort farve.</w:t>
      </w:r>
    </w:p>
    <w:p w14:paraId="20CAF2F0" w14:textId="77777777" w:rsidR="009D4FEF" w:rsidRPr="00AA499E" w:rsidRDefault="009D4FEF" w:rsidP="009D4FEF">
      <w:pPr>
        <w:pStyle w:val="KeinLeerraum"/>
        <w:rPr>
          <w:rFonts w:ascii="Times New Roman" w:hAnsi="Times New Roman"/>
          <w:lang w:val="da-DK"/>
        </w:rPr>
      </w:pPr>
      <w:r w:rsidRPr="00AA499E">
        <w:rPr>
          <w:rFonts w:ascii="Times New Roman" w:hAnsi="Times New Roman"/>
          <w:lang w:val="da-DK"/>
        </w:rPr>
        <w:t>Kapslen indeholder lysegult pulver.</w:t>
      </w:r>
    </w:p>
    <w:p w14:paraId="24D69231"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56B333B2" w14:textId="77777777" w:rsidR="009D4FEF" w:rsidRPr="00AA499E" w:rsidRDefault="009D4FEF" w:rsidP="009D4FEF">
      <w:pPr>
        <w:autoSpaceDE w:val="0"/>
        <w:autoSpaceDN w:val="0"/>
        <w:adjustRightInd w:val="0"/>
        <w:spacing w:after="0" w:line="240" w:lineRule="auto"/>
        <w:rPr>
          <w:rFonts w:ascii="Times New Roman" w:hAnsi="Times New Roman"/>
          <w:i/>
          <w:iCs/>
          <w:lang w:val="da-DK"/>
        </w:rPr>
      </w:pPr>
      <w:r w:rsidRPr="00AA499E">
        <w:rPr>
          <w:rFonts w:ascii="Times New Roman" w:hAnsi="Times New Roman"/>
          <w:i/>
          <w:iCs/>
          <w:lang w:val="da-DK"/>
        </w:rPr>
        <w:t>Pakningsstørrelser:</w:t>
      </w:r>
    </w:p>
    <w:p w14:paraId="33D321F6" w14:textId="77777777" w:rsidR="009D4FEF" w:rsidRPr="00AA499E" w:rsidRDefault="009D4FEF" w:rsidP="009D4FEF">
      <w:pPr>
        <w:pStyle w:val="KeinLeerraum"/>
        <w:rPr>
          <w:rFonts w:ascii="Times New Roman" w:hAnsi="Times New Roman"/>
          <w:lang w:val="da-DK"/>
        </w:rPr>
      </w:pPr>
    </w:p>
    <w:p w14:paraId="45CA9C3B" w14:textId="77777777" w:rsidR="009D4FEF" w:rsidRPr="00AA499E" w:rsidRDefault="009D4FEF" w:rsidP="009D4FEF">
      <w:pPr>
        <w:pStyle w:val="KeinLeerraum"/>
        <w:rPr>
          <w:rFonts w:ascii="Times New Roman" w:hAnsi="Times New Roman"/>
          <w:lang w:val="da-DK"/>
        </w:rPr>
      </w:pPr>
      <w:r w:rsidRPr="00AA499E">
        <w:rPr>
          <w:rFonts w:ascii="Times New Roman" w:hAnsi="Times New Roman"/>
          <w:lang w:val="da-DK"/>
        </w:rPr>
        <w:t xml:space="preserve">Kapslerne findes i blisterpakninger af aluminium med 10, 30, 60 eller 90 kapsler. </w:t>
      </w:r>
    </w:p>
    <w:p w14:paraId="08D85050" w14:textId="77777777" w:rsidR="009D4FEF" w:rsidRPr="00AA499E" w:rsidRDefault="009D4FEF" w:rsidP="009D4FEF">
      <w:pPr>
        <w:autoSpaceDE w:val="0"/>
        <w:autoSpaceDN w:val="0"/>
        <w:adjustRightInd w:val="0"/>
        <w:spacing w:after="0" w:line="240" w:lineRule="auto"/>
        <w:rPr>
          <w:rFonts w:ascii="Times New Roman" w:hAnsi="Times New Roman"/>
          <w:highlight w:val="yellow"/>
          <w:lang w:val="da-DK"/>
        </w:rPr>
      </w:pPr>
    </w:p>
    <w:p w14:paraId="6D8DCE79"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alle pakningsstørrelser er nødvendigvis markedsført.</w:t>
      </w:r>
    </w:p>
    <w:p w14:paraId="7436E7BF"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79658AE3"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Indehaver af markedsføringstilladelsen</w:t>
      </w:r>
    </w:p>
    <w:p w14:paraId="478E1416"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30A55FF1"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Reykjavíkurvegur 76-78,</w:t>
      </w:r>
    </w:p>
    <w:p w14:paraId="535E731F"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Hafnarfjörður</w:t>
      </w:r>
    </w:p>
    <w:p w14:paraId="69734C8B"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074C5A00"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17255BE3" w14:textId="77777777" w:rsidR="009D4FEF" w:rsidRPr="00AA499E" w:rsidRDefault="009D4FEF" w:rsidP="009D4FEF">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Fremstiller</w:t>
      </w:r>
    </w:p>
    <w:p w14:paraId="0F42DB8D" w14:textId="77777777" w:rsidR="009D4FEF" w:rsidRPr="00AA499E" w:rsidRDefault="009D4FEF" w:rsidP="009D4FEF">
      <w:pPr>
        <w:pStyle w:val="KeinLeerraum"/>
        <w:rPr>
          <w:rFonts w:ascii="Times New Roman" w:hAnsi="Times New Roman"/>
          <w:lang w:val="da-DK"/>
        </w:rPr>
      </w:pPr>
      <w:r w:rsidRPr="00AA499E">
        <w:rPr>
          <w:rFonts w:ascii="Times New Roman" w:hAnsi="Times New Roman"/>
          <w:lang w:val="da-DK"/>
        </w:rPr>
        <w:t>S.C. SindanPharma S.R.L.</w:t>
      </w:r>
    </w:p>
    <w:p w14:paraId="12ED59A9" w14:textId="77777777" w:rsidR="009D4FEF" w:rsidRPr="00AA499E" w:rsidRDefault="009D4FEF" w:rsidP="009D4FEF">
      <w:pPr>
        <w:pStyle w:val="KeinLeerraum"/>
        <w:rPr>
          <w:rFonts w:ascii="Times New Roman" w:hAnsi="Times New Roman"/>
          <w:lang w:val="da-DK"/>
        </w:rPr>
      </w:pPr>
      <w:r w:rsidRPr="00AA499E">
        <w:rPr>
          <w:rFonts w:ascii="Times New Roman" w:hAnsi="Times New Roman"/>
          <w:lang w:val="da-DK"/>
        </w:rPr>
        <w:t>11 Ion Mihalache Blvd</w:t>
      </w:r>
    </w:p>
    <w:p w14:paraId="36956D08" w14:textId="77777777" w:rsidR="009D4FEF" w:rsidRPr="00AA499E" w:rsidRDefault="009D4FEF" w:rsidP="009D4FEF">
      <w:pPr>
        <w:pStyle w:val="KeinLeerraum"/>
        <w:rPr>
          <w:rFonts w:ascii="Times New Roman" w:hAnsi="Times New Roman"/>
          <w:lang w:val="da-DK"/>
        </w:rPr>
      </w:pPr>
      <w:r w:rsidRPr="00AA499E">
        <w:rPr>
          <w:rFonts w:ascii="Times New Roman" w:hAnsi="Times New Roman"/>
          <w:lang w:val="da-DK"/>
        </w:rPr>
        <w:t>Bukarest</w:t>
      </w:r>
    </w:p>
    <w:p w14:paraId="1D848E12" w14:textId="77777777" w:rsidR="009D4FEF" w:rsidRPr="00AA499E" w:rsidRDefault="009D4FEF" w:rsidP="009D4FEF">
      <w:pPr>
        <w:pStyle w:val="KeinLeerraum"/>
        <w:rPr>
          <w:rFonts w:ascii="Times New Roman" w:hAnsi="Times New Roman"/>
          <w:lang w:val="da-DK"/>
        </w:rPr>
      </w:pPr>
      <w:r w:rsidRPr="00AA499E">
        <w:rPr>
          <w:rFonts w:ascii="Times New Roman" w:hAnsi="Times New Roman"/>
          <w:lang w:val="da-DK"/>
        </w:rPr>
        <w:t>Rumænien</w:t>
      </w:r>
    </w:p>
    <w:p w14:paraId="014B0AEE" w14:textId="77777777" w:rsidR="009D4FEF" w:rsidRPr="00AA499E" w:rsidRDefault="009D4FEF" w:rsidP="009D4FEF">
      <w:pPr>
        <w:autoSpaceDE w:val="0"/>
        <w:autoSpaceDN w:val="0"/>
        <w:adjustRightInd w:val="0"/>
        <w:spacing w:after="0" w:line="240" w:lineRule="auto"/>
        <w:rPr>
          <w:rFonts w:ascii="Times New Roman" w:hAnsi="Times New Roman"/>
          <w:lang w:val="da-DK"/>
        </w:rPr>
      </w:pPr>
    </w:p>
    <w:p w14:paraId="36EEFD64" w14:textId="77777777" w:rsidR="009D4FEF" w:rsidRPr="00AA499E" w:rsidRDefault="009D4FEF" w:rsidP="009D4FEF">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ønsker yderligere oplysninger om dette lægemiddel, skal du henvende dig til den lokale repræsentant for</w:t>
      </w:r>
      <w:r w:rsidR="008239C4" w:rsidRPr="00AA499E">
        <w:rPr>
          <w:rFonts w:ascii="Times New Roman" w:hAnsi="Times New Roman"/>
          <w:lang w:val="da-DK"/>
        </w:rPr>
        <w:t xml:space="preserve"> </w:t>
      </w:r>
      <w:r w:rsidRPr="00AA499E">
        <w:rPr>
          <w:rFonts w:ascii="Times New Roman" w:hAnsi="Times New Roman"/>
          <w:lang w:val="da-DK"/>
        </w:rPr>
        <w:t>indehaveren af markedsføringstilladelsen.</w:t>
      </w:r>
    </w:p>
    <w:p w14:paraId="6C1A9ADF" w14:textId="77777777" w:rsidR="00A26B73" w:rsidRPr="007A1698" w:rsidRDefault="00A26B73" w:rsidP="00A26B73">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26B73" w:rsidRPr="00DC08DD" w14:paraId="41D7D7C3" w14:textId="77777777" w:rsidTr="00A26B73">
        <w:trPr>
          <w:gridBefore w:val="1"/>
          <w:wBefore w:w="34" w:type="dxa"/>
          <w:cantSplit/>
        </w:trPr>
        <w:tc>
          <w:tcPr>
            <w:tcW w:w="4644" w:type="dxa"/>
          </w:tcPr>
          <w:p w14:paraId="53B454E5"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België/Belgique/Belgien</w:t>
            </w:r>
          </w:p>
          <w:p w14:paraId="4829C70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05C46E33"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IJsland/Islande/Island</w:t>
            </w:r>
          </w:p>
          <w:p w14:paraId="5BC43F2A"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Tél/Tel: +354 5503300</w:t>
            </w:r>
          </w:p>
          <w:p w14:paraId="12B827A5" w14:textId="77777777" w:rsidR="00A26B73" w:rsidRPr="00DC08DD" w:rsidRDefault="00A26B73" w:rsidP="00A26B73">
            <w:pPr>
              <w:pStyle w:val="KeinLeerraum"/>
              <w:rPr>
                <w:rFonts w:ascii="Times New Roman" w:hAnsi="Times New Roman"/>
                <w:lang w:val="en-GB"/>
              </w:rPr>
            </w:pPr>
          </w:p>
        </w:tc>
        <w:tc>
          <w:tcPr>
            <w:tcW w:w="4678" w:type="dxa"/>
          </w:tcPr>
          <w:p w14:paraId="3DD5A24F"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Lietuva</w:t>
            </w:r>
          </w:p>
          <w:p w14:paraId="47C08179" w14:textId="56C19D2C" w:rsidR="00A26B73" w:rsidRPr="00DC08DD" w:rsidRDefault="00A26B73" w:rsidP="00A26B73">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3F33D174"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1F72875" w14:textId="77777777" w:rsidR="00A26B73" w:rsidRPr="00DC08DD" w:rsidRDefault="00A26B73" w:rsidP="00A26B73">
            <w:pPr>
              <w:pStyle w:val="KeinLeerraum"/>
              <w:rPr>
                <w:rFonts w:ascii="Times New Roman" w:hAnsi="Times New Roman"/>
                <w:lang w:val="en-GB"/>
              </w:rPr>
            </w:pPr>
          </w:p>
        </w:tc>
      </w:tr>
      <w:tr w:rsidR="00A26B73" w:rsidRPr="00DC08DD" w14:paraId="64289747" w14:textId="77777777" w:rsidTr="00A26B73">
        <w:trPr>
          <w:gridBefore w:val="1"/>
          <w:wBefore w:w="34" w:type="dxa"/>
          <w:cantSplit/>
        </w:trPr>
        <w:tc>
          <w:tcPr>
            <w:tcW w:w="4644" w:type="dxa"/>
          </w:tcPr>
          <w:p w14:paraId="107D23B7"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България</w:t>
            </w:r>
          </w:p>
          <w:p w14:paraId="2BCFEF16"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Актавис ЕАД</w:t>
            </w:r>
          </w:p>
          <w:p w14:paraId="6313DD08"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C136509" w14:textId="77777777" w:rsidR="00A26B73" w:rsidRPr="00DC08DD" w:rsidRDefault="00A26B73" w:rsidP="00A26B73">
            <w:pPr>
              <w:pStyle w:val="KeinLeerraum"/>
              <w:rPr>
                <w:rFonts w:ascii="Times New Roman" w:hAnsi="Times New Roman"/>
                <w:lang w:val="en-GB"/>
              </w:rPr>
            </w:pPr>
          </w:p>
        </w:tc>
        <w:tc>
          <w:tcPr>
            <w:tcW w:w="4678" w:type="dxa"/>
          </w:tcPr>
          <w:p w14:paraId="5F17B7AD"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Luxembourg/Luxemburg</w:t>
            </w:r>
          </w:p>
          <w:p w14:paraId="2BEE4489"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Actavis Group PTC ehf.</w:t>
            </w:r>
          </w:p>
          <w:p w14:paraId="6EC809B1"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Islande/Island</w:t>
            </w:r>
          </w:p>
          <w:p w14:paraId="0B28C7E9"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3689EBD2" w14:textId="77777777" w:rsidR="00A26B73" w:rsidRPr="00DC08DD" w:rsidRDefault="00A26B73" w:rsidP="00A26B73">
            <w:pPr>
              <w:pStyle w:val="KeinLeerraum"/>
              <w:rPr>
                <w:rFonts w:ascii="Times New Roman" w:hAnsi="Times New Roman"/>
                <w:lang w:val="en-GB"/>
              </w:rPr>
            </w:pPr>
          </w:p>
        </w:tc>
      </w:tr>
      <w:tr w:rsidR="00A26B73" w:rsidRPr="00DC08DD" w14:paraId="3A1FB9A5" w14:textId="77777777" w:rsidTr="00A26B73">
        <w:trPr>
          <w:gridBefore w:val="1"/>
          <w:wBefore w:w="34" w:type="dxa"/>
          <w:cantSplit/>
          <w:trHeight w:val="751"/>
        </w:trPr>
        <w:tc>
          <w:tcPr>
            <w:tcW w:w="4644" w:type="dxa"/>
          </w:tcPr>
          <w:p w14:paraId="04405D48"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Česká republika</w:t>
            </w:r>
          </w:p>
          <w:p w14:paraId="34474882" w14:textId="77777777" w:rsidR="00A26B73" w:rsidRPr="00DC08DD" w:rsidRDefault="00A26B73" w:rsidP="00A26B73">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2DB5634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22AEF356" w14:textId="77777777" w:rsidR="00A26B73" w:rsidRPr="00DC08DD" w:rsidRDefault="00A26B73" w:rsidP="00A26B73">
            <w:pPr>
              <w:pStyle w:val="KeinLeerraum"/>
              <w:rPr>
                <w:rFonts w:ascii="Times New Roman" w:hAnsi="Times New Roman"/>
                <w:lang w:val="en-GB"/>
              </w:rPr>
            </w:pPr>
          </w:p>
        </w:tc>
        <w:tc>
          <w:tcPr>
            <w:tcW w:w="4678" w:type="dxa"/>
          </w:tcPr>
          <w:p w14:paraId="2CBA01D6"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Magyarország</w:t>
            </w:r>
          </w:p>
          <w:p w14:paraId="76E52F2D"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rPr>
              <w:t>Teva Gyógyszergyár Zrt.</w:t>
            </w:r>
          </w:p>
          <w:p w14:paraId="514FD9A4"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7F5D5200" w14:textId="77777777" w:rsidR="00A26B73" w:rsidRPr="00DC08DD" w:rsidRDefault="00A26B73" w:rsidP="00A26B73">
            <w:pPr>
              <w:pStyle w:val="KeinLeerraum"/>
              <w:rPr>
                <w:rFonts w:ascii="Times New Roman" w:hAnsi="Times New Roman"/>
                <w:lang w:val="en-GB"/>
              </w:rPr>
            </w:pPr>
          </w:p>
        </w:tc>
      </w:tr>
      <w:tr w:rsidR="00A26B73" w:rsidRPr="00DC08DD" w14:paraId="1DA0C176" w14:textId="77777777" w:rsidTr="00A26B73">
        <w:trPr>
          <w:gridBefore w:val="1"/>
          <w:wBefore w:w="34" w:type="dxa"/>
          <w:cantSplit/>
        </w:trPr>
        <w:tc>
          <w:tcPr>
            <w:tcW w:w="4644" w:type="dxa"/>
          </w:tcPr>
          <w:p w14:paraId="6E21BB4A"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Danmark</w:t>
            </w:r>
          </w:p>
          <w:p w14:paraId="1F1B099C"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Teva Denmark A/S</w:t>
            </w:r>
          </w:p>
          <w:p w14:paraId="6B4C65BC"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Tlf: +45 44985511</w:t>
            </w:r>
          </w:p>
          <w:p w14:paraId="6CE7C2BF" w14:textId="77777777" w:rsidR="00A26B73" w:rsidRPr="00DC08DD" w:rsidRDefault="00A26B73" w:rsidP="00A26B73">
            <w:pPr>
              <w:pStyle w:val="KeinLeerraum"/>
              <w:rPr>
                <w:rFonts w:ascii="Times New Roman" w:hAnsi="Times New Roman"/>
                <w:lang w:val="en-GB"/>
              </w:rPr>
            </w:pPr>
          </w:p>
        </w:tc>
        <w:tc>
          <w:tcPr>
            <w:tcW w:w="4678" w:type="dxa"/>
          </w:tcPr>
          <w:p w14:paraId="1227177F"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Malta</w:t>
            </w:r>
          </w:p>
          <w:p w14:paraId="00BD0B3A"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Ltd.</w:t>
            </w:r>
          </w:p>
          <w:p w14:paraId="6F646A5D"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7A5157C3" w14:textId="77777777" w:rsidR="00A26B73" w:rsidRPr="00DC08DD" w:rsidRDefault="00A26B73" w:rsidP="00A26B73">
            <w:pPr>
              <w:pStyle w:val="KeinLeerraum"/>
              <w:rPr>
                <w:rFonts w:ascii="Times New Roman" w:hAnsi="Times New Roman"/>
                <w:lang w:val="en-GB"/>
              </w:rPr>
            </w:pPr>
          </w:p>
        </w:tc>
      </w:tr>
      <w:tr w:rsidR="00A26B73" w:rsidRPr="00DC08DD" w14:paraId="65C04313" w14:textId="77777777" w:rsidTr="00A26B73">
        <w:trPr>
          <w:gridBefore w:val="1"/>
          <w:wBefore w:w="34" w:type="dxa"/>
          <w:cantSplit/>
        </w:trPr>
        <w:tc>
          <w:tcPr>
            <w:tcW w:w="4644" w:type="dxa"/>
          </w:tcPr>
          <w:p w14:paraId="3B2A9BD1"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lastRenderedPageBreak/>
              <w:t>Deutschland</w:t>
            </w:r>
          </w:p>
          <w:p w14:paraId="6CA8737F" w14:textId="77777777" w:rsidR="00A26B73" w:rsidRPr="00DC08DD" w:rsidRDefault="00A26B73" w:rsidP="00A26B73">
            <w:pPr>
              <w:spacing w:after="0" w:line="240" w:lineRule="auto"/>
              <w:rPr>
                <w:rFonts w:ascii="Times New Roman" w:hAnsi="Times New Roman"/>
                <w:lang w:val="en-GB"/>
              </w:rPr>
            </w:pPr>
            <w:r w:rsidRPr="00DC08DD">
              <w:rPr>
                <w:rFonts w:ascii="Times New Roman" w:hAnsi="Times New Roman"/>
                <w:lang w:val="en-GB"/>
              </w:rPr>
              <w:t>Actavis Group PTC ehf.</w:t>
            </w:r>
          </w:p>
          <w:p w14:paraId="1563AF6C" w14:textId="77777777" w:rsidR="00A26B73" w:rsidRDefault="00A26B73" w:rsidP="00A26B73">
            <w:pPr>
              <w:pStyle w:val="KeinLeerraum"/>
              <w:rPr>
                <w:rFonts w:ascii="Times New Roman" w:hAnsi="Times New Roman"/>
                <w:lang w:val="en-US"/>
              </w:rPr>
            </w:pPr>
            <w:r w:rsidRPr="00DC08DD">
              <w:rPr>
                <w:rFonts w:ascii="Times New Roman" w:hAnsi="Times New Roman"/>
                <w:lang w:val="en-US"/>
              </w:rPr>
              <w:t>Island</w:t>
            </w:r>
          </w:p>
          <w:p w14:paraId="2C4D8572"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35053DA2" w14:textId="77777777" w:rsidR="00A26B73" w:rsidRPr="00DC08DD" w:rsidRDefault="00A26B73" w:rsidP="00A26B73">
            <w:pPr>
              <w:pStyle w:val="KeinLeerraum"/>
              <w:rPr>
                <w:rFonts w:ascii="Times New Roman" w:hAnsi="Times New Roman"/>
                <w:lang w:val="en-GB"/>
              </w:rPr>
            </w:pPr>
          </w:p>
        </w:tc>
        <w:tc>
          <w:tcPr>
            <w:tcW w:w="4678" w:type="dxa"/>
          </w:tcPr>
          <w:p w14:paraId="251A33D0"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Nederland</w:t>
            </w:r>
          </w:p>
          <w:p w14:paraId="794282BC"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079E4DC7" w14:textId="77777777" w:rsidR="00A26B73" w:rsidRDefault="00A26B73" w:rsidP="00A26B73">
            <w:pPr>
              <w:pStyle w:val="KeinLeerraum"/>
              <w:rPr>
                <w:rFonts w:ascii="Times New Roman" w:hAnsi="Times New Roman"/>
                <w:iCs/>
                <w:lang w:val="en-GB"/>
              </w:rPr>
            </w:pPr>
            <w:r w:rsidRPr="00DC08DD">
              <w:rPr>
                <w:rFonts w:ascii="Times New Roman" w:hAnsi="Times New Roman"/>
                <w:iCs/>
                <w:lang w:val="en-GB"/>
              </w:rPr>
              <w:t>IJsland</w:t>
            </w:r>
          </w:p>
          <w:p w14:paraId="5F1A78EC" w14:textId="77777777" w:rsidR="00A26B73" w:rsidRPr="00C5795F"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159DE754" w14:textId="77777777" w:rsidR="00A26B73" w:rsidRPr="00DC08DD" w:rsidRDefault="00A26B73" w:rsidP="00A26B73">
            <w:pPr>
              <w:pStyle w:val="KeinLeerraum"/>
              <w:rPr>
                <w:rFonts w:ascii="Times New Roman" w:hAnsi="Times New Roman"/>
                <w:lang w:val="en-GB"/>
              </w:rPr>
            </w:pPr>
          </w:p>
        </w:tc>
      </w:tr>
      <w:tr w:rsidR="00A26B73" w:rsidRPr="00DC08DD" w14:paraId="6BE40571" w14:textId="77777777" w:rsidTr="00A26B73">
        <w:trPr>
          <w:gridBefore w:val="1"/>
          <w:wBefore w:w="34" w:type="dxa"/>
          <w:cantSplit/>
        </w:trPr>
        <w:tc>
          <w:tcPr>
            <w:tcW w:w="4644" w:type="dxa"/>
          </w:tcPr>
          <w:p w14:paraId="1BDA2DA2"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Eesti</w:t>
            </w:r>
          </w:p>
          <w:p w14:paraId="1C1571C0" w14:textId="0981D934"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7DB99AAD"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546FED6F" w14:textId="77777777" w:rsidR="00A26B73" w:rsidRPr="00DC08DD" w:rsidRDefault="00A26B73" w:rsidP="00A26B73">
            <w:pPr>
              <w:pStyle w:val="KeinLeerraum"/>
              <w:rPr>
                <w:rFonts w:ascii="Times New Roman" w:hAnsi="Times New Roman"/>
                <w:lang w:val="en-GB"/>
              </w:rPr>
            </w:pPr>
          </w:p>
        </w:tc>
        <w:tc>
          <w:tcPr>
            <w:tcW w:w="4678" w:type="dxa"/>
          </w:tcPr>
          <w:p w14:paraId="64F4AEA3"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Norge</w:t>
            </w:r>
          </w:p>
          <w:p w14:paraId="19DC91F6"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Teva Norway AS</w:t>
            </w:r>
          </w:p>
          <w:p w14:paraId="3DD84FAD"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Tlf: +47 66775590</w:t>
            </w:r>
          </w:p>
          <w:p w14:paraId="2E757A5D" w14:textId="77777777" w:rsidR="00A26B73" w:rsidRPr="00DC08DD" w:rsidRDefault="00A26B73" w:rsidP="00A26B73">
            <w:pPr>
              <w:pStyle w:val="KeinLeerraum"/>
              <w:rPr>
                <w:rFonts w:ascii="Times New Roman" w:hAnsi="Times New Roman"/>
                <w:lang w:val="en-GB"/>
              </w:rPr>
            </w:pPr>
          </w:p>
        </w:tc>
      </w:tr>
      <w:tr w:rsidR="00A26B73" w:rsidRPr="00DC08DD" w14:paraId="630828D0" w14:textId="77777777" w:rsidTr="00A26B73">
        <w:trPr>
          <w:gridBefore w:val="1"/>
          <w:wBefore w:w="34" w:type="dxa"/>
          <w:cantSplit/>
        </w:trPr>
        <w:tc>
          <w:tcPr>
            <w:tcW w:w="4644" w:type="dxa"/>
          </w:tcPr>
          <w:p w14:paraId="25B1C114" w14:textId="77777777" w:rsidR="00A26B73" w:rsidRPr="008F3048" w:rsidRDefault="00A26B73" w:rsidP="00A26B73">
            <w:pPr>
              <w:pStyle w:val="KeinLeerraum"/>
              <w:rPr>
                <w:rFonts w:ascii="Times New Roman" w:hAnsi="Times New Roman"/>
              </w:rPr>
            </w:pPr>
            <w:r w:rsidRPr="00DC08DD">
              <w:rPr>
                <w:rFonts w:ascii="Times New Roman" w:hAnsi="Times New Roman"/>
                <w:b/>
                <w:lang w:val="en-GB"/>
              </w:rPr>
              <w:t>Ελλάδα</w:t>
            </w:r>
          </w:p>
          <w:p w14:paraId="2F48EE04" w14:textId="77777777" w:rsidR="00A26B73" w:rsidRPr="008F3048" w:rsidRDefault="00A26B73" w:rsidP="00A26B73">
            <w:pPr>
              <w:pStyle w:val="NormalParagraphStyle"/>
              <w:spacing w:line="240" w:lineRule="auto"/>
              <w:rPr>
                <w:rFonts w:ascii="Times New Roman" w:hAnsi="Times New Roman"/>
                <w:color w:val="auto"/>
                <w:sz w:val="22"/>
                <w:szCs w:val="22"/>
                <w:lang w:val="is-IS"/>
              </w:rPr>
            </w:pPr>
            <w:r w:rsidRPr="008F3048">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BDFC973" w14:textId="55764CC6" w:rsidR="00A26B73" w:rsidRPr="00DC08DD" w:rsidRDefault="00A26B73" w:rsidP="00A26B73">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73400AE1" w14:textId="77777777" w:rsidR="00A26B73" w:rsidRPr="008F3048" w:rsidRDefault="00A26B73" w:rsidP="00A26B73">
            <w:pPr>
              <w:pStyle w:val="KeinLeerraum"/>
              <w:rPr>
                <w:rFonts w:ascii="Times New Roman" w:hAnsi="Times New Roman"/>
              </w:rPr>
            </w:pPr>
          </w:p>
        </w:tc>
        <w:tc>
          <w:tcPr>
            <w:tcW w:w="4678" w:type="dxa"/>
          </w:tcPr>
          <w:p w14:paraId="7AEE4C3A"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Österreich</w:t>
            </w:r>
          </w:p>
          <w:p w14:paraId="22EF3BE4" w14:textId="77777777" w:rsidR="00A26B73" w:rsidRPr="0056362A" w:rsidRDefault="00A26B73" w:rsidP="00A26B73">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4ED9662E" w14:textId="77777777" w:rsidR="00A26B73" w:rsidRPr="00DC08DD" w:rsidRDefault="00A26B73" w:rsidP="00A26B73">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0531D013" w14:textId="77777777" w:rsidR="00A26B73" w:rsidRPr="0056362A" w:rsidRDefault="00A26B73" w:rsidP="00A26B73">
            <w:pPr>
              <w:pStyle w:val="KeinLeerraum"/>
              <w:rPr>
                <w:rFonts w:ascii="Times New Roman" w:hAnsi="Times New Roman"/>
                <w:lang w:val="de-DE"/>
              </w:rPr>
            </w:pPr>
          </w:p>
        </w:tc>
      </w:tr>
      <w:tr w:rsidR="00A26B73" w:rsidRPr="00DC08DD" w14:paraId="49CAB8A4" w14:textId="77777777" w:rsidTr="00A26B73">
        <w:trPr>
          <w:cantSplit/>
        </w:trPr>
        <w:tc>
          <w:tcPr>
            <w:tcW w:w="4678" w:type="dxa"/>
            <w:gridSpan w:val="2"/>
          </w:tcPr>
          <w:p w14:paraId="4B12B17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España</w:t>
            </w:r>
          </w:p>
          <w:p w14:paraId="272E1BE3"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2EF09328"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Islandia</w:t>
            </w:r>
          </w:p>
          <w:p w14:paraId="5E4A2824"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5DF2D946" w14:textId="77777777" w:rsidR="00A26B73" w:rsidRPr="00DC08DD" w:rsidRDefault="00A26B73" w:rsidP="00A26B73">
            <w:pPr>
              <w:pStyle w:val="KeinLeerraum"/>
              <w:rPr>
                <w:rFonts w:ascii="Times New Roman" w:hAnsi="Times New Roman"/>
                <w:lang w:val="en-GB"/>
              </w:rPr>
            </w:pPr>
          </w:p>
        </w:tc>
        <w:tc>
          <w:tcPr>
            <w:tcW w:w="4678" w:type="dxa"/>
          </w:tcPr>
          <w:p w14:paraId="4886375C" w14:textId="77777777" w:rsidR="00A26B73" w:rsidRPr="00DC08DD" w:rsidRDefault="00A26B73" w:rsidP="00A26B73">
            <w:pPr>
              <w:pStyle w:val="KeinLeerraum"/>
              <w:rPr>
                <w:rFonts w:ascii="Times New Roman" w:hAnsi="Times New Roman"/>
                <w:b/>
                <w:bCs/>
                <w:i/>
                <w:iCs/>
                <w:lang w:val="en-GB"/>
              </w:rPr>
            </w:pPr>
            <w:r w:rsidRPr="00DC08DD">
              <w:rPr>
                <w:rFonts w:ascii="Times New Roman" w:hAnsi="Times New Roman"/>
                <w:b/>
                <w:lang w:val="en-GB"/>
              </w:rPr>
              <w:t>Polska</w:t>
            </w:r>
          </w:p>
          <w:p w14:paraId="60069199" w14:textId="77777777" w:rsidR="00A26B73" w:rsidRPr="00DC08DD" w:rsidRDefault="00A26B73" w:rsidP="00A26B73">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770C77DD" w14:textId="77777777" w:rsidR="00A26B73" w:rsidRPr="00DC08DD" w:rsidRDefault="00A26B73" w:rsidP="00A26B73">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345F5EF5" w14:textId="77777777" w:rsidR="00A26B73" w:rsidRPr="00DC08DD" w:rsidRDefault="00A26B73" w:rsidP="00A26B73">
            <w:pPr>
              <w:pStyle w:val="KeinLeerraum"/>
              <w:rPr>
                <w:rFonts w:ascii="Times New Roman" w:hAnsi="Times New Roman"/>
                <w:lang w:val="en-GB"/>
              </w:rPr>
            </w:pPr>
          </w:p>
        </w:tc>
      </w:tr>
      <w:tr w:rsidR="00A26B73" w:rsidRPr="00DC08DD" w14:paraId="370E43F0" w14:textId="77777777" w:rsidTr="00A26B73">
        <w:trPr>
          <w:cantSplit/>
        </w:trPr>
        <w:tc>
          <w:tcPr>
            <w:tcW w:w="4678" w:type="dxa"/>
            <w:gridSpan w:val="2"/>
          </w:tcPr>
          <w:p w14:paraId="011A4B0A"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France</w:t>
            </w:r>
          </w:p>
          <w:p w14:paraId="68BD81D7"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492B12B0" w14:textId="77777777" w:rsidR="00A26B73" w:rsidRDefault="00A26B73" w:rsidP="00A26B73">
            <w:pPr>
              <w:pStyle w:val="KeinLeerraum"/>
              <w:rPr>
                <w:rFonts w:ascii="Times New Roman" w:hAnsi="Times New Roman"/>
                <w:lang w:val="fr-FR"/>
              </w:rPr>
            </w:pPr>
            <w:r w:rsidRPr="00DC08DD">
              <w:rPr>
                <w:rFonts w:ascii="Times New Roman" w:hAnsi="Times New Roman"/>
                <w:lang w:val="fr-FR"/>
              </w:rPr>
              <w:t>Islande</w:t>
            </w:r>
          </w:p>
          <w:p w14:paraId="1478B95D"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766BECF0" w14:textId="77777777" w:rsidR="00A26B73" w:rsidRPr="00DC08DD" w:rsidRDefault="00A26B73" w:rsidP="00A26B73">
            <w:pPr>
              <w:pStyle w:val="KeinLeerraum"/>
              <w:rPr>
                <w:rFonts w:ascii="Times New Roman" w:hAnsi="Times New Roman"/>
                <w:b/>
                <w:lang w:val="en-GB"/>
              </w:rPr>
            </w:pPr>
          </w:p>
        </w:tc>
        <w:tc>
          <w:tcPr>
            <w:tcW w:w="4678" w:type="dxa"/>
          </w:tcPr>
          <w:p w14:paraId="256DB052"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Portugal</w:t>
            </w:r>
          </w:p>
          <w:p w14:paraId="7C11FA73"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58C2049D" w14:textId="77777777" w:rsidR="00A26B73" w:rsidRDefault="00A26B73" w:rsidP="00A26B73">
            <w:pPr>
              <w:pStyle w:val="KeinLeerraum"/>
              <w:rPr>
                <w:rFonts w:ascii="Times New Roman" w:hAnsi="Times New Roman"/>
                <w:lang w:val="es-ES"/>
              </w:rPr>
            </w:pPr>
            <w:r w:rsidRPr="00DC08DD">
              <w:rPr>
                <w:rFonts w:ascii="Times New Roman" w:hAnsi="Times New Roman"/>
                <w:lang w:val="es-ES"/>
              </w:rPr>
              <w:t>Islândia</w:t>
            </w:r>
          </w:p>
          <w:p w14:paraId="2637D82C"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rPr>
              <w:t>Tel: +354 5503300</w:t>
            </w:r>
          </w:p>
          <w:p w14:paraId="476CE15B" w14:textId="77777777" w:rsidR="00A26B73" w:rsidRPr="00DC08DD" w:rsidRDefault="00A26B73" w:rsidP="00A26B73">
            <w:pPr>
              <w:pStyle w:val="KeinLeerraum"/>
              <w:rPr>
                <w:rFonts w:ascii="Times New Roman" w:hAnsi="Times New Roman"/>
                <w:lang w:val="en-GB"/>
              </w:rPr>
            </w:pPr>
          </w:p>
        </w:tc>
      </w:tr>
      <w:tr w:rsidR="00A26B73" w:rsidRPr="00DC08DD" w14:paraId="65F32163" w14:textId="77777777" w:rsidTr="00A26B73">
        <w:trPr>
          <w:cantSplit/>
        </w:trPr>
        <w:tc>
          <w:tcPr>
            <w:tcW w:w="4678" w:type="dxa"/>
            <w:gridSpan w:val="2"/>
          </w:tcPr>
          <w:p w14:paraId="39512CE6"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7A343DCE"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41340843" w14:textId="77777777" w:rsidR="00A26B73" w:rsidRPr="00DC08DD" w:rsidRDefault="00A26B73" w:rsidP="00A26B73">
            <w:pPr>
              <w:pStyle w:val="KeinLeerraum"/>
              <w:rPr>
                <w:rFonts w:ascii="Times New Roman" w:hAnsi="Times New Roman"/>
              </w:rPr>
            </w:pPr>
            <w:r w:rsidRPr="00DC08DD">
              <w:rPr>
                <w:rFonts w:ascii="Times New Roman" w:hAnsi="Times New Roman"/>
              </w:rPr>
              <w:t>Tel: +385 13720000</w:t>
            </w:r>
          </w:p>
          <w:p w14:paraId="042DD912" w14:textId="77777777" w:rsidR="00A26B73" w:rsidRPr="00DC08DD" w:rsidRDefault="00A26B73" w:rsidP="00A26B73">
            <w:pPr>
              <w:pStyle w:val="KeinLeerraum"/>
              <w:rPr>
                <w:rFonts w:ascii="Times New Roman" w:hAnsi="Times New Roman"/>
                <w:lang w:val="en-GB"/>
              </w:rPr>
            </w:pPr>
          </w:p>
        </w:tc>
        <w:tc>
          <w:tcPr>
            <w:tcW w:w="4678" w:type="dxa"/>
          </w:tcPr>
          <w:p w14:paraId="6DED3C23"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România</w:t>
            </w:r>
          </w:p>
          <w:p w14:paraId="4128F82F" w14:textId="77777777" w:rsidR="00A26B73" w:rsidRPr="00DC08DD" w:rsidRDefault="00A26B73" w:rsidP="00A26B73">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5BC60B73"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57B21597" w14:textId="77777777" w:rsidR="00A26B73" w:rsidRPr="00DC08DD" w:rsidRDefault="00A26B73" w:rsidP="00A26B73">
            <w:pPr>
              <w:pStyle w:val="KeinLeerraum"/>
              <w:rPr>
                <w:rFonts w:ascii="Times New Roman" w:hAnsi="Times New Roman"/>
                <w:lang w:val="en-GB"/>
              </w:rPr>
            </w:pPr>
          </w:p>
        </w:tc>
      </w:tr>
      <w:tr w:rsidR="00A26B73" w:rsidRPr="00DC08DD" w14:paraId="0BAB3EB9" w14:textId="77777777" w:rsidTr="00A26B73">
        <w:trPr>
          <w:cantSplit/>
        </w:trPr>
        <w:tc>
          <w:tcPr>
            <w:tcW w:w="4678" w:type="dxa"/>
            <w:gridSpan w:val="2"/>
          </w:tcPr>
          <w:p w14:paraId="3B54C382"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Ireland</w:t>
            </w:r>
          </w:p>
          <w:p w14:paraId="3DDD2553" w14:textId="77777777" w:rsidR="00A26B73" w:rsidRPr="009A42FE" w:rsidRDefault="00A26B73" w:rsidP="00A26B73">
            <w:pPr>
              <w:pStyle w:val="KeinLeerraum"/>
              <w:rPr>
                <w:rFonts w:ascii="Times New Roman" w:hAnsi="Times New Roman"/>
                <w:lang w:val="en-GB"/>
              </w:rPr>
            </w:pPr>
            <w:r w:rsidRPr="009A42FE">
              <w:rPr>
                <w:rFonts w:ascii="Times New Roman" w:hAnsi="Times New Roman"/>
                <w:lang w:val="en-GB"/>
              </w:rPr>
              <w:t>Teva Pharmaceuticals Ireland</w:t>
            </w:r>
          </w:p>
          <w:p w14:paraId="67EDA57C" w14:textId="6C36014C" w:rsidR="00A26B73" w:rsidRDefault="00A26B73" w:rsidP="00A26B73">
            <w:pPr>
              <w:pStyle w:val="KeinLeerraum"/>
              <w:rPr>
                <w:rFonts w:ascii="Times New Roman" w:hAnsi="Times New Roman"/>
                <w:lang w:val="en-GB"/>
              </w:rPr>
            </w:pPr>
            <w:r>
              <w:rPr>
                <w:rFonts w:ascii="Times New Roman" w:hAnsi="Times New Roman"/>
                <w:lang w:val="en-GB"/>
              </w:rPr>
              <w:t>Tel: +353 19127700</w:t>
            </w:r>
          </w:p>
          <w:p w14:paraId="22F27910" w14:textId="77777777" w:rsidR="00A26B73" w:rsidRPr="00DC08DD" w:rsidRDefault="00A26B73" w:rsidP="00A26B73">
            <w:pPr>
              <w:pStyle w:val="KeinLeerraum"/>
              <w:rPr>
                <w:rFonts w:ascii="Times New Roman" w:hAnsi="Times New Roman"/>
                <w:lang w:val="en-GB"/>
              </w:rPr>
            </w:pPr>
          </w:p>
        </w:tc>
        <w:tc>
          <w:tcPr>
            <w:tcW w:w="4678" w:type="dxa"/>
          </w:tcPr>
          <w:p w14:paraId="4B1B2DAF"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Slovenija</w:t>
            </w:r>
          </w:p>
          <w:p w14:paraId="6CB4685D"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Pliva Ljubljana d.o.o.</w:t>
            </w:r>
          </w:p>
          <w:p w14:paraId="6014B729"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+386 15890390</w:t>
            </w:r>
          </w:p>
          <w:p w14:paraId="15C39802" w14:textId="77777777" w:rsidR="00A26B73" w:rsidRPr="00DC08DD" w:rsidRDefault="00A26B73" w:rsidP="00A26B73">
            <w:pPr>
              <w:pStyle w:val="KeinLeerraum"/>
              <w:rPr>
                <w:rFonts w:ascii="Times New Roman" w:hAnsi="Times New Roman"/>
                <w:b/>
                <w:lang w:val="en-GB"/>
              </w:rPr>
            </w:pPr>
          </w:p>
        </w:tc>
      </w:tr>
      <w:tr w:rsidR="00A26B73" w:rsidRPr="00DC08DD" w14:paraId="5F06236D" w14:textId="77777777" w:rsidTr="00A26B73">
        <w:trPr>
          <w:cantSplit/>
        </w:trPr>
        <w:tc>
          <w:tcPr>
            <w:tcW w:w="4678" w:type="dxa"/>
            <w:gridSpan w:val="2"/>
          </w:tcPr>
          <w:p w14:paraId="43920950"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Ísland</w:t>
            </w:r>
          </w:p>
          <w:p w14:paraId="547C0E3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3639364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Sími: +354 5503300</w:t>
            </w:r>
          </w:p>
          <w:p w14:paraId="4BE34E41" w14:textId="77777777" w:rsidR="00A26B73" w:rsidRPr="00DC08DD" w:rsidRDefault="00A26B73" w:rsidP="00A26B73">
            <w:pPr>
              <w:pStyle w:val="KeinLeerraum"/>
              <w:rPr>
                <w:rFonts w:ascii="Times New Roman" w:hAnsi="Times New Roman"/>
                <w:b/>
                <w:lang w:val="en-GB"/>
              </w:rPr>
            </w:pPr>
          </w:p>
        </w:tc>
        <w:tc>
          <w:tcPr>
            <w:tcW w:w="4678" w:type="dxa"/>
          </w:tcPr>
          <w:p w14:paraId="6A3DEA0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Slovenská republika</w:t>
            </w:r>
          </w:p>
          <w:p w14:paraId="644712C2"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15A799FC"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59CB158A" w14:textId="77777777" w:rsidR="00A26B73" w:rsidRPr="00DC08DD" w:rsidRDefault="00A26B73" w:rsidP="00A26B73">
            <w:pPr>
              <w:pStyle w:val="KeinLeerraum"/>
              <w:rPr>
                <w:rFonts w:ascii="Times New Roman" w:hAnsi="Times New Roman"/>
                <w:lang w:val="en-GB"/>
              </w:rPr>
            </w:pPr>
          </w:p>
        </w:tc>
      </w:tr>
      <w:tr w:rsidR="00A26B73" w:rsidRPr="00DC08DD" w14:paraId="14AD7AAD" w14:textId="77777777" w:rsidTr="00A26B73">
        <w:trPr>
          <w:cantSplit/>
        </w:trPr>
        <w:tc>
          <w:tcPr>
            <w:tcW w:w="4678" w:type="dxa"/>
            <w:gridSpan w:val="2"/>
          </w:tcPr>
          <w:p w14:paraId="0989F3B4"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Italia</w:t>
            </w:r>
          </w:p>
          <w:p w14:paraId="0C56F179"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7E7A6175" w14:textId="77777777" w:rsidR="00A26B73" w:rsidRDefault="00A26B73" w:rsidP="00A26B73">
            <w:pPr>
              <w:pStyle w:val="KeinLeerraum"/>
              <w:rPr>
                <w:rFonts w:ascii="Times New Roman" w:hAnsi="Times New Roman"/>
                <w:lang w:val="da-DK"/>
              </w:rPr>
            </w:pPr>
            <w:r w:rsidRPr="00DC08DD">
              <w:rPr>
                <w:rFonts w:ascii="Times New Roman" w:hAnsi="Times New Roman"/>
                <w:lang w:val="da-DK"/>
              </w:rPr>
              <w:t>Islanda</w:t>
            </w:r>
          </w:p>
          <w:p w14:paraId="37F9AFAE" w14:textId="77777777" w:rsidR="00A26B73" w:rsidRPr="001B0C82" w:rsidRDefault="00A26B73" w:rsidP="00A26B73">
            <w:pPr>
              <w:pStyle w:val="KeinLeerraum"/>
              <w:rPr>
                <w:rFonts w:ascii="Times New Roman" w:hAnsi="Times New Roman"/>
                <w:lang w:val="en-US"/>
              </w:rPr>
            </w:pPr>
            <w:r w:rsidRPr="00B85F24">
              <w:rPr>
                <w:rFonts w:ascii="Times New Roman" w:hAnsi="Times New Roman"/>
                <w:noProof/>
              </w:rPr>
              <w:t>Tel: +354 5503300</w:t>
            </w:r>
          </w:p>
          <w:p w14:paraId="00D56887" w14:textId="77777777" w:rsidR="00A26B73" w:rsidRPr="00DC08DD" w:rsidRDefault="00A26B73" w:rsidP="00A26B73">
            <w:pPr>
              <w:pStyle w:val="KeinLeerraum"/>
              <w:rPr>
                <w:rFonts w:ascii="Times New Roman" w:hAnsi="Times New Roman"/>
                <w:b/>
                <w:lang w:val="en-GB"/>
              </w:rPr>
            </w:pPr>
          </w:p>
        </w:tc>
        <w:tc>
          <w:tcPr>
            <w:tcW w:w="4678" w:type="dxa"/>
          </w:tcPr>
          <w:p w14:paraId="1617AD01"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Suomi/Finland</w:t>
            </w:r>
          </w:p>
          <w:p w14:paraId="2554CE6A" w14:textId="6EDCBA97" w:rsidR="00A26B73" w:rsidRPr="00A26B73" w:rsidRDefault="00A26B73" w:rsidP="00A26B73">
            <w:pPr>
              <w:pStyle w:val="KeinLeerraum"/>
              <w:rPr>
                <w:rFonts w:ascii="Times New Roman" w:hAnsi="Times New Roman"/>
                <w:lang w:val="sv-SE"/>
              </w:rPr>
            </w:pPr>
            <w:r w:rsidRPr="00A26B73">
              <w:rPr>
                <w:rFonts w:ascii="Times New Roman" w:hAnsi="Times New Roman"/>
                <w:lang w:val="sv-SE"/>
              </w:rPr>
              <w:t>Teva Finland Oy</w:t>
            </w:r>
          </w:p>
          <w:p w14:paraId="417F8FB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A26B73">
              <w:rPr>
                <w:rFonts w:ascii="Times New Roman" w:hAnsi="Times New Roman"/>
                <w:lang w:val="sv-SE"/>
              </w:rPr>
              <w:t>201805900</w:t>
            </w:r>
          </w:p>
          <w:p w14:paraId="55B82698" w14:textId="77777777" w:rsidR="00A26B73" w:rsidRPr="00DC08DD" w:rsidRDefault="00A26B73" w:rsidP="00A26B73">
            <w:pPr>
              <w:pStyle w:val="KeinLeerraum"/>
              <w:rPr>
                <w:rFonts w:ascii="Times New Roman" w:hAnsi="Times New Roman"/>
                <w:b/>
                <w:lang w:val="en-GB"/>
              </w:rPr>
            </w:pPr>
          </w:p>
        </w:tc>
      </w:tr>
      <w:tr w:rsidR="00A26B73" w:rsidRPr="00DC08DD" w14:paraId="5711C806" w14:textId="77777777" w:rsidTr="00A26B73">
        <w:trPr>
          <w:cantSplit/>
        </w:trPr>
        <w:tc>
          <w:tcPr>
            <w:tcW w:w="4678" w:type="dxa"/>
            <w:gridSpan w:val="2"/>
          </w:tcPr>
          <w:p w14:paraId="5E47F013" w14:textId="77777777" w:rsidR="00A26B73" w:rsidRPr="00F81B0C" w:rsidRDefault="00A26B73" w:rsidP="00A26B73">
            <w:pPr>
              <w:pStyle w:val="KeinLeerraum"/>
              <w:rPr>
                <w:rFonts w:ascii="Times New Roman" w:hAnsi="Times New Roman"/>
                <w:b/>
              </w:rPr>
            </w:pPr>
            <w:r w:rsidRPr="00DC08DD">
              <w:rPr>
                <w:rFonts w:ascii="Times New Roman" w:hAnsi="Times New Roman"/>
                <w:b/>
                <w:lang w:val="en-GB"/>
              </w:rPr>
              <w:t>Κύπρος</w:t>
            </w:r>
          </w:p>
          <w:p w14:paraId="08D1EFB5" w14:textId="77777777" w:rsidR="00A26B73" w:rsidRPr="00F81B0C" w:rsidRDefault="00A26B73" w:rsidP="00A26B73">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78E5AE52" w14:textId="77777777" w:rsidR="00A26B73" w:rsidRPr="00F81B0C" w:rsidRDefault="00A26B73" w:rsidP="00A26B73">
            <w:pPr>
              <w:pStyle w:val="KeinLeerraum"/>
              <w:rPr>
                <w:rFonts w:ascii="Times New Roman" w:hAnsi="Times New Roman"/>
              </w:rPr>
            </w:pPr>
            <w:r w:rsidRPr="00DC08DD">
              <w:rPr>
                <w:rFonts w:ascii="Times New Roman" w:hAnsi="Times New Roman"/>
                <w:lang w:val="el-GR"/>
              </w:rPr>
              <w:t>Ελλάδα</w:t>
            </w:r>
          </w:p>
          <w:p w14:paraId="1E5D6924" w14:textId="24EF27F8" w:rsidR="00A26B73" w:rsidRPr="00F81B0C" w:rsidRDefault="00A26B73" w:rsidP="00A26B73">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0974C8B" w14:textId="77777777" w:rsidR="00A26B73" w:rsidRPr="00F81B0C" w:rsidRDefault="00A26B73" w:rsidP="00A26B73">
            <w:pPr>
              <w:pStyle w:val="KeinLeerraum"/>
              <w:rPr>
                <w:rFonts w:ascii="Times New Roman" w:hAnsi="Times New Roman"/>
              </w:rPr>
            </w:pPr>
          </w:p>
        </w:tc>
        <w:tc>
          <w:tcPr>
            <w:tcW w:w="4678" w:type="dxa"/>
          </w:tcPr>
          <w:p w14:paraId="47602864" w14:textId="77777777" w:rsidR="00A26B73" w:rsidRPr="0056362A" w:rsidRDefault="00A26B73" w:rsidP="00A26B73">
            <w:pPr>
              <w:pStyle w:val="KeinLeerraum"/>
              <w:rPr>
                <w:rFonts w:ascii="Times New Roman" w:hAnsi="Times New Roman"/>
                <w:b/>
                <w:lang w:val="de-DE"/>
              </w:rPr>
            </w:pPr>
            <w:r w:rsidRPr="0056362A">
              <w:rPr>
                <w:rFonts w:ascii="Times New Roman" w:hAnsi="Times New Roman"/>
                <w:b/>
                <w:lang w:val="de-DE"/>
              </w:rPr>
              <w:t>Sverige</w:t>
            </w:r>
          </w:p>
          <w:p w14:paraId="4EFA7180"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Teva Sweden AB</w:t>
            </w:r>
          </w:p>
          <w:p w14:paraId="78E11363"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Tel: +46 42121100</w:t>
            </w:r>
          </w:p>
          <w:p w14:paraId="6DB1BFA3" w14:textId="77777777" w:rsidR="00A26B73" w:rsidRPr="0056362A" w:rsidRDefault="00A26B73" w:rsidP="00A26B73">
            <w:pPr>
              <w:pStyle w:val="KeinLeerraum"/>
              <w:rPr>
                <w:rFonts w:ascii="Times New Roman" w:hAnsi="Times New Roman"/>
                <w:lang w:val="de-DE"/>
              </w:rPr>
            </w:pPr>
          </w:p>
        </w:tc>
      </w:tr>
      <w:tr w:rsidR="00A26B73" w:rsidRPr="00DC08DD" w14:paraId="459D1179" w14:textId="77777777" w:rsidTr="00A26B73">
        <w:trPr>
          <w:cantSplit/>
        </w:trPr>
        <w:tc>
          <w:tcPr>
            <w:tcW w:w="4678" w:type="dxa"/>
            <w:gridSpan w:val="2"/>
          </w:tcPr>
          <w:p w14:paraId="6033791A" w14:textId="77777777" w:rsidR="00A26B73" w:rsidRPr="00DC08DD" w:rsidRDefault="00A26B73" w:rsidP="00A26B73">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31B9BC01" w14:textId="05DD2B57" w:rsidR="00A26B73" w:rsidRPr="00A26B73" w:rsidRDefault="00A26B73" w:rsidP="00A26B73">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3D6E38DF" w14:textId="77777777" w:rsidR="00A26B73" w:rsidRPr="00DC08DD" w:rsidRDefault="00A26B73" w:rsidP="00A26B73">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88899EE" w14:textId="77777777" w:rsidR="00A26B73" w:rsidRPr="00DC08DD" w:rsidRDefault="00A26B73" w:rsidP="00A26B73">
            <w:pPr>
              <w:pStyle w:val="KeinLeerraum"/>
              <w:rPr>
                <w:rFonts w:ascii="Times New Roman" w:hAnsi="Times New Roman"/>
                <w:lang w:val="en-GB"/>
              </w:rPr>
            </w:pPr>
          </w:p>
        </w:tc>
        <w:tc>
          <w:tcPr>
            <w:tcW w:w="4678" w:type="dxa"/>
          </w:tcPr>
          <w:p w14:paraId="3B860DE9"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United Kingdom</w:t>
            </w:r>
          </w:p>
          <w:p w14:paraId="20D0844E"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UK Limited</w:t>
            </w:r>
          </w:p>
          <w:p w14:paraId="7A7063F2" w14:textId="77777777" w:rsidR="00A26B73" w:rsidRPr="00DC08DD" w:rsidRDefault="00A26B73" w:rsidP="00A26B73">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44B74349" w14:textId="77777777" w:rsidR="00A26B73" w:rsidRPr="00DC08DD" w:rsidRDefault="00A26B73" w:rsidP="00A26B73">
            <w:pPr>
              <w:pStyle w:val="KeinLeerraum"/>
              <w:rPr>
                <w:rFonts w:ascii="Times New Roman" w:hAnsi="Times New Roman"/>
                <w:lang w:val="en-GB"/>
              </w:rPr>
            </w:pPr>
          </w:p>
        </w:tc>
      </w:tr>
    </w:tbl>
    <w:p w14:paraId="35B43383" w14:textId="77777777" w:rsidR="00A26B73" w:rsidRPr="000F398A" w:rsidRDefault="00A26B73" w:rsidP="00A26B73">
      <w:pPr>
        <w:autoSpaceDE w:val="0"/>
        <w:autoSpaceDN w:val="0"/>
        <w:adjustRightInd w:val="0"/>
        <w:spacing w:after="0" w:line="240" w:lineRule="auto"/>
        <w:rPr>
          <w:rFonts w:ascii="Times New Roman" w:hAnsi="Times New Roman"/>
        </w:rPr>
      </w:pPr>
    </w:p>
    <w:p w14:paraId="794E1351" w14:textId="77777777" w:rsidR="009D4FEF" w:rsidRPr="00AA499E" w:rsidRDefault="009D4FEF" w:rsidP="00CF18AE">
      <w:pPr>
        <w:keepNext/>
        <w:keepLines/>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lastRenderedPageBreak/>
        <w:t>Denne indlægsseddel blev senest ændret &lt;DATO&gt;</w:t>
      </w:r>
    </w:p>
    <w:p w14:paraId="43480562" w14:textId="77777777" w:rsidR="009D4FEF" w:rsidRPr="00AA499E" w:rsidRDefault="009D4FEF" w:rsidP="00CF18AE">
      <w:pPr>
        <w:keepNext/>
        <w:keepLines/>
        <w:autoSpaceDE w:val="0"/>
        <w:autoSpaceDN w:val="0"/>
        <w:adjustRightInd w:val="0"/>
        <w:spacing w:after="0" w:line="240" w:lineRule="auto"/>
        <w:contextualSpacing/>
        <w:rPr>
          <w:rFonts w:ascii="Times New Roman" w:hAnsi="Times New Roman"/>
          <w:lang w:val="da-DK"/>
        </w:rPr>
      </w:pPr>
    </w:p>
    <w:p w14:paraId="3D035D4A" w14:textId="77777777" w:rsidR="009D4FEF" w:rsidRPr="00AA499E" w:rsidRDefault="009D4FEF" w:rsidP="00CF18AE">
      <w:pPr>
        <w:keepNext/>
        <w:keepLines/>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t>Andre informationskilder</w:t>
      </w:r>
    </w:p>
    <w:p w14:paraId="451EADCF" w14:textId="77777777" w:rsidR="009D4FEF" w:rsidRPr="00AA499E" w:rsidRDefault="009D4FEF" w:rsidP="00CF18AE">
      <w:pPr>
        <w:keepNext/>
        <w:keepLines/>
        <w:autoSpaceDE w:val="0"/>
        <w:autoSpaceDN w:val="0"/>
        <w:adjustRightInd w:val="0"/>
        <w:spacing w:after="0" w:line="240" w:lineRule="auto"/>
        <w:contextualSpacing/>
        <w:rPr>
          <w:rFonts w:ascii="Times New Roman" w:hAnsi="Times New Roman"/>
          <w:lang w:val="da-DK"/>
        </w:rPr>
      </w:pPr>
    </w:p>
    <w:p w14:paraId="44FEB471" w14:textId="77777777" w:rsidR="00A32833" w:rsidRPr="00AA499E" w:rsidRDefault="009D4FEF" w:rsidP="00CF18AE">
      <w:pPr>
        <w:keepNext/>
        <w:keepLines/>
        <w:spacing w:after="0" w:line="240" w:lineRule="auto"/>
        <w:rPr>
          <w:rFonts w:ascii="Times New Roman" w:hAnsi="Times New Roman"/>
          <w:lang w:val="da-DK"/>
        </w:rPr>
      </w:pPr>
      <w:r w:rsidRPr="00AA499E">
        <w:rPr>
          <w:rFonts w:ascii="Times New Roman" w:hAnsi="Times New Roman"/>
          <w:lang w:val="da-DK"/>
        </w:rPr>
        <w:t xml:space="preserve">Du kan finde yderligere oplysninger om dette lægemiddel på Det Europæiske Lægemiddelagenturs hjemmeside: </w:t>
      </w:r>
      <w:hyperlink r:id="rId21" w:history="1">
        <w:r w:rsidRPr="00AA499E">
          <w:rPr>
            <w:rStyle w:val="Hyperlink"/>
            <w:rFonts w:ascii="Times New Roman" w:hAnsi="Times New Roman"/>
            <w:lang w:val="da-DK"/>
          </w:rPr>
          <w:t>http://www.ema.europa.eu</w:t>
        </w:r>
      </w:hyperlink>
    </w:p>
    <w:p w14:paraId="7A5D2F82" w14:textId="77777777" w:rsidR="006478AD" w:rsidRPr="00AA499E" w:rsidRDefault="009D4FEF" w:rsidP="00A32833">
      <w:pPr>
        <w:spacing w:after="0" w:line="240" w:lineRule="auto"/>
        <w:jc w:val="center"/>
        <w:rPr>
          <w:rFonts w:ascii="Times New Roman" w:eastAsia="Times New Roman" w:hAnsi="Times New Roman"/>
          <w:lang w:val="da-DK"/>
        </w:rPr>
      </w:pPr>
      <w:r w:rsidRPr="00AA499E">
        <w:rPr>
          <w:rFonts w:ascii="Times New Roman" w:hAnsi="Times New Roman"/>
          <w:lang w:val="da-DK"/>
        </w:rPr>
        <w:br w:type="page"/>
      </w:r>
      <w:r w:rsidR="00616F3C" w:rsidRPr="00AA499E">
        <w:rPr>
          <w:rFonts w:ascii="Times New Roman" w:eastAsia="Times New Roman" w:hAnsi="Times New Roman"/>
          <w:b/>
          <w:bCs/>
          <w:lang w:val="da-DK"/>
        </w:rPr>
        <w:lastRenderedPageBreak/>
        <w:t>Indlægsseddel: Information til brugeren</w:t>
      </w:r>
    </w:p>
    <w:p w14:paraId="63F493F9" w14:textId="77777777" w:rsidR="006478AD" w:rsidRPr="00AA499E" w:rsidRDefault="006478AD">
      <w:pPr>
        <w:autoSpaceDE w:val="0"/>
        <w:autoSpaceDN w:val="0"/>
        <w:adjustRightInd w:val="0"/>
        <w:spacing w:after="0" w:line="240" w:lineRule="auto"/>
        <w:jc w:val="center"/>
        <w:rPr>
          <w:rFonts w:ascii="Times New Roman" w:hAnsi="Times New Roman"/>
          <w:lang w:val="da-DK"/>
        </w:rPr>
      </w:pPr>
    </w:p>
    <w:p w14:paraId="38DD9A23" w14:textId="77777777" w:rsidR="006478AD" w:rsidRPr="00AA499E" w:rsidRDefault="00616F3C">
      <w:pPr>
        <w:widowControl w:val="0"/>
        <w:tabs>
          <w:tab w:val="left" w:pos="9356"/>
        </w:tabs>
        <w:autoSpaceDE w:val="0"/>
        <w:autoSpaceDN w:val="0"/>
        <w:adjustRightInd w:val="0"/>
        <w:spacing w:after="0" w:line="240" w:lineRule="auto"/>
        <w:ind w:right="50"/>
        <w:jc w:val="center"/>
        <w:rPr>
          <w:rFonts w:ascii="Times New Roman" w:hAnsi="Times New Roman"/>
          <w:lang w:val="da-DK"/>
        </w:rPr>
      </w:pPr>
      <w:r w:rsidRPr="00AA499E">
        <w:rPr>
          <w:rFonts w:ascii="Times New Roman" w:hAnsi="Times New Roman"/>
          <w:b/>
          <w:bCs/>
          <w:lang w:val="da-DK"/>
        </w:rPr>
        <w:t>Imatinib Actavis 100 mg filmovertrukne tabletter</w:t>
      </w:r>
    </w:p>
    <w:p w14:paraId="286F1306" w14:textId="77777777" w:rsidR="006478AD" w:rsidRPr="00AA499E" w:rsidRDefault="00324263">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i</w:t>
      </w:r>
      <w:r w:rsidR="00616F3C" w:rsidRPr="00AA499E">
        <w:rPr>
          <w:rFonts w:ascii="Times New Roman" w:hAnsi="Times New Roman"/>
          <w:lang w:val="da-DK"/>
        </w:rPr>
        <w:t>matinib</w:t>
      </w:r>
    </w:p>
    <w:p w14:paraId="48398CA5" w14:textId="77777777" w:rsidR="006478AD" w:rsidRPr="00AA499E" w:rsidRDefault="006478AD">
      <w:pPr>
        <w:autoSpaceDE w:val="0"/>
        <w:autoSpaceDN w:val="0"/>
        <w:adjustRightInd w:val="0"/>
        <w:spacing w:after="0" w:line="240" w:lineRule="auto"/>
        <w:rPr>
          <w:rFonts w:ascii="Times New Roman" w:hAnsi="Times New Roman"/>
          <w:lang w:val="da-DK"/>
        </w:rPr>
      </w:pPr>
    </w:p>
    <w:p w14:paraId="62D56A02" w14:textId="77777777" w:rsidR="006478AD" w:rsidRPr="00AA499E" w:rsidRDefault="006478AD">
      <w:pPr>
        <w:autoSpaceDE w:val="0"/>
        <w:autoSpaceDN w:val="0"/>
        <w:adjustRightInd w:val="0"/>
        <w:spacing w:after="0" w:line="240" w:lineRule="auto"/>
        <w:rPr>
          <w:rFonts w:ascii="Times New Roman" w:hAnsi="Times New Roman"/>
          <w:lang w:val="da-DK"/>
        </w:rPr>
      </w:pPr>
    </w:p>
    <w:p w14:paraId="3050C74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Læs denne indlægsseddel grundigt, inden du begynder at tage dette lægemiddel, </w:t>
      </w:r>
      <w:r w:rsidRPr="00AA499E">
        <w:rPr>
          <w:rFonts w:ascii="Times New Roman" w:hAnsi="Times New Roman"/>
          <w:lang w:val="da-DK"/>
        </w:rPr>
        <w:t xml:space="preserve"> </w:t>
      </w:r>
      <w:r w:rsidRPr="00AA499E">
        <w:rPr>
          <w:rFonts w:ascii="Times New Roman" w:hAnsi="Times New Roman"/>
          <w:b/>
          <w:bCs/>
          <w:lang w:val="da-DK"/>
        </w:rPr>
        <w:t>da den indeholder vigtige oplysninger.</w:t>
      </w:r>
    </w:p>
    <w:p w14:paraId="25FA1F5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Gem indlægssedlen. Du kan få brug for at læse den igen.</w:t>
      </w:r>
    </w:p>
    <w:p w14:paraId="07908AE6" w14:textId="10D45EB5"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Spørg lægen, apotekspersonalet </w:t>
      </w:r>
      <w:r w:rsidR="006B0B7E" w:rsidRPr="00AA499E">
        <w:rPr>
          <w:rFonts w:ascii="Times New Roman" w:hAnsi="Times New Roman"/>
          <w:lang w:val="da-DK"/>
        </w:rPr>
        <w:t>eller sygeplejersken</w:t>
      </w:r>
      <w:r w:rsidRPr="00AA499E">
        <w:rPr>
          <w:rFonts w:ascii="Times New Roman" w:hAnsi="Times New Roman"/>
          <w:lang w:val="da-DK"/>
        </w:rPr>
        <w:t>, hvis der er mere, du vil vide.</w:t>
      </w:r>
    </w:p>
    <w:p w14:paraId="4F2D4191"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Lægen har ordineret lægemidlet til dig personligt. Lad derfor være med at give </w:t>
      </w:r>
      <w:r w:rsidR="00406109" w:rsidRPr="00AA499E">
        <w:rPr>
          <w:rFonts w:ascii="Times New Roman" w:hAnsi="Times New Roman"/>
          <w:lang w:val="da-DK"/>
        </w:rPr>
        <w:t>medicinen</w:t>
      </w:r>
      <w:r w:rsidRPr="00AA499E">
        <w:rPr>
          <w:rFonts w:ascii="Times New Roman" w:hAnsi="Times New Roman"/>
          <w:lang w:val="da-DK"/>
        </w:rPr>
        <w:t xml:space="preserve"> til andre. Det kan være skadeligt for andre, selvom de har de samme symptomer, som du har.</w:t>
      </w:r>
    </w:p>
    <w:p w14:paraId="1639315E" w14:textId="6701671B"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Tal med lægen, apotekspersonalet </w:t>
      </w:r>
      <w:r w:rsidR="006B0B7E" w:rsidRPr="00AA499E">
        <w:rPr>
          <w:rFonts w:ascii="Times New Roman" w:hAnsi="Times New Roman"/>
          <w:lang w:val="da-DK"/>
        </w:rPr>
        <w:t>eller sygeplejersken</w:t>
      </w:r>
      <w:r w:rsidRPr="00AA499E">
        <w:rPr>
          <w:rFonts w:ascii="Times New Roman" w:hAnsi="Times New Roman"/>
          <w:lang w:val="da-DK"/>
        </w:rPr>
        <w:t>, hvis du får bivirkninger</w:t>
      </w:r>
      <w:r w:rsidR="00406109" w:rsidRPr="00AA499E">
        <w:rPr>
          <w:rFonts w:ascii="Times New Roman" w:hAnsi="Times New Roman"/>
          <w:lang w:val="da-DK"/>
        </w:rPr>
        <w:t xml:space="preserve">, herunder </w:t>
      </w:r>
      <w:r w:rsidRPr="00AA499E">
        <w:rPr>
          <w:rFonts w:ascii="Times New Roman" w:hAnsi="Times New Roman"/>
          <w:lang w:val="da-DK"/>
        </w:rPr>
        <w:t xml:space="preserve">bivirkninger, som ikke er nævnt </w:t>
      </w:r>
      <w:bookmarkStart w:id="5" w:name="_Hlk44863178"/>
      <w:r w:rsidR="008106C4" w:rsidRPr="00AA499E">
        <w:rPr>
          <w:rFonts w:ascii="Times New Roman" w:hAnsi="Times New Roman"/>
          <w:lang w:val="da-DK"/>
        </w:rPr>
        <w:t>i denne indlægsseddel</w:t>
      </w:r>
      <w:bookmarkEnd w:id="5"/>
      <w:r w:rsidRPr="00AA499E">
        <w:rPr>
          <w:rFonts w:ascii="Times New Roman" w:hAnsi="Times New Roman"/>
          <w:lang w:val="da-DK"/>
        </w:rPr>
        <w:t>.</w:t>
      </w:r>
      <w:r w:rsidR="009C10A4" w:rsidRPr="00AA499E">
        <w:rPr>
          <w:rFonts w:ascii="Times New Roman" w:hAnsi="Times New Roman"/>
          <w:lang w:val="da-DK"/>
        </w:rPr>
        <w:t xml:space="preserve"> Se afsnit 4.</w:t>
      </w:r>
    </w:p>
    <w:p w14:paraId="2B27A6E3" w14:textId="77777777" w:rsidR="00406109" w:rsidRPr="00AA499E" w:rsidRDefault="00406109" w:rsidP="00406109">
      <w:pPr>
        <w:autoSpaceDE w:val="0"/>
        <w:autoSpaceDN w:val="0"/>
        <w:adjustRightInd w:val="0"/>
        <w:spacing w:after="0" w:line="240" w:lineRule="auto"/>
        <w:rPr>
          <w:rFonts w:ascii="Times New Roman" w:hAnsi="Times New Roman"/>
          <w:lang w:val="da-DK"/>
        </w:rPr>
      </w:pPr>
    </w:p>
    <w:p w14:paraId="2B3A0DBC" w14:textId="77777777" w:rsidR="00406109" w:rsidRPr="00AA499E" w:rsidRDefault="00406109" w:rsidP="0040610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 den nyeste indlægsseddel på www.indlaegsseddel.dk.</w:t>
      </w:r>
    </w:p>
    <w:p w14:paraId="6D2DB2C5" w14:textId="77777777" w:rsidR="006478AD" w:rsidRPr="00AA499E" w:rsidRDefault="006478AD">
      <w:pPr>
        <w:autoSpaceDE w:val="0"/>
        <w:autoSpaceDN w:val="0"/>
        <w:adjustRightInd w:val="0"/>
        <w:spacing w:after="0" w:line="240" w:lineRule="auto"/>
        <w:rPr>
          <w:rFonts w:ascii="Times New Roman" w:hAnsi="Times New Roman"/>
          <w:lang w:val="da-DK"/>
        </w:rPr>
      </w:pPr>
    </w:p>
    <w:p w14:paraId="0D3028B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Oversigt over indlægssedlen</w:t>
      </w:r>
    </w:p>
    <w:p w14:paraId="0B973679" w14:textId="77777777" w:rsidR="006478AD" w:rsidRPr="00AA499E" w:rsidRDefault="006478AD">
      <w:pPr>
        <w:autoSpaceDE w:val="0"/>
        <w:autoSpaceDN w:val="0"/>
        <w:adjustRightInd w:val="0"/>
        <w:spacing w:after="0" w:line="240" w:lineRule="auto"/>
        <w:rPr>
          <w:rFonts w:ascii="Times New Roman" w:hAnsi="Times New Roman"/>
          <w:lang w:val="da-DK"/>
        </w:rPr>
      </w:pPr>
    </w:p>
    <w:p w14:paraId="43117DB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Virkning og anvendelse</w:t>
      </w:r>
    </w:p>
    <w:p w14:paraId="11100948" w14:textId="77777777" w:rsidR="006478AD" w:rsidRPr="00AA499E" w:rsidRDefault="00616F3C">
      <w:pPr>
        <w:tabs>
          <w:tab w:val="left" w:pos="567"/>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Det skal du vide, før du begynder at tage Imatinib Actavis</w:t>
      </w:r>
    </w:p>
    <w:p w14:paraId="2F40CD0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Sådan skal du tage Imatinib Actavis</w:t>
      </w:r>
    </w:p>
    <w:p w14:paraId="6407208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Bivirkninger</w:t>
      </w:r>
    </w:p>
    <w:p w14:paraId="007876E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5.</w:t>
      </w:r>
      <w:r w:rsidRPr="00AA499E">
        <w:rPr>
          <w:rFonts w:ascii="Times New Roman" w:hAnsi="Times New Roman"/>
          <w:lang w:val="da-DK"/>
        </w:rPr>
        <w:tab/>
        <w:t>Opbevaring</w:t>
      </w:r>
    </w:p>
    <w:p w14:paraId="287524F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6.</w:t>
      </w:r>
      <w:r w:rsidRPr="00AA499E">
        <w:rPr>
          <w:rFonts w:ascii="Times New Roman" w:hAnsi="Times New Roman"/>
          <w:lang w:val="da-DK"/>
        </w:rPr>
        <w:tab/>
        <w:t>Pakningsstørrelser og yderligere oplysninger</w:t>
      </w:r>
    </w:p>
    <w:p w14:paraId="31175340" w14:textId="77777777" w:rsidR="006478AD" w:rsidRPr="00AA499E" w:rsidRDefault="006478AD">
      <w:pPr>
        <w:autoSpaceDE w:val="0"/>
        <w:autoSpaceDN w:val="0"/>
        <w:adjustRightInd w:val="0"/>
        <w:spacing w:after="0" w:line="240" w:lineRule="auto"/>
        <w:rPr>
          <w:rFonts w:ascii="Times New Roman" w:hAnsi="Times New Roman"/>
          <w:lang w:val="da-DK"/>
        </w:rPr>
      </w:pPr>
    </w:p>
    <w:p w14:paraId="66E17C7A" w14:textId="77777777" w:rsidR="006478AD" w:rsidRPr="00AA499E" w:rsidRDefault="006478AD">
      <w:pPr>
        <w:autoSpaceDE w:val="0"/>
        <w:autoSpaceDN w:val="0"/>
        <w:adjustRightInd w:val="0"/>
        <w:spacing w:after="0" w:line="240" w:lineRule="auto"/>
        <w:rPr>
          <w:rFonts w:ascii="Times New Roman" w:hAnsi="Times New Roman"/>
          <w:lang w:val="da-DK"/>
        </w:rPr>
      </w:pPr>
    </w:p>
    <w:p w14:paraId="73713BA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Virkning og anvendelse</w:t>
      </w:r>
    </w:p>
    <w:p w14:paraId="5A0B852F" w14:textId="77777777" w:rsidR="006478AD" w:rsidRPr="00AA499E" w:rsidRDefault="006478AD">
      <w:pPr>
        <w:autoSpaceDE w:val="0"/>
        <w:autoSpaceDN w:val="0"/>
        <w:adjustRightInd w:val="0"/>
        <w:spacing w:after="0" w:line="240" w:lineRule="auto"/>
        <w:rPr>
          <w:rFonts w:ascii="Times New Roman" w:hAnsi="Times New Roman"/>
          <w:lang w:val="da-DK"/>
        </w:rPr>
      </w:pPr>
    </w:p>
    <w:p w14:paraId="07014966" w14:textId="77777777" w:rsidR="00CC438E"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 Actavis er et lægemiddel, der indeholder et aktivt stof kaldet imatinib. Dette lægemiddel virker ved at hæmme væksten af unormale celler </w:t>
      </w:r>
      <w:r w:rsidR="00CC438E" w:rsidRPr="00AA499E">
        <w:rPr>
          <w:rFonts w:ascii="Times New Roman" w:hAnsi="Times New Roman"/>
          <w:lang w:val="da-DK"/>
        </w:rPr>
        <w:t>ved de sygdomme, der er nævnt nedenfor. Disse omfatter nogle former for kræft.</w:t>
      </w:r>
    </w:p>
    <w:p w14:paraId="5769820E" w14:textId="77777777" w:rsidR="006478AD" w:rsidRPr="00AA499E" w:rsidRDefault="006478AD">
      <w:pPr>
        <w:autoSpaceDE w:val="0"/>
        <w:autoSpaceDN w:val="0"/>
        <w:adjustRightInd w:val="0"/>
        <w:spacing w:after="0" w:line="240" w:lineRule="auto"/>
        <w:rPr>
          <w:rFonts w:ascii="Times New Roman" w:hAnsi="Times New Roman"/>
          <w:lang w:val="da-DK"/>
        </w:rPr>
      </w:pPr>
    </w:p>
    <w:p w14:paraId="05AF2F2D" w14:textId="77777777" w:rsidR="00AA6204" w:rsidRPr="00AA499E" w:rsidRDefault="00AA6204" w:rsidP="00AA6204">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bruges til behandling af:</w:t>
      </w:r>
    </w:p>
    <w:p w14:paraId="2CB18DE4" w14:textId="77777777" w:rsidR="00CC438E" w:rsidRPr="00AA499E" w:rsidRDefault="00CC438E" w:rsidP="0006447E">
      <w:pPr>
        <w:autoSpaceDE w:val="0"/>
        <w:autoSpaceDN w:val="0"/>
        <w:adjustRightInd w:val="0"/>
        <w:spacing w:after="0" w:line="240" w:lineRule="auto"/>
        <w:rPr>
          <w:rFonts w:ascii="Times New Roman" w:hAnsi="Times New Roman"/>
          <w:b/>
          <w:bCs/>
          <w:lang w:val="da-DK"/>
        </w:rPr>
      </w:pPr>
    </w:p>
    <w:p w14:paraId="329D34AD" w14:textId="77777777" w:rsidR="006478AD" w:rsidRPr="00AA499E" w:rsidRDefault="00CC438E" w:rsidP="00063A26">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w:t>
      </w:r>
      <w:r w:rsidR="00616F3C" w:rsidRPr="00AA499E">
        <w:rPr>
          <w:rFonts w:ascii="Times New Roman" w:hAnsi="Times New Roman"/>
          <w:b/>
          <w:bCs/>
          <w:lang w:val="da-DK"/>
        </w:rPr>
        <w:t>ronisk myeloid leukæmi (CML).</w:t>
      </w:r>
      <w:r w:rsidRPr="00AA499E">
        <w:rPr>
          <w:rFonts w:ascii="Times New Roman" w:hAnsi="Times New Roman"/>
          <w:lang w:val="da-DK"/>
        </w:rPr>
        <w:t xml:space="preserve"> </w:t>
      </w:r>
      <w:r w:rsidR="00616F3C" w:rsidRPr="00AA499E">
        <w:rPr>
          <w:rFonts w:ascii="Times New Roman" w:hAnsi="Times New Roman"/>
          <w:lang w:val="da-DK"/>
        </w:rPr>
        <w:t>Leukæmi er kræft i de hvide blodlegemer. Hvide blodlegemer hjælper som regel kroppen med at bekæmpe infektioner. Kronisk myeloid leukæmi er en type leukæmi, hvor nogle bestemte unormale hvide blodlegemer (der kaldes myeloide celler) vokser ukontrolleret.</w:t>
      </w:r>
    </w:p>
    <w:p w14:paraId="53FAAA50" w14:textId="77777777" w:rsidR="006478AD" w:rsidRPr="00AA499E" w:rsidRDefault="006478AD">
      <w:pPr>
        <w:autoSpaceDE w:val="0"/>
        <w:autoSpaceDN w:val="0"/>
        <w:adjustRightInd w:val="0"/>
        <w:spacing w:after="0" w:line="240" w:lineRule="auto"/>
        <w:rPr>
          <w:rFonts w:ascii="Times New Roman" w:hAnsi="Times New Roman"/>
          <w:lang w:val="da-DK"/>
        </w:rPr>
      </w:pPr>
    </w:p>
    <w:p w14:paraId="52649441"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voksne patienter er Imatinib Actavis beregnet til brug i den mest fremskredne fase af sygdommen (blastkrise). Hos børn og teenagere kan Imatinib Actavis bruges i forskellige sygdomsfaser (kronisk, accelereret fase og blastkrise).</w:t>
      </w:r>
    </w:p>
    <w:p w14:paraId="77986F9B" w14:textId="77777777" w:rsidR="00CC438E" w:rsidRPr="00AA499E" w:rsidRDefault="00CC438E">
      <w:pPr>
        <w:autoSpaceDE w:val="0"/>
        <w:autoSpaceDN w:val="0"/>
        <w:adjustRightInd w:val="0"/>
        <w:spacing w:after="0" w:line="240" w:lineRule="auto"/>
        <w:rPr>
          <w:rFonts w:ascii="Times New Roman" w:hAnsi="Times New Roman"/>
          <w:lang w:val="da-DK"/>
        </w:rPr>
      </w:pPr>
    </w:p>
    <w:p w14:paraId="2DFE8006" w14:textId="77777777" w:rsidR="00CC438E" w:rsidRPr="00AA499E" w:rsidRDefault="00CC438E" w:rsidP="00CC438E">
      <w:pPr>
        <w:numPr>
          <w:ilvl w:val="0"/>
          <w:numId w:val="22"/>
        </w:num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 xml:space="preserve">Philadelphia-kromosom-positiv akut lymfoblastær leukæmi (Ph-positiv ALL). </w:t>
      </w:r>
    </w:p>
    <w:p w14:paraId="1782439E" w14:textId="77777777" w:rsidR="00CC438E" w:rsidRPr="00AA499E" w:rsidRDefault="00CC438E" w:rsidP="00CC438E">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Leukæmi er kræft i de hvide blodlegemer. Hvide blodlegemer hjælper som regel kroppen med at bekæmpe infektioner. Akut lymfoblastær leukæmi er en form af leukæmi, hvor visse abnorme hvide blodlegemer (kaldet lymfoblaster) vokser ukontrolleret. Imatinib Actavis hæmmer væksten af disse celler.</w:t>
      </w:r>
    </w:p>
    <w:p w14:paraId="7B68CB47" w14:textId="77777777" w:rsidR="00AA6204" w:rsidRPr="00AA499E" w:rsidRDefault="00AA6204" w:rsidP="00AA6204">
      <w:pPr>
        <w:autoSpaceDE w:val="0"/>
        <w:autoSpaceDN w:val="0"/>
        <w:adjustRightInd w:val="0"/>
        <w:spacing w:after="0" w:line="240" w:lineRule="auto"/>
        <w:rPr>
          <w:rFonts w:ascii="Times New Roman" w:hAnsi="Times New Roman"/>
          <w:lang w:val="da-DK"/>
        </w:rPr>
      </w:pPr>
    </w:p>
    <w:p w14:paraId="7E4B5C8C" w14:textId="77777777" w:rsidR="00AA6204" w:rsidRPr="00AA499E" w:rsidRDefault="00AA6204" w:rsidP="00A32833">
      <w:pPr>
        <w:keepNext/>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lastRenderedPageBreak/>
        <w:t>Imatinib Actavis anvendes også til behandling af voksne med:</w:t>
      </w:r>
    </w:p>
    <w:p w14:paraId="2C2A6D82" w14:textId="77777777" w:rsidR="00AA6204" w:rsidRPr="00AA499E" w:rsidRDefault="00AA6204" w:rsidP="00A32833">
      <w:pPr>
        <w:keepNext/>
        <w:autoSpaceDE w:val="0"/>
        <w:autoSpaceDN w:val="0"/>
        <w:adjustRightInd w:val="0"/>
        <w:spacing w:after="0" w:line="240" w:lineRule="auto"/>
        <w:rPr>
          <w:rFonts w:ascii="Times New Roman" w:hAnsi="Times New Roman"/>
          <w:lang w:val="da-DK"/>
        </w:rPr>
      </w:pPr>
    </w:p>
    <w:p w14:paraId="72B7D76F" w14:textId="77777777" w:rsidR="00CC438E" w:rsidRPr="00AA499E" w:rsidRDefault="00CC438E" w:rsidP="00CC438E">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Myelodysplastiske/myeloproliferative sygdomme (MDS/MDP). </w:t>
      </w:r>
      <w:r w:rsidRPr="00AA499E">
        <w:rPr>
          <w:rFonts w:ascii="Times New Roman" w:hAnsi="Times New Roman"/>
          <w:lang w:val="da-DK"/>
        </w:rPr>
        <w:t>Disse er en gruppe af sygdomme i blodet, hvor nogle blodlegemer begynder at vokse ukontrolleret. Imatinib Actavis hæmmer væksten af disse blodlegemer i en vis undergruppe af disse sygdomme.</w:t>
      </w:r>
    </w:p>
    <w:p w14:paraId="11D0BAE8" w14:textId="77777777" w:rsidR="00CC438E" w:rsidRPr="00AA499E" w:rsidRDefault="00CC438E" w:rsidP="00CC438E">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Hypereosinofil syndrom (HES) og/eller kronisk eosinofil leukæmi (CEL). </w:t>
      </w:r>
      <w:r w:rsidRPr="00AA499E">
        <w:rPr>
          <w:rFonts w:ascii="Times New Roman" w:hAnsi="Times New Roman"/>
          <w:lang w:val="da-DK"/>
        </w:rPr>
        <w:t>Disse er sygdomme i blodet, i hvilke visse blodlegemer (kaldet eosinofile celler) begynder at vokse ukontrolleret. Imatinib Actavis hæmmer væksten af disse celler i en vis undergruppe af disse sygdomme.</w:t>
      </w:r>
    </w:p>
    <w:p w14:paraId="0F9F1A3F" w14:textId="77777777" w:rsidR="00A32833" w:rsidRPr="00AA499E" w:rsidRDefault="00CC438E" w:rsidP="00CC438E">
      <w:pPr>
        <w:numPr>
          <w:ilvl w:val="0"/>
          <w:numId w:val="23"/>
        </w:numPr>
        <w:autoSpaceDE w:val="0"/>
        <w:autoSpaceDN w:val="0"/>
        <w:adjustRightInd w:val="0"/>
        <w:spacing w:after="0" w:line="240" w:lineRule="auto"/>
        <w:ind w:left="567" w:hanging="567"/>
        <w:rPr>
          <w:rFonts w:ascii="Times New Roman" w:hAnsi="Times New Roman"/>
          <w:color w:val="000000"/>
          <w:lang w:val="da-DK" w:eastAsia="is-IS"/>
        </w:rPr>
      </w:pPr>
      <w:r w:rsidRPr="00AA499E">
        <w:rPr>
          <w:rFonts w:ascii="Times New Roman" w:hAnsi="Times New Roman"/>
          <w:b/>
          <w:bCs/>
          <w:color w:val="000000"/>
          <w:lang w:val="da-DK" w:eastAsia="is-IS"/>
        </w:rPr>
        <w:t xml:space="preserve">Dermatofibrosarkom protuberans (DFSP). </w:t>
      </w:r>
      <w:r w:rsidRPr="00AA499E">
        <w:rPr>
          <w:rFonts w:ascii="Times New Roman" w:hAnsi="Times New Roman"/>
          <w:color w:val="000000"/>
          <w:lang w:val="da-DK" w:eastAsia="is-IS"/>
        </w:rPr>
        <w:t>DFSP er en kræftform i vævet under huden, hvor visse celler vokser ukontrolleret. Imatinib Actavis</w:t>
      </w:r>
      <w:r w:rsidRPr="00AA499E">
        <w:rPr>
          <w:rFonts w:ascii="Times New Roman" w:hAnsi="Times New Roman"/>
          <w:color w:val="000000"/>
          <w:sz w:val="24"/>
          <w:szCs w:val="24"/>
          <w:lang w:val="da-DK" w:eastAsia="is-IS"/>
        </w:rPr>
        <w:t xml:space="preserve"> </w:t>
      </w:r>
      <w:r w:rsidRPr="00AA499E">
        <w:rPr>
          <w:rFonts w:ascii="Times New Roman" w:hAnsi="Times New Roman"/>
          <w:color w:val="000000"/>
          <w:lang w:val="da-DK" w:eastAsia="is-IS"/>
        </w:rPr>
        <w:t>hæmmer væksten af disse celler.</w:t>
      </w:r>
    </w:p>
    <w:p w14:paraId="65BE8CB2" w14:textId="77777777" w:rsidR="00CC438E" w:rsidRPr="00AA499E" w:rsidRDefault="00CC438E" w:rsidP="00A32833">
      <w:pPr>
        <w:autoSpaceDE w:val="0"/>
        <w:autoSpaceDN w:val="0"/>
        <w:adjustRightInd w:val="0"/>
        <w:spacing w:after="0" w:line="240" w:lineRule="auto"/>
        <w:rPr>
          <w:rFonts w:ascii="Times New Roman" w:hAnsi="Times New Roman"/>
          <w:color w:val="000000"/>
          <w:lang w:val="da-DK" w:eastAsia="is-IS"/>
        </w:rPr>
      </w:pPr>
    </w:p>
    <w:p w14:paraId="5A287024" w14:textId="77777777" w:rsidR="00CC438E" w:rsidRPr="00AA499E" w:rsidRDefault="00CC438E" w:rsidP="00CC438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resten af denne indlægsseddel vil vi bruge forkortelserne, når vi omtaler disse sygdomme.</w:t>
      </w:r>
    </w:p>
    <w:p w14:paraId="5C62E8FF" w14:textId="77777777" w:rsidR="006478AD" w:rsidRPr="00AA499E" w:rsidRDefault="006478AD">
      <w:pPr>
        <w:autoSpaceDE w:val="0"/>
        <w:autoSpaceDN w:val="0"/>
        <w:adjustRightInd w:val="0"/>
        <w:spacing w:after="0" w:line="240" w:lineRule="auto"/>
        <w:rPr>
          <w:rFonts w:ascii="Times New Roman" w:hAnsi="Times New Roman"/>
          <w:lang w:val="da-DK"/>
        </w:rPr>
      </w:pPr>
    </w:p>
    <w:p w14:paraId="5991694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har spørgsmål om, hvordan Imatinib Actavis virker, eller hvorfor du har fået ordineret dette lægemiddel, kontakt din læge.</w:t>
      </w:r>
    </w:p>
    <w:p w14:paraId="3A7FF506" w14:textId="77777777" w:rsidR="006478AD" w:rsidRPr="00AA499E" w:rsidRDefault="006478AD">
      <w:pPr>
        <w:autoSpaceDE w:val="0"/>
        <w:autoSpaceDN w:val="0"/>
        <w:adjustRightInd w:val="0"/>
        <w:spacing w:after="0" w:line="240" w:lineRule="auto"/>
        <w:rPr>
          <w:rFonts w:ascii="Times New Roman" w:hAnsi="Times New Roman"/>
          <w:lang w:val="da-DK"/>
        </w:rPr>
      </w:pPr>
    </w:p>
    <w:p w14:paraId="59E7BE2C" w14:textId="77777777" w:rsidR="006478AD" w:rsidRPr="00AA499E" w:rsidRDefault="006478AD">
      <w:pPr>
        <w:autoSpaceDE w:val="0"/>
        <w:autoSpaceDN w:val="0"/>
        <w:adjustRightInd w:val="0"/>
        <w:spacing w:after="0" w:line="240" w:lineRule="auto"/>
        <w:rPr>
          <w:rFonts w:ascii="Times New Roman" w:hAnsi="Times New Roman"/>
          <w:lang w:val="da-DK"/>
        </w:rPr>
      </w:pPr>
    </w:p>
    <w:p w14:paraId="2A77736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2.</w:t>
      </w:r>
      <w:r w:rsidRPr="00AA499E">
        <w:rPr>
          <w:rFonts w:ascii="Times New Roman" w:hAnsi="Times New Roman"/>
          <w:b/>
          <w:bCs/>
          <w:lang w:val="da-DK"/>
        </w:rPr>
        <w:tab/>
        <w:t>Det skal du vide, før du begynder at tage Imatinib Actavis</w:t>
      </w:r>
    </w:p>
    <w:p w14:paraId="439312F4" w14:textId="77777777" w:rsidR="006478AD" w:rsidRPr="00AA499E" w:rsidRDefault="006478AD">
      <w:pPr>
        <w:autoSpaceDE w:val="0"/>
        <w:autoSpaceDN w:val="0"/>
        <w:adjustRightInd w:val="0"/>
        <w:spacing w:after="0" w:line="240" w:lineRule="auto"/>
        <w:rPr>
          <w:rFonts w:ascii="Times New Roman" w:hAnsi="Times New Roman"/>
          <w:lang w:val="da-DK"/>
        </w:rPr>
      </w:pPr>
    </w:p>
    <w:p w14:paraId="7C4B00F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vil kun blive ordineret til dig af en læge med erfaring i behandlingen af kræft i blodet eller kræftknuder.</w:t>
      </w:r>
    </w:p>
    <w:p w14:paraId="6471EEC2" w14:textId="77777777" w:rsidR="006478AD" w:rsidRPr="00AA499E" w:rsidRDefault="006478AD">
      <w:pPr>
        <w:autoSpaceDE w:val="0"/>
        <w:autoSpaceDN w:val="0"/>
        <w:adjustRightInd w:val="0"/>
        <w:spacing w:after="0" w:line="240" w:lineRule="auto"/>
        <w:rPr>
          <w:rFonts w:ascii="Times New Roman" w:hAnsi="Times New Roman"/>
          <w:lang w:val="da-DK"/>
        </w:rPr>
      </w:pPr>
    </w:p>
    <w:p w14:paraId="01E1644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Følg omhyggeligt din læges anvisninger, selvom de er forskellige fra den generelle information i denne indlægsseddel.</w:t>
      </w:r>
    </w:p>
    <w:p w14:paraId="3ED04BBC" w14:textId="77777777" w:rsidR="006478AD" w:rsidRPr="00AA499E" w:rsidRDefault="006478AD">
      <w:pPr>
        <w:autoSpaceDE w:val="0"/>
        <w:autoSpaceDN w:val="0"/>
        <w:adjustRightInd w:val="0"/>
        <w:spacing w:after="0" w:line="240" w:lineRule="auto"/>
        <w:rPr>
          <w:rFonts w:ascii="Times New Roman" w:hAnsi="Times New Roman"/>
          <w:lang w:val="da-DK"/>
        </w:rPr>
      </w:pPr>
    </w:p>
    <w:p w14:paraId="57F64CA1" w14:textId="144AD08F"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Tag ikke Imatinib Actavis</w:t>
      </w:r>
    </w:p>
    <w:p w14:paraId="1EE6AB7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allergisk over for imatinib, soya, jordnødder eller et af de øvrige indholdsstoffer i lægemidlet (angivet i punkt 6).</w:t>
      </w:r>
    </w:p>
    <w:p w14:paraId="124C81B8" w14:textId="77777777" w:rsidR="006478AD" w:rsidRPr="00AA499E" w:rsidRDefault="006478AD">
      <w:pPr>
        <w:autoSpaceDE w:val="0"/>
        <w:autoSpaceDN w:val="0"/>
        <w:adjustRightInd w:val="0"/>
        <w:spacing w:after="0" w:line="240" w:lineRule="auto"/>
        <w:ind w:left="567" w:hanging="567"/>
        <w:rPr>
          <w:rFonts w:ascii="Times New Roman" w:hAnsi="Times New Roman"/>
          <w:lang w:val="da-DK"/>
        </w:rPr>
      </w:pPr>
    </w:p>
    <w:p w14:paraId="1C193DFF"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dette gælder for dig, </w:t>
      </w:r>
      <w:r w:rsidRPr="00AA499E">
        <w:rPr>
          <w:rFonts w:ascii="Times New Roman" w:hAnsi="Times New Roman"/>
          <w:b/>
          <w:bCs/>
          <w:lang w:val="da-DK"/>
        </w:rPr>
        <w:t>skal du fortælle din læge det, før du tager Imatinib Actavis.</w:t>
      </w:r>
    </w:p>
    <w:p w14:paraId="0F6C246D" w14:textId="77777777" w:rsidR="006478AD" w:rsidRPr="00AA499E" w:rsidRDefault="006478AD">
      <w:pPr>
        <w:autoSpaceDE w:val="0"/>
        <w:autoSpaceDN w:val="0"/>
        <w:adjustRightInd w:val="0"/>
        <w:spacing w:after="0" w:line="240" w:lineRule="auto"/>
        <w:rPr>
          <w:rFonts w:ascii="Times New Roman" w:hAnsi="Times New Roman"/>
          <w:lang w:val="da-DK"/>
        </w:rPr>
      </w:pPr>
    </w:p>
    <w:p w14:paraId="42BE1355"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tror, du er allergisk, men ikke er sikker, skal du kontakte din læge for at få rådgivning.</w:t>
      </w:r>
    </w:p>
    <w:p w14:paraId="10F88464" w14:textId="77777777" w:rsidR="006478AD" w:rsidRPr="00AA499E" w:rsidRDefault="006478AD">
      <w:pPr>
        <w:autoSpaceDE w:val="0"/>
        <w:autoSpaceDN w:val="0"/>
        <w:adjustRightInd w:val="0"/>
        <w:spacing w:after="0" w:line="240" w:lineRule="auto"/>
        <w:rPr>
          <w:rFonts w:ascii="Times New Roman" w:hAnsi="Times New Roman"/>
          <w:lang w:val="da-DK"/>
        </w:rPr>
      </w:pPr>
    </w:p>
    <w:p w14:paraId="28FBA20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Advarsler og forsigtighedsregler</w:t>
      </w:r>
    </w:p>
    <w:p w14:paraId="5882EA9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Kontakt lægen, før du tager Imatinib Actavis:</w:t>
      </w:r>
    </w:p>
    <w:p w14:paraId="316F523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har eller har haft lever-, nyre- eller hjerteproblemer.</w:t>
      </w:r>
    </w:p>
    <w:p w14:paraId="16B2D9C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tager medicin indeholdende levothyroxin, fordi din skjoldbruskkirtel er blevet fjernet.</w:t>
      </w:r>
    </w:p>
    <w:p w14:paraId="6658BB05" w14:textId="77777777" w:rsidR="0017077B" w:rsidRPr="00AA499E" w:rsidRDefault="00B70E7C"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nogensinde har været eller måske er smittet med hepatitis B-virus. Dette skyldes, at (</w:t>
      </w:r>
      <w:r w:rsidR="002A7A45" w:rsidRPr="00AA499E">
        <w:rPr>
          <w:rFonts w:ascii="Times New Roman" w:hAnsi="Times New Roman"/>
          <w:lang w:val="da-DK"/>
        </w:rPr>
        <w:t>Imatinib Actavis</w:t>
      </w:r>
      <w:r w:rsidRPr="00AA499E">
        <w:rPr>
          <w:rFonts w:ascii="Times New Roman" w:hAnsi="Times New Roman"/>
          <w:lang w:val="da-DK"/>
        </w:rPr>
        <w:t>) kan forårsage, at hepatitis B-infektionen bliver aktiv igen, hvilket undertiden kan være dødeligt. Lægen vil omhyggeligt kontrolleres dig for tegn på denne infektion, før behandlingen påbegyndes.</w:t>
      </w:r>
    </w:p>
    <w:p w14:paraId="750B9CF5" w14:textId="77777777" w:rsidR="00B70E7C" w:rsidRPr="00AA499E" w:rsidRDefault="0017077B"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får blå mærker, blødninger, feber, træthed og oplever forvirring, mens du tager Imatinib Actavis, skal du kontakte din læge. Dette kan være tegn på beskadigelse af dine blodkar, hvilket kaldes trombotisk mikroangiopati (TMA).</w:t>
      </w:r>
    </w:p>
    <w:p w14:paraId="599163A8"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noget af det ovenstående gælder for dig, </w:t>
      </w:r>
      <w:r w:rsidRPr="00AA499E">
        <w:rPr>
          <w:rFonts w:ascii="Times New Roman" w:hAnsi="Times New Roman"/>
          <w:b/>
          <w:bCs/>
          <w:lang w:val="da-DK"/>
        </w:rPr>
        <w:t>skal du fortælle din læge det, før du tager Imatinib Actavis.</w:t>
      </w:r>
    </w:p>
    <w:p w14:paraId="39A8F93A" w14:textId="77777777" w:rsidR="006478AD" w:rsidRPr="00AA499E" w:rsidRDefault="006478AD">
      <w:pPr>
        <w:autoSpaceDE w:val="0"/>
        <w:autoSpaceDN w:val="0"/>
        <w:adjustRightInd w:val="0"/>
        <w:spacing w:after="0" w:line="240" w:lineRule="auto"/>
        <w:rPr>
          <w:rFonts w:ascii="Times New Roman" w:hAnsi="Times New Roman"/>
          <w:lang w:val="da-DK"/>
        </w:rPr>
      </w:pPr>
    </w:p>
    <w:p w14:paraId="226DEDB4" w14:textId="77777777" w:rsidR="00AA6204" w:rsidRPr="00AA499E" w:rsidRDefault="00AA6204" w:rsidP="00AA6204">
      <w:pPr>
        <w:pStyle w:val="BodyText22"/>
        <w:widowControl w:val="0"/>
        <w:tabs>
          <w:tab w:val="clear" w:pos="-720"/>
        </w:tabs>
        <w:rPr>
          <w:i w:val="0"/>
          <w:color w:val="000000"/>
          <w:szCs w:val="22"/>
        </w:rPr>
      </w:pPr>
      <w:r w:rsidRPr="00AA499E">
        <w:rPr>
          <w:i w:val="0"/>
          <w:color w:val="000000"/>
          <w:szCs w:val="22"/>
        </w:rPr>
        <w:t>Du kan blive mere følsom overfor sollys, når du tager Imatinib Actavis. Det er vigtigt at dække de områder af huden, som udsættes for solen, og at bruge solcreme med høj solbeskyttelsesfaktor (SPF). Disse forholdsregler gælder også for børn.</w:t>
      </w:r>
    </w:p>
    <w:p w14:paraId="6E44DEBD" w14:textId="77777777" w:rsidR="00AA6204" w:rsidRPr="00AA499E" w:rsidRDefault="00AA6204" w:rsidP="00AA6204">
      <w:pPr>
        <w:autoSpaceDE w:val="0"/>
        <w:autoSpaceDN w:val="0"/>
        <w:adjustRightInd w:val="0"/>
        <w:spacing w:after="0" w:line="240" w:lineRule="auto"/>
        <w:rPr>
          <w:rFonts w:ascii="Times New Roman" w:hAnsi="Times New Roman"/>
          <w:b/>
          <w:bCs/>
          <w:lang w:val="da-DK"/>
        </w:rPr>
      </w:pPr>
    </w:p>
    <w:p w14:paraId="6321FC6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Du skal straks fortælle din læge, </w:t>
      </w:r>
      <w:r w:rsidRPr="00AA499E">
        <w:rPr>
          <w:rFonts w:ascii="Times New Roman" w:hAnsi="Times New Roman"/>
          <w:lang w:val="da-DK"/>
        </w:rPr>
        <w:t>hvis du meget hurtigt tager på i vægt, mens du er i behandling med Imatinib Actavis. Imatinib Actavis kan forårsage, at din krop begynder at ophobe væske (svær væskeretention).</w:t>
      </w:r>
    </w:p>
    <w:p w14:paraId="29DC2208" w14:textId="77777777" w:rsidR="006478AD" w:rsidRPr="00AA499E" w:rsidRDefault="006478AD">
      <w:pPr>
        <w:autoSpaceDE w:val="0"/>
        <w:autoSpaceDN w:val="0"/>
        <w:adjustRightInd w:val="0"/>
        <w:spacing w:after="0" w:line="240" w:lineRule="auto"/>
        <w:rPr>
          <w:rFonts w:ascii="Times New Roman" w:hAnsi="Times New Roman"/>
          <w:lang w:val="da-DK"/>
        </w:rPr>
      </w:pPr>
    </w:p>
    <w:p w14:paraId="7D124BF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Mens du tager Imatinib Actavis, vil din læge regelmæssigt kontrollere, om lægemidlet virker. Du vil også få taget blodprøver og blive vejet regelmæssigt.</w:t>
      </w:r>
    </w:p>
    <w:p w14:paraId="41FA4D3A" w14:textId="77777777" w:rsidR="006478AD" w:rsidRPr="00AA499E" w:rsidRDefault="006478AD">
      <w:pPr>
        <w:autoSpaceDE w:val="0"/>
        <w:autoSpaceDN w:val="0"/>
        <w:adjustRightInd w:val="0"/>
        <w:spacing w:after="0" w:line="240" w:lineRule="auto"/>
        <w:rPr>
          <w:rFonts w:ascii="Times New Roman" w:hAnsi="Times New Roman"/>
          <w:lang w:val="da-DK"/>
        </w:rPr>
      </w:pPr>
    </w:p>
    <w:p w14:paraId="3A7190F3" w14:textId="77777777" w:rsidR="006478AD" w:rsidRPr="00AA499E" w:rsidRDefault="00616F3C">
      <w:pPr>
        <w:autoSpaceDE w:val="0"/>
        <w:autoSpaceDN w:val="0"/>
        <w:adjustRightInd w:val="0"/>
        <w:spacing w:after="0" w:line="240" w:lineRule="auto"/>
        <w:rPr>
          <w:rFonts w:ascii="Times New Roman" w:eastAsia="Times New Roman" w:hAnsi="Times New Roman"/>
          <w:b/>
          <w:bCs/>
          <w:lang w:val="da-DK"/>
        </w:rPr>
      </w:pPr>
      <w:r w:rsidRPr="00AA499E">
        <w:rPr>
          <w:rFonts w:ascii="Times New Roman" w:eastAsia="Times New Roman" w:hAnsi="Times New Roman"/>
          <w:b/>
          <w:bCs/>
          <w:lang w:val="da-DK"/>
        </w:rPr>
        <w:t xml:space="preserve">Børn og </w:t>
      </w:r>
      <w:r w:rsidR="00406109" w:rsidRPr="00AA499E">
        <w:rPr>
          <w:rFonts w:ascii="Times New Roman" w:eastAsia="Times New Roman" w:hAnsi="Times New Roman"/>
          <w:b/>
          <w:bCs/>
          <w:lang w:val="da-DK"/>
        </w:rPr>
        <w:t>unge</w:t>
      </w:r>
    </w:p>
    <w:p w14:paraId="31D27CD1" w14:textId="77777777" w:rsidR="009770BB" w:rsidRPr="00AA499E" w:rsidRDefault="009770BB" w:rsidP="009770B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bruges også til behandling af børn med CML. Der er ingen erfaring med behandling af CML hos børn under 2 år. Der er begrænset erfaring hos børn og Ph-positiv ALL og meget begrænset erfaring med børn med MDS/MPD, DFSP og HES/CEL.</w:t>
      </w:r>
    </w:p>
    <w:p w14:paraId="730B1CCA" w14:textId="77777777" w:rsidR="00CC438E" w:rsidRPr="00AA499E" w:rsidRDefault="00CC438E">
      <w:pPr>
        <w:autoSpaceDE w:val="0"/>
        <w:autoSpaceDN w:val="0"/>
        <w:adjustRightInd w:val="0"/>
        <w:spacing w:after="0" w:line="240" w:lineRule="auto"/>
        <w:rPr>
          <w:rFonts w:ascii="Times New Roman" w:hAnsi="Times New Roman"/>
          <w:lang w:val="da-DK"/>
        </w:rPr>
      </w:pPr>
    </w:p>
    <w:p w14:paraId="0C5C5A7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Nogle børn og unge, der får Imatinib Actavis, kan vokse langsommere end normalt. Lægen vil kontrollere væksten ved regelmæssige besøg.</w:t>
      </w:r>
    </w:p>
    <w:p w14:paraId="4E062146" w14:textId="77777777" w:rsidR="006478AD" w:rsidRPr="00AA499E" w:rsidRDefault="006478AD">
      <w:pPr>
        <w:autoSpaceDE w:val="0"/>
        <w:autoSpaceDN w:val="0"/>
        <w:adjustRightInd w:val="0"/>
        <w:spacing w:after="0" w:line="240" w:lineRule="auto"/>
        <w:rPr>
          <w:rFonts w:ascii="Times New Roman" w:hAnsi="Times New Roman"/>
          <w:lang w:val="da-DK"/>
        </w:rPr>
      </w:pPr>
    </w:p>
    <w:p w14:paraId="5C37692C"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af anden medicin sammen med Imatinib Actavis</w:t>
      </w:r>
    </w:p>
    <w:p w14:paraId="54CAA8A8" w14:textId="152FB7B9"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Fortæl altid lægen eller på apoteket, hvis du tager anden medicin for </w:t>
      </w:r>
      <w:r w:rsidRPr="00554886">
        <w:rPr>
          <w:rFonts w:ascii="Times New Roman" w:hAnsi="Times New Roman"/>
          <w:lang w:val="da-DK"/>
        </w:rPr>
        <w:t>nylig</w:t>
      </w:r>
      <w:r w:rsidR="00554886" w:rsidRPr="00554886">
        <w:rPr>
          <w:rFonts w:ascii="Times New Roman" w:hAnsi="Times New Roman"/>
          <w:lang w:val="da-DK"/>
        </w:rPr>
        <w:t xml:space="preserve"> </w:t>
      </w:r>
      <w:r w:rsidR="00554886" w:rsidRPr="00C76A02">
        <w:rPr>
          <w:rFonts w:ascii="Times New Roman" w:hAnsi="Times New Roman"/>
          <w:lang w:val="da-DK"/>
        </w:rPr>
        <w:t>har taget anden medicin eller planlægger at tage anden medicin</w:t>
      </w:r>
      <w:r w:rsidRPr="00554886">
        <w:rPr>
          <w:rFonts w:ascii="Times New Roman" w:hAnsi="Times New Roman"/>
          <w:lang w:val="da-DK"/>
        </w:rPr>
        <w:t>. Dette gælder også me</w:t>
      </w:r>
      <w:r w:rsidRPr="00AA499E">
        <w:rPr>
          <w:rFonts w:ascii="Times New Roman" w:hAnsi="Times New Roman"/>
          <w:lang w:val="da-DK"/>
        </w:rPr>
        <w:t>dicin, som ikke er købt på recept (såsom paracetamol), inklusive naturlægemidler (såsom perikon). Nogle lægemidler kan påvirke virkningen af Imatinib Actavis, når de bruges samtidigt. De kan enten øge eller nedsætte virkningen af Imatinib Actavis, hvilket kan resultere i enten flere bivirkninger, eller de kan gøre Imatinib Actavis mindre virksomt. Imatinib Actavis kan gøre det samme ved andre lægemidler.</w:t>
      </w:r>
    </w:p>
    <w:p w14:paraId="7DB50F8B" w14:textId="77777777" w:rsidR="004D0250" w:rsidRPr="00AA499E" w:rsidRDefault="004D0250">
      <w:pPr>
        <w:autoSpaceDE w:val="0"/>
        <w:autoSpaceDN w:val="0"/>
        <w:adjustRightInd w:val="0"/>
        <w:spacing w:after="0" w:line="240" w:lineRule="auto"/>
        <w:rPr>
          <w:rFonts w:ascii="Times New Roman" w:hAnsi="Times New Roman"/>
          <w:lang w:val="da-DK"/>
        </w:rPr>
      </w:pPr>
    </w:p>
    <w:p w14:paraId="26223186" w14:textId="77777777" w:rsidR="006478AD" w:rsidRPr="00AA499E" w:rsidRDefault="004D0250" w:rsidP="007E16DF">
      <w:pPr>
        <w:widowControl w:val="0"/>
        <w:rPr>
          <w:rFonts w:ascii="Times New Roman" w:hAnsi="Times New Roman"/>
          <w:lang w:val="da-DK"/>
        </w:rPr>
      </w:pPr>
      <w:r w:rsidRPr="00AA499E">
        <w:rPr>
          <w:rFonts w:ascii="Times New Roman" w:hAnsi="Times New Roman"/>
          <w:color w:val="000000"/>
          <w:lang w:val="da-DK"/>
        </w:rPr>
        <w:t>Fortæl din læge hvis du tager medicin, der forebygger dannelsen af blodpropper.</w:t>
      </w:r>
    </w:p>
    <w:p w14:paraId="08D2960F"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Graviditet, amning og frugtbarhed</w:t>
      </w:r>
    </w:p>
    <w:p w14:paraId="11D36FA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gravid eller ammer, har mistanke om, at du er gravid, eller planlægger at blive gravid, skal du spørge din læge til råds, før du tager dette lægemiddel.</w:t>
      </w:r>
    </w:p>
    <w:p w14:paraId="776F27F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Imatinib Actavis anbefales ikke under graviditeten, medmindre det er strengt nødvendigt, da det kan skade din baby. Din læge vil fortælle dig om de mulige risici, der er forbundet med brug af Imatinib Actavis under graviditeten.</w:t>
      </w:r>
    </w:p>
    <w:p w14:paraId="7E5D27D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Under behandlingen</w:t>
      </w:r>
      <w:r w:rsidR="008106C4" w:rsidRPr="00AA499E">
        <w:rPr>
          <w:rFonts w:ascii="Times New Roman" w:hAnsi="Times New Roman"/>
          <w:lang w:val="da-DK"/>
        </w:rPr>
        <w:t xml:space="preserve"> </w:t>
      </w:r>
      <w:r w:rsidR="008106C4" w:rsidRPr="00A26B73">
        <w:rPr>
          <w:rFonts w:ascii="Times New Roman" w:hAnsi="Times New Roman"/>
          <w:color w:val="000000"/>
          <w:lang w:val="da-DK"/>
        </w:rPr>
        <w:t>og i 15 dage efter ophør af behandlingen</w:t>
      </w:r>
      <w:r w:rsidRPr="00AA499E">
        <w:rPr>
          <w:rFonts w:ascii="Times New Roman" w:hAnsi="Times New Roman"/>
          <w:lang w:val="da-DK"/>
        </w:rPr>
        <w:t xml:space="preserve"> anbefales det, at kvinder som kan blive gravide, anvender effektiv beskyttelse mod graviditet.</w:t>
      </w:r>
    </w:p>
    <w:p w14:paraId="56CD44C8" w14:textId="282DC14A"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Du må ikke amme, mens du er i behandling </w:t>
      </w:r>
      <w:r w:rsidR="008106C4" w:rsidRPr="00A26B73">
        <w:rPr>
          <w:rFonts w:ascii="Times New Roman" w:hAnsi="Times New Roman"/>
          <w:color w:val="000000"/>
          <w:lang w:val="da-DK"/>
        </w:rPr>
        <w:t>og i 15 dage efter ophør af behandling</w:t>
      </w:r>
      <w:r w:rsidR="008106C4" w:rsidRPr="00A26B73">
        <w:rPr>
          <w:rFonts w:ascii="Times New Roman" w:hAnsi="Times New Roman"/>
          <w:lang w:val="da-DK"/>
        </w:rPr>
        <w:t xml:space="preserve"> </w:t>
      </w:r>
      <w:r w:rsidRPr="00AA499E">
        <w:rPr>
          <w:rFonts w:ascii="Times New Roman" w:hAnsi="Times New Roman"/>
          <w:lang w:val="da-DK"/>
        </w:rPr>
        <w:t>med Imatinib Actavis</w:t>
      </w:r>
      <w:r w:rsidR="008106C4" w:rsidRPr="00A26B73">
        <w:rPr>
          <w:rFonts w:ascii="Times New Roman" w:hAnsi="Times New Roman"/>
          <w:lang w:val="da-DK"/>
        </w:rPr>
        <w:t xml:space="preserve">, </w:t>
      </w:r>
      <w:r w:rsidR="008106C4" w:rsidRPr="00A26B73">
        <w:rPr>
          <w:rFonts w:ascii="Times New Roman" w:hAnsi="Times New Roman"/>
          <w:color w:val="000000"/>
          <w:lang w:val="da-DK"/>
        </w:rPr>
        <w:t>da det kan skade din baby</w:t>
      </w:r>
      <w:r w:rsidRPr="00AA499E">
        <w:rPr>
          <w:rFonts w:ascii="Times New Roman" w:hAnsi="Times New Roman"/>
          <w:lang w:val="da-DK"/>
        </w:rPr>
        <w:t>.</w:t>
      </w:r>
    </w:p>
    <w:p w14:paraId="1BD48DF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eastAsia="Times New Roman" w:hAnsi="Times New Roman"/>
          <w:lang w:val="da-DK"/>
        </w:rPr>
        <w:t xml:space="preserve">Hvis du er bekymret for din frugtbarhed, mens du tager </w:t>
      </w:r>
      <w:r w:rsidRPr="00AA499E">
        <w:rPr>
          <w:rFonts w:ascii="Times New Roman" w:hAnsi="Times New Roman"/>
          <w:lang w:val="da-DK"/>
        </w:rPr>
        <w:t>Imatinib Actavis,</w:t>
      </w:r>
      <w:r w:rsidRPr="00AA499E">
        <w:rPr>
          <w:rFonts w:ascii="Times New Roman" w:eastAsia="Times New Roman" w:hAnsi="Times New Roman"/>
          <w:lang w:val="da-DK"/>
        </w:rPr>
        <w:t xml:space="preserve"> skal du kontakte din læge.</w:t>
      </w:r>
    </w:p>
    <w:p w14:paraId="4457FAE0" w14:textId="77777777" w:rsidR="006478AD" w:rsidRPr="00AA499E" w:rsidRDefault="006478AD">
      <w:pPr>
        <w:autoSpaceDE w:val="0"/>
        <w:autoSpaceDN w:val="0"/>
        <w:adjustRightInd w:val="0"/>
        <w:spacing w:after="0" w:line="240" w:lineRule="auto"/>
        <w:rPr>
          <w:rFonts w:ascii="Times New Roman" w:hAnsi="Times New Roman"/>
          <w:lang w:val="da-DK"/>
        </w:rPr>
      </w:pPr>
    </w:p>
    <w:p w14:paraId="7E4046A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Trafik- og arbejdssikkerhed</w:t>
      </w:r>
    </w:p>
    <w:p w14:paraId="02E3685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kan blive svimmel eller søvnig eller få sløret syn, mens du tager dette lægemiddel. Hvis dette sker, bør du ikke køre bil eller bruge værktøj og maskiner, før du føler dig godt tilpas igen.</w:t>
      </w:r>
    </w:p>
    <w:p w14:paraId="69275647" w14:textId="77777777" w:rsidR="006478AD" w:rsidRPr="00AA499E" w:rsidRDefault="006478AD">
      <w:pPr>
        <w:autoSpaceDE w:val="0"/>
        <w:autoSpaceDN w:val="0"/>
        <w:adjustRightInd w:val="0"/>
        <w:spacing w:after="0" w:line="240" w:lineRule="auto"/>
        <w:rPr>
          <w:rFonts w:ascii="Times New Roman" w:hAnsi="Times New Roman"/>
          <w:lang w:val="da-DK"/>
        </w:rPr>
      </w:pPr>
    </w:p>
    <w:p w14:paraId="2525DF3A"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indeholder lecithin (soya)</w:t>
      </w:r>
    </w:p>
    <w:p w14:paraId="38F1811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må ikke tage dette lægemiddel, hvis du er allergisk over for jordnødder eller soya.</w:t>
      </w:r>
    </w:p>
    <w:p w14:paraId="23F26B6F" w14:textId="77777777" w:rsidR="006478AD" w:rsidRPr="00AA499E" w:rsidRDefault="006478AD">
      <w:pPr>
        <w:autoSpaceDE w:val="0"/>
        <w:autoSpaceDN w:val="0"/>
        <w:adjustRightInd w:val="0"/>
        <w:spacing w:after="0" w:line="240" w:lineRule="auto"/>
        <w:rPr>
          <w:rFonts w:ascii="Times New Roman" w:hAnsi="Times New Roman"/>
          <w:lang w:val="da-DK"/>
        </w:rPr>
      </w:pPr>
    </w:p>
    <w:p w14:paraId="26104284" w14:textId="77777777" w:rsidR="00CC19F7" w:rsidRPr="00AA499E" w:rsidRDefault="00CC19F7" w:rsidP="00CC19F7">
      <w:pPr>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t>Imatinib Actavis indeholder natrium</w:t>
      </w:r>
    </w:p>
    <w:p w14:paraId="58D4767A" w14:textId="77777777" w:rsidR="00CC19F7" w:rsidRPr="00AA499E" w:rsidRDefault="00CC19F7" w:rsidP="00CC19F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Dette lægemiddel indeholder mindre end 1 mmol (23 mg) natrium pr. </w:t>
      </w:r>
      <w:r w:rsidR="006F0678" w:rsidRPr="00AA499E">
        <w:rPr>
          <w:rFonts w:ascii="Times New Roman" w:hAnsi="Times New Roman"/>
          <w:lang w:val="da-DK"/>
        </w:rPr>
        <w:t>filmovertrukket tablet</w:t>
      </w:r>
      <w:r w:rsidRPr="00AA499E">
        <w:rPr>
          <w:rFonts w:ascii="Times New Roman" w:hAnsi="Times New Roman"/>
          <w:lang w:val="da-DK"/>
        </w:rPr>
        <w:t>, dvs. det er i det væsentlige natrium-frit.</w:t>
      </w:r>
    </w:p>
    <w:p w14:paraId="69D20CD2" w14:textId="77777777" w:rsidR="004B4557" w:rsidRPr="00AA499E" w:rsidRDefault="004B4557" w:rsidP="00CC19F7">
      <w:pPr>
        <w:autoSpaceDE w:val="0"/>
        <w:autoSpaceDN w:val="0"/>
        <w:adjustRightInd w:val="0"/>
        <w:spacing w:after="0" w:line="240" w:lineRule="auto"/>
        <w:rPr>
          <w:rFonts w:ascii="Times New Roman" w:hAnsi="Times New Roman"/>
          <w:lang w:val="da-DK"/>
        </w:rPr>
      </w:pPr>
    </w:p>
    <w:p w14:paraId="3A42C0B6" w14:textId="77777777" w:rsidR="006478AD" w:rsidRPr="00AA499E" w:rsidRDefault="006478AD">
      <w:pPr>
        <w:autoSpaceDE w:val="0"/>
        <w:autoSpaceDN w:val="0"/>
        <w:adjustRightInd w:val="0"/>
        <w:spacing w:after="0" w:line="240" w:lineRule="auto"/>
        <w:rPr>
          <w:rFonts w:ascii="Times New Roman" w:hAnsi="Times New Roman"/>
          <w:lang w:val="da-DK"/>
        </w:rPr>
      </w:pPr>
    </w:p>
    <w:p w14:paraId="2DE7D99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3.</w:t>
      </w:r>
      <w:r w:rsidRPr="00AA499E">
        <w:rPr>
          <w:rFonts w:ascii="Times New Roman" w:hAnsi="Times New Roman"/>
          <w:b/>
          <w:bCs/>
          <w:lang w:val="da-DK"/>
        </w:rPr>
        <w:tab/>
        <w:t>Sådan skal du tage Imatinib Actavis</w:t>
      </w:r>
    </w:p>
    <w:p w14:paraId="329336AB" w14:textId="77777777" w:rsidR="006478AD" w:rsidRPr="00AA499E" w:rsidRDefault="006478AD">
      <w:pPr>
        <w:autoSpaceDE w:val="0"/>
        <w:autoSpaceDN w:val="0"/>
        <w:adjustRightInd w:val="0"/>
        <w:spacing w:after="0" w:line="240" w:lineRule="auto"/>
        <w:rPr>
          <w:rFonts w:ascii="Times New Roman" w:hAnsi="Times New Roman"/>
          <w:lang w:val="da-DK"/>
        </w:rPr>
      </w:pPr>
    </w:p>
    <w:p w14:paraId="54A51C8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har udskrevet Imatinib Actavis, fordi du lider af en alvorlig sygdom. Imatinib Actavis kan hjælpe dig med at bekæmpe denne tilstand.</w:t>
      </w:r>
    </w:p>
    <w:p w14:paraId="5D446226" w14:textId="77777777" w:rsidR="006478AD" w:rsidRPr="00AA499E" w:rsidRDefault="006478AD">
      <w:pPr>
        <w:autoSpaceDE w:val="0"/>
        <w:autoSpaceDN w:val="0"/>
        <w:adjustRightInd w:val="0"/>
        <w:spacing w:after="0" w:line="240" w:lineRule="auto"/>
        <w:rPr>
          <w:rFonts w:ascii="Times New Roman" w:hAnsi="Times New Roman"/>
          <w:lang w:val="da-DK"/>
        </w:rPr>
      </w:pPr>
    </w:p>
    <w:p w14:paraId="2376365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Tag altid dette lægemiddel nøjagtigt efter lægens eller apotekspersonalets anvisning. Det er vigtigt, at du tager det så længe, lægen eller apotekspersonalet fortæller dig, at du skal. Er du i tvivl, så spørg lægen eller på apoteket.</w:t>
      </w:r>
    </w:p>
    <w:p w14:paraId="090FFFC7" w14:textId="77777777" w:rsidR="006478AD" w:rsidRPr="00AA499E" w:rsidRDefault="006478AD">
      <w:pPr>
        <w:autoSpaceDE w:val="0"/>
        <w:autoSpaceDN w:val="0"/>
        <w:adjustRightInd w:val="0"/>
        <w:spacing w:after="0" w:line="240" w:lineRule="auto"/>
        <w:rPr>
          <w:rFonts w:ascii="Times New Roman" w:hAnsi="Times New Roman"/>
          <w:lang w:val="da-DK"/>
        </w:rPr>
      </w:pPr>
    </w:p>
    <w:p w14:paraId="45D42A0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må ikke stoppe med at tage Imatinib Actavis, medmindre din læge fortæller dig det. Hvis du ikke er i stand til at tage medicinen, som din læge har foreskrevet, eller hvis du føler, at du ikke længere behøver den, skal du kontakte din læge med det samme.</w:t>
      </w:r>
    </w:p>
    <w:p w14:paraId="775DBD09" w14:textId="77777777" w:rsidR="006478AD" w:rsidRPr="00AA499E" w:rsidRDefault="006478AD">
      <w:pPr>
        <w:autoSpaceDE w:val="0"/>
        <w:autoSpaceDN w:val="0"/>
        <w:adjustRightInd w:val="0"/>
        <w:spacing w:after="0" w:line="240" w:lineRule="auto"/>
        <w:rPr>
          <w:rFonts w:ascii="Times New Roman" w:hAnsi="Times New Roman"/>
          <w:lang w:val="da-DK"/>
        </w:rPr>
      </w:pPr>
    </w:p>
    <w:p w14:paraId="622A08B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Den sædvanlige dosis af Imatinib Actavis er</w:t>
      </w:r>
    </w:p>
    <w:p w14:paraId="019C430C" w14:textId="77777777" w:rsidR="006478AD" w:rsidRPr="00AA499E" w:rsidRDefault="006478AD">
      <w:pPr>
        <w:autoSpaceDE w:val="0"/>
        <w:autoSpaceDN w:val="0"/>
        <w:adjustRightInd w:val="0"/>
        <w:spacing w:after="0" w:line="240" w:lineRule="auto"/>
        <w:rPr>
          <w:rFonts w:ascii="Times New Roman" w:hAnsi="Times New Roman"/>
          <w:lang w:val="da-DK"/>
        </w:rPr>
      </w:pPr>
    </w:p>
    <w:p w14:paraId="62C4E78B"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til voksne</w:t>
      </w:r>
    </w:p>
    <w:p w14:paraId="36F3A49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vil fortælle dig, præcis hvor mange Imatinib Actavis-</w:t>
      </w:r>
      <w:r w:rsidR="0038010C" w:rsidRPr="00AA499E">
        <w:rPr>
          <w:rFonts w:ascii="Times New Roman" w:hAnsi="Times New Roman"/>
          <w:lang w:val="da-DK"/>
        </w:rPr>
        <w:t>tabletter</w:t>
      </w:r>
      <w:r w:rsidRPr="00AA499E">
        <w:rPr>
          <w:rFonts w:ascii="Times New Roman" w:hAnsi="Times New Roman"/>
          <w:lang w:val="da-DK"/>
        </w:rPr>
        <w:t>, du skal tage.</w:t>
      </w:r>
    </w:p>
    <w:p w14:paraId="3BFD81FB" w14:textId="77777777" w:rsidR="00CC438E" w:rsidRPr="00AA499E" w:rsidRDefault="00CC438E">
      <w:pPr>
        <w:autoSpaceDE w:val="0"/>
        <w:autoSpaceDN w:val="0"/>
        <w:adjustRightInd w:val="0"/>
        <w:spacing w:after="0" w:line="240" w:lineRule="auto"/>
        <w:rPr>
          <w:rFonts w:ascii="Times New Roman" w:hAnsi="Times New Roman"/>
          <w:lang w:val="da-DK"/>
        </w:rPr>
      </w:pPr>
    </w:p>
    <w:p w14:paraId="07704737" w14:textId="77777777" w:rsidR="00CC438E" w:rsidRPr="00AA499E" w:rsidRDefault="00CC438E" w:rsidP="00063A26">
      <w:pPr>
        <w:numPr>
          <w:ilvl w:val="0"/>
          <w:numId w:val="27"/>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Hvis du er i behandling for CML:</w:t>
      </w:r>
    </w:p>
    <w:p w14:paraId="7968B1F7" w14:textId="77777777" w:rsidR="006478AD" w:rsidRPr="00AA499E" w:rsidRDefault="00616F3C" w:rsidP="002505E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w:t>
      </w:r>
      <w:r w:rsidR="00CC438E" w:rsidRPr="00AA499E">
        <w:rPr>
          <w:rFonts w:ascii="Times New Roman" w:hAnsi="Times New Roman"/>
          <w:lang w:val="da-DK"/>
        </w:rPr>
        <w:t xml:space="preserve">sædvanlige </w:t>
      </w:r>
      <w:r w:rsidRPr="00AA499E">
        <w:rPr>
          <w:rFonts w:ascii="Times New Roman" w:hAnsi="Times New Roman"/>
          <w:lang w:val="da-DK"/>
        </w:rPr>
        <w:t xml:space="preserve">startdosis er </w:t>
      </w:r>
      <w:r w:rsidRPr="00AA499E">
        <w:rPr>
          <w:rFonts w:ascii="Times New Roman" w:hAnsi="Times New Roman"/>
          <w:bCs/>
          <w:lang w:val="da-DK"/>
        </w:rPr>
        <w:t>600 mg,</w:t>
      </w:r>
      <w:r w:rsidRPr="00AA499E">
        <w:rPr>
          <w:rFonts w:ascii="Times New Roman" w:hAnsi="Times New Roman"/>
          <w:b/>
          <w:bCs/>
          <w:lang w:val="da-DK"/>
        </w:rPr>
        <w:t xml:space="preserve"> </w:t>
      </w:r>
      <w:r w:rsidRPr="00AA499E">
        <w:rPr>
          <w:rFonts w:ascii="Times New Roman" w:hAnsi="Times New Roman"/>
          <w:lang w:val="da-DK"/>
        </w:rPr>
        <w:t xml:space="preserve">som skal tages som 6 tabletter </w:t>
      </w:r>
      <w:r w:rsidRPr="00AA499E">
        <w:rPr>
          <w:rFonts w:ascii="Times New Roman" w:hAnsi="Times New Roman"/>
          <w:b/>
          <w:bCs/>
          <w:lang w:val="da-DK"/>
        </w:rPr>
        <w:t xml:space="preserve">én gang </w:t>
      </w:r>
      <w:r w:rsidRPr="00AA499E">
        <w:rPr>
          <w:rFonts w:ascii="Times New Roman" w:hAnsi="Times New Roman"/>
          <w:lang w:val="da-DK"/>
        </w:rPr>
        <w:t>daglig.</w:t>
      </w:r>
      <w:r w:rsidRPr="00AA499E">
        <w:rPr>
          <w:rFonts w:ascii="Times New Roman" w:hAnsi="Times New Roman"/>
          <w:lang w:val="da-DK"/>
        </w:rPr>
        <w:tab/>
      </w:r>
    </w:p>
    <w:p w14:paraId="40803848" w14:textId="77777777" w:rsidR="006478AD" w:rsidRPr="00AA499E" w:rsidRDefault="006478AD" w:rsidP="002505EB">
      <w:pPr>
        <w:autoSpaceDE w:val="0"/>
        <w:autoSpaceDN w:val="0"/>
        <w:adjustRightInd w:val="0"/>
        <w:spacing w:after="0" w:line="240" w:lineRule="auto"/>
        <w:rPr>
          <w:rFonts w:ascii="Times New Roman" w:hAnsi="Times New Roman"/>
          <w:lang w:val="da-DK"/>
        </w:rPr>
      </w:pPr>
    </w:p>
    <w:p w14:paraId="11FBFD3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Din læge kan foreskrive højere eller lavere dosis afhængigt af, hvordan du reagerer på behandlingen. Hvis din daglige dosis er 800 mg (8 </w:t>
      </w:r>
      <w:r w:rsidR="0038010C" w:rsidRPr="00AA499E">
        <w:rPr>
          <w:rFonts w:ascii="Times New Roman" w:hAnsi="Times New Roman"/>
          <w:lang w:val="da-DK"/>
        </w:rPr>
        <w:t>tabletter</w:t>
      </w:r>
      <w:r w:rsidRPr="00AA499E">
        <w:rPr>
          <w:rFonts w:ascii="Times New Roman" w:hAnsi="Times New Roman"/>
          <w:lang w:val="da-DK"/>
        </w:rPr>
        <w:t xml:space="preserve">), skal du tage 4 </w:t>
      </w:r>
      <w:r w:rsidR="0038010C" w:rsidRPr="00AA499E">
        <w:rPr>
          <w:rFonts w:ascii="Times New Roman" w:hAnsi="Times New Roman"/>
          <w:lang w:val="da-DK"/>
        </w:rPr>
        <w:t xml:space="preserve">tabletter </w:t>
      </w:r>
      <w:r w:rsidRPr="00AA499E">
        <w:rPr>
          <w:rFonts w:ascii="Times New Roman" w:hAnsi="Times New Roman"/>
          <w:lang w:val="da-DK"/>
        </w:rPr>
        <w:t xml:space="preserve">om morgenen og 4 </w:t>
      </w:r>
      <w:r w:rsidR="0038010C" w:rsidRPr="00AA499E">
        <w:rPr>
          <w:rFonts w:ascii="Times New Roman" w:hAnsi="Times New Roman"/>
          <w:lang w:val="da-DK"/>
        </w:rPr>
        <w:t xml:space="preserve">tabletter </w:t>
      </w:r>
      <w:r w:rsidRPr="00AA499E">
        <w:rPr>
          <w:rFonts w:ascii="Times New Roman" w:hAnsi="Times New Roman"/>
          <w:lang w:val="da-DK"/>
        </w:rPr>
        <w:t>om aftenen</w:t>
      </w:r>
      <w:r w:rsidR="001F716D" w:rsidRPr="00AA499E">
        <w:rPr>
          <w:rFonts w:ascii="Times New Roman" w:hAnsi="Times New Roman"/>
          <w:lang w:val="da-DK"/>
        </w:rPr>
        <w:t>.</w:t>
      </w:r>
    </w:p>
    <w:p w14:paraId="0B2D353E" w14:textId="77777777" w:rsidR="0006447E" w:rsidRPr="00AA499E" w:rsidRDefault="0006447E">
      <w:pPr>
        <w:autoSpaceDE w:val="0"/>
        <w:autoSpaceDN w:val="0"/>
        <w:adjustRightInd w:val="0"/>
        <w:spacing w:after="0" w:line="240" w:lineRule="auto"/>
        <w:rPr>
          <w:rFonts w:ascii="Times New Roman" w:hAnsi="Times New Roman"/>
          <w:lang w:val="da-DK"/>
        </w:rPr>
      </w:pPr>
    </w:p>
    <w:p w14:paraId="60604956" w14:textId="77777777" w:rsidR="0006447E" w:rsidRPr="00AA499E" w:rsidRDefault="0006447E" w:rsidP="0006447E">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Ph-positiv ALL: </w:t>
      </w:r>
    </w:p>
    <w:p w14:paraId="68EA62D3" w14:textId="77777777" w:rsidR="0006447E" w:rsidRPr="00AA499E" w:rsidRDefault="0006447E" w:rsidP="0006447E">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600 mg, som skal tages som 6 tabletter </w:t>
      </w:r>
      <w:r w:rsidRPr="00AA499E">
        <w:rPr>
          <w:rFonts w:ascii="Times New Roman" w:hAnsi="Times New Roman"/>
          <w:b/>
          <w:bCs/>
          <w:lang w:val="da-DK"/>
        </w:rPr>
        <w:t xml:space="preserve">én gang </w:t>
      </w:r>
      <w:r w:rsidRPr="00AA499E">
        <w:rPr>
          <w:rFonts w:ascii="Times New Roman" w:hAnsi="Times New Roman"/>
          <w:lang w:val="da-DK"/>
        </w:rPr>
        <w:t>daglig.</w:t>
      </w:r>
    </w:p>
    <w:p w14:paraId="02DE18CA" w14:textId="77777777" w:rsidR="0006447E" w:rsidRPr="00AA499E" w:rsidRDefault="0006447E" w:rsidP="0006447E">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 </w:t>
      </w:r>
    </w:p>
    <w:p w14:paraId="1D69B296" w14:textId="77777777" w:rsidR="0006447E" w:rsidRPr="00AA499E" w:rsidRDefault="0006447E" w:rsidP="0006447E">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MDS/MPD: </w:t>
      </w:r>
    </w:p>
    <w:p w14:paraId="7AF4D69E" w14:textId="77777777" w:rsidR="0006447E" w:rsidRPr="00AA499E" w:rsidRDefault="0006447E" w:rsidP="0006447E">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400 mg, som skal tages som 4 tabletter </w:t>
      </w:r>
      <w:r w:rsidRPr="00AA499E">
        <w:rPr>
          <w:rFonts w:ascii="Times New Roman" w:hAnsi="Times New Roman"/>
          <w:b/>
          <w:bCs/>
          <w:lang w:val="da-DK"/>
        </w:rPr>
        <w:t xml:space="preserve">én gang </w:t>
      </w:r>
      <w:r w:rsidRPr="00AA499E">
        <w:rPr>
          <w:rFonts w:ascii="Times New Roman" w:hAnsi="Times New Roman"/>
          <w:lang w:val="da-DK"/>
        </w:rPr>
        <w:t>daglig.</w:t>
      </w:r>
    </w:p>
    <w:p w14:paraId="1DDA7019" w14:textId="77777777" w:rsidR="0006447E" w:rsidRPr="00AA499E" w:rsidRDefault="0006447E" w:rsidP="0006447E">
      <w:pPr>
        <w:autoSpaceDE w:val="0"/>
        <w:autoSpaceDN w:val="0"/>
        <w:adjustRightInd w:val="0"/>
        <w:spacing w:after="0" w:line="240" w:lineRule="auto"/>
        <w:rPr>
          <w:rFonts w:ascii="Times New Roman" w:hAnsi="Times New Roman"/>
          <w:lang w:val="da-DK"/>
        </w:rPr>
      </w:pPr>
    </w:p>
    <w:p w14:paraId="600B3CEE" w14:textId="77777777" w:rsidR="0006447E" w:rsidRPr="00AA499E" w:rsidRDefault="0006447E" w:rsidP="0006447E">
      <w:pPr>
        <w:numPr>
          <w:ilvl w:val="0"/>
          <w:numId w:val="24"/>
        </w:numPr>
        <w:autoSpaceDE w:val="0"/>
        <w:autoSpaceDN w:val="0"/>
        <w:adjustRightInd w:val="0"/>
        <w:spacing w:after="0" w:line="240" w:lineRule="auto"/>
        <w:ind w:left="567" w:hanging="567"/>
        <w:rPr>
          <w:rFonts w:ascii="Times New Roman" w:hAnsi="Times New Roman"/>
          <w:color w:val="000000"/>
          <w:lang w:val="da-DK" w:eastAsia="is-IS"/>
        </w:rPr>
      </w:pPr>
      <w:r w:rsidRPr="00AA499E">
        <w:rPr>
          <w:rFonts w:ascii="Times New Roman" w:hAnsi="Times New Roman"/>
          <w:b/>
          <w:bCs/>
          <w:color w:val="000000"/>
          <w:lang w:val="da-DK" w:eastAsia="is-IS"/>
        </w:rPr>
        <w:t xml:space="preserve">Hvis du behandles for HES/CEL: </w:t>
      </w:r>
    </w:p>
    <w:p w14:paraId="2A2D6C1A" w14:textId="77777777" w:rsidR="0006447E" w:rsidRPr="00AA499E" w:rsidRDefault="0006447E" w:rsidP="0006447E">
      <w:pPr>
        <w:autoSpaceDE w:val="0"/>
        <w:autoSpaceDN w:val="0"/>
        <w:adjustRightInd w:val="0"/>
        <w:spacing w:after="0" w:line="240" w:lineRule="auto"/>
        <w:ind w:left="567"/>
        <w:rPr>
          <w:rFonts w:ascii="Times New Roman" w:hAnsi="Times New Roman"/>
          <w:color w:val="000000"/>
          <w:lang w:val="da-DK" w:eastAsia="is-IS"/>
        </w:rPr>
      </w:pPr>
      <w:r w:rsidRPr="00AA499E">
        <w:rPr>
          <w:rFonts w:ascii="Times New Roman" w:hAnsi="Times New Roman"/>
          <w:color w:val="000000"/>
          <w:lang w:val="da-DK" w:eastAsia="is-IS"/>
        </w:rPr>
        <w:t xml:space="preserve">Startdosis er 100 mg, som skal tages som 1 tablet </w:t>
      </w:r>
      <w:r w:rsidRPr="00AA499E">
        <w:rPr>
          <w:rFonts w:ascii="Times New Roman" w:hAnsi="Times New Roman"/>
          <w:b/>
          <w:bCs/>
          <w:color w:val="000000"/>
          <w:lang w:val="da-DK" w:eastAsia="is-IS"/>
        </w:rPr>
        <w:t xml:space="preserve">én gang </w:t>
      </w:r>
      <w:r w:rsidRPr="00AA499E">
        <w:rPr>
          <w:rFonts w:ascii="Times New Roman" w:hAnsi="Times New Roman"/>
          <w:color w:val="000000"/>
          <w:lang w:val="da-DK" w:eastAsia="is-IS"/>
        </w:rPr>
        <w:t xml:space="preserve">daglig. Din læge kan beslutte at øge dosis til 400 mg, som skal tages som 4 tabletter </w:t>
      </w:r>
      <w:r w:rsidRPr="00AA499E">
        <w:rPr>
          <w:rFonts w:ascii="Times New Roman" w:hAnsi="Times New Roman"/>
          <w:b/>
          <w:bCs/>
          <w:color w:val="000000"/>
          <w:lang w:val="da-DK" w:eastAsia="is-IS"/>
        </w:rPr>
        <w:t xml:space="preserve">én gang </w:t>
      </w:r>
      <w:r w:rsidRPr="00AA499E">
        <w:rPr>
          <w:rFonts w:ascii="Times New Roman" w:hAnsi="Times New Roman"/>
          <w:color w:val="000000"/>
          <w:lang w:val="da-DK" w:eastAsia="is-IS"/>
        </w:rPr>
        <w:t xml:space="preserve">daglig afhængig af, hvordan du responderer på behandlingen. </w:t>
      </w:r>
    </w:p>
    <w:p w14:paraId="2B98DBAB" w14:textId="77777777" w:rsidR="0006447E" w:rsidRPr="00AA499E" w:rsidRDefault="0006447E" w:rsidP="0006447E">
      <w:pPr>
        <w:autoSpaceDE w:val="0"/>
        <w:autoSpaceDN w:val="0"/>
        <w:adjustRightInd w:val="0"/>
        <w:spacing w:after="0" w:line="240" w:lineRule="auto"/>
        <w:rPr>
          <w:rFonts w:ascii="Times New Roman" w:hAnsi="Times New Roman"/>
          <w:color w:val="000000"/>
          <w:lang w:val="da-DK" w:eastAsia="is-IS"/>
        </w:rPr>
      </w:pPr>
    </w:p>
    <w:p w14:paraId="222FE7C5" w14:textId="77777777" w:rsidR="0006447E" w:rsidRPr="00AA499E" w:rsidRDefault="0006447E" w:rsidP="0006447E">
      <w:pPr>
        <w:numPr>
          <w:ilvl w:val="0"/>
          <w:numId w:val="24"/>
        </w:numPr>
        <w:autoSpaceDE w:val="0"/>
        <w:autoSpaceDN w:val="0"/>
        <w:adjustRightInd w:val="0"/>
        <w:spacing w:after="0" w:line="240" w:lineRule="auto"/>
        <w:ind w:left="567" w:hanging="567"/>
        <w:rPr>
          <w:rFonts w:ascii="Times New Roman" w:hAnsi="Times New Roman"/>
          <w:color w:val="000000"/>
          <w:lang w:val="da-DK" w:eastAsia="is-IS"/>
        </w:rPr>
      </w:pPr>
      <w:r w:rsidRPr="00AA499E">
        <w:rPr>
          <w:rFonts w:ascii="Times New Roman" w:hAnsi="Times New Roman"/>
          <w:b/>
          <w:bCs/>
          <w:color w:val="000000"/>
          <w:lang w:val="da-DK" w:eastAsia="is-IS"/>
        </w:rPr>
        <w:t xml:space="preserve">Hvis du behandles for DSFP: </w:t>
      </w:r>
    </w:p>
    <w:p w14:paraId="22DB3055" w14:textId="77777777" w:rsidR="0006447E" w:rsidRPr="00AA499E" w:rsidRDefault="0006447E" w:rsidP="0006447E">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Dosis er 800 mg pr. dag (8 tabletter). Du skal tage 4 tabletter om morgenen og 4 tabletter om aftenen.</w:t>
      </w:r>
    </w:p>
    <w:p w14:paraId="4DD9F675" w14:textId="77777777" w:rsidR="0006447E" w:rsidRPr="00AA499E" w:rsidRDefault="0006447E">
      <w:pPr>
        <w:autoSpaceDE w:val="0"/>
        <w:autoSpaceDN w:val="0"/>
        <w:adjustRightInd w:val="0"/>
        <w:spacing w:after="0" w:line="240" w:lineRule="auto"/>
        <w:rPr>
          <w:rFonts w:ascii="Times New Roman" w:hAnsi="Times New Roman"/>
          <w:lang w:val="da-DK"/>
        </w:rPr>
      </w:pPr>
    </w:p>
    <w:p w14:paraId="3DD0CE9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Brug til børn og </w:t>
      </w:r>
      <w:r w:rsidR="00406109" w:rsidRPr="00AA499E">
        <w:rPr>
          <w:rFonts w:ascii="Times New Roman" w:hAnsi="Times New Roman"/>
          <w:b/>
          <w:bCs/>
          <w:lang w:val="da-DK"/>
        </w:rPr>
        <w:t>unge</w:t>
      </w:r>
    </w:p>
    <w:p w14:paraId="0E91E912" w14:textId="77777777" w:rsidR="001C4DE3"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Lægen vil fortælle dig, hvor mange Imatinib Actavis-</w:t>
      </w:r>
      <w:r w:rsidR="0038010C" w:rsidRPr="00AA499E">
        <w:rPr>
          <w:rFonts w:ascii="Times New Roman" w:hAnsi="Times New Roman"/>
          <w:lang w:val="da-DK"/>
        </w:rPr>
        <w:t>tabletter</w:t>
      </w:r>
      <w:r w:rsidRPr="00AA499E">
        <w:rPr>
          <w:rFonts w:ascii="Times New Roman" w:hAnsi="Times New Roman"/>
          <w:lang w:val="da-DK"/>
        </w:rPr>
        <w:t>, du skal give dit barn. Antallet af Imatinib Actavis-</w:t>
      </w:r>
      <w:r w:rsidR="0038010C" w:rsidRPr="00AA499E">
        <w:rPr>
          <w:rFonts w:ascii="Times New Roman" w:hAnsi="Times New Roman"/>
          <w:lang w:val="da-DK"/>
        </w:rPr>
        <w:t xml:space="preserve">tabletter </w:t>
      </w:r>
      <w:r w:rsidRPr="00AA499E">
        <w:rPr>
          <w:rFonts w:ascii="Times New Roman" w:hAnsi="Times New Roman"/>
          <w:lang w:val="da-DK"/>
        </w:rPr>
        <w:t xml:space="preserve">afhænger af barnets tilstand, kropsvægt og højde. </w:t>
      </w:r>
    </w:p>
    <w:p w14:paraId="0EA72132" w14:textId="77777777" w:rsidR="001C4DE3" w:rsidRPr="00AA499E" w:rsidRDefault="001C4DE3">
      <w:pPr>
        <w:autoSpaceDE w:val="0"/>
        <w:autoSpaceDN w:val="0"/>
        <w:adjustRightInd w:val="0"/>
        <w:spacing w:after="0" w:line="240" w:lineRule="auto"/>
        <w:rPr>
          <w:rFonts w:ascii="Times New Roman" w:hAnsi="Times New Roman"/>
          <w:lang w:val="da-DK"/>
        </w:rPr>
      </w:pPr>
    </w:p>
    <w:p w14:paraId="3CB143D8" w14:textId="77777777" w:rsidR="006478AD" w:rsidRPr="00AA499E" w:rsidRDefault="009770B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totale daglige dosis til børn må ikke overstige 800 mg for CML-patienter og 600 mg for Ph+ALL-patienter. </w:t>
      </w:r>
      <w:r w:rsidR="00616F3C" w:rsidRPr="00AA499E">
        <w:rPr>
          <w:rFonts w:ascii="Times New Roman" w:hAnsi="Times New Roman"/>
          <w:lang w:val="da-DK"/>
        </w:rPr>
        <w:t>Behandlingen kan enten gives til dit barn som én daglig dosis, eller alternativt kan den daglige dosis deles og gives to gange (halvdelen om morgenen og den anden halvdel om aftenen).</w:t>
      </w:r>
    </w:p>
    <w:p w14:paraId="778496A6" w14:textId="77777777" w:rsidR="006478AD" w:rsidRPr="00AA499E" w:rsidRDefault="006478AD">
      <w:pPr>
        <w:autoSpaceDE w:val="0"/>
        <w:autoSpaceDN w:val="0"/>
        <w:adjustRightInd w:val="0"/>
        <w:spacing w:after="0" w:line="240" w:lineRule="auto"/>
        <w:rPr>
          <w:rFonts w:ascii="Times New Roman" w:hAnsi="Times New Roman"/>
          <w:lang w:val="da-DK"/>
        </w:rPr>
      </w:pPr>
    </w:p>
    <w:p w14:paraId="34944EB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Hvornår og hvordan skal du tage Imatinib Actavis</w:t>
      </w:r>
    </w:p>
    <w:p w14:paraId="389BEE3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
          <w:bCs/>
          <w:lang w:val="da-DK"/>
        </w:rPr>
        <w:t xml:space="preserve">Tag Imatinib Actavis sammen med et måltid. </w:t>
      </w:r>
      <w:r w:rsidRPr="00AA499E">
        <w:rPr>
          <w:rFonts w:ascii="Times New Roman" w:hAnsi="Times New Roman"/>
          <w:lang w:val="da-DK"/>
        </w:rPr>
        <w:t>Dette vil hjælpe med at beskytte dig mod maveproblemer, når du tager Imatinib Actavis.</w:t>
      </w:r>
    </w:p>
    <w:p w14:paraId="510D7403" w14:textId="77777777" w:rsidR="006478AD" w:rsidRPr="00AA499E" w:rsidRDefault="006478AD">
      <w:pPr>
        <w:pStyle w:val="KeinLeerraum"/>
        <w:rPr>
          <w:rFonts w:ascii="Times New Roman" w:hAnsi="Times New Roman"/>
          <w:highlight w:val="lightGray"/>
          <w:lang w:val="da-DK"/>
        </w:rPr>
      </w:pPr>
    </w:p>
    <w:p w14:paraId="0C28895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
          <w:bCs/>
          <w:lang w:val="da-DK"/>
        </w:rPr>
        <w:t xml:space="preserve">Synk </w:t>
      </w:r>
      <w:r w:rsidR="0038010C" w:rsidRPr="00AA499E">
        <w:rPr>
          <w:rFonts w:ascii="Times New Roman" w:hAnsi="Times New Roman"/>
          <w:b/>
          <w:bCs/>
          <w:lang w:val="da-DK"/>
        </w:rPr>
        <w:t xml:space="preserve">tabletterne </w:t>
      </w:r>
      <w:r w:rsidRPr="00AA499E">
        <w:rPr>
          <w:rFonts w:ascii="Times New Roman" w:hAnsi="Times New Roman"/>
          <w:b/>
          <w:bCs/>
          <w:lang w:val="da-DK"/>
        </w:rPr>
        <w:t xml:space="preserve">hele med et stort glas vand. </w:t>
      </w:r>
    </w:p>
    <w:p w14:paraId="0A2A41F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Tabletten kan deles i to lige store doser.</w:t>
      </w:r>
    </w:p>
    <w:p w14:paraId="1231C61A" w14:textId="77777777" w:rsidR="006478AD" w:rsidRPr="00AA499E" w:rsidRDefault="006478AD">
      <w:pPr>
        <w:widowControl w:val="0"/>
        <w:autoSpaceDE w:val="0"/>
        <w:autoSpaceDN w:val="0"/>
        <w:adjustRightInd w:val="0"/>
        <w:spacing w:after="0" w:line="240" w:lineRule="auto"/>
        <w:ind w:right="-20"/>
        <w:rPr>
          <w:rFonts w:ascii="Times New Roman" w:hAnsi="Times New Roman"/>
          <w:lang w:val="da-DK"/>
        </w:rPr>
      </w:pPr>
    </w:p>
    <w:p w14:paraId="1A89825A" w14:textId="77777777" w:rsidR="006478AD" w:rsidRPr="00AA499E" w:rsidRDefault="00616F3C">
      <w:pPr>
        <w:widowControl w:val="0"/>
        <w:autoSpaceDE w:val="0"/>
        <w:autoSpaceDN w:val="0"/>
        <w:adjustRightInd w:val="0"/>
        <w:spacing w:after="0" w:line="240" w:lineRule="auto"/>
        <w:ind w:right="-20"/>
        <w:rPr>
          <w:rFonts w:ascii="Times New Roman" w:hAnsi="Times New Roman"/>
          <w:lang w:val="da-DK"/>
        </w:rPr>
      </w:pPr>
      <w:r w:rsidRPr="00AA499E">
        <w:rPr>
          <w:rFonts w:ascii="Times New Roman" w:hAnsi="Times New Roman"/>
          <w:lang w:val="da-DK"/>
        </w:rPr>
        <w:t xml:space="preserve">Hvis du ikke er i stand til at synke </w:t>
      </w:r>
      <w:r w:rsidR="0038010C" w:rsidRPr="00AA499E">
        <w:rPr>
          <w:rFonts w:ascii="Times New Roman" w:hAnsi="Times New Roman"/>
          <w:lang w:val="da-DK"/>
        </w:rPr>
        <w:t>tabletterne</w:t>
      </w:r>
      <w:r w:rsidRPr="00AA499E">
        <w:rPr>
          <w:rFonts w:ascii="Times New Roman" w:hAnsi="Times New Roman"/>
          <w:lang w:val="da-DK"/>
        </w:rPr>
        <w:t xml:space="preserve">, kan du opløse </w:t>
      </w:r>
      <w:r w:rsidR="0038010C" w:rsidRPr="00AA499E">
        <w:rPr>
          <w:rFonts w:ascii="Times New Roman" w:hAnsi="Times New Roman"/>
          <w:lang w:val="da-DK"/>
        </w:rPr>
        <w:t xml:space="preserve">dem </w:t>
      </w:r>
      <w:r w:rsidRPr="00AA499E">
        <w:rPr>
          <w:rFonts w:ascii="Times New Roman" w:hAnsi="Times New Roman"/>
          <w:lang w:val="da-DK"/>
        </w:rPr>
        <w:t xml:space="preserve">i et glas almindeligt </w:t>
      </w:r>
      <w:r w:rsidR="009C10A4" w:rsidRPr="00AA499E">
        <w:rPr>
          <w:rFonts w:ascii="Times New Roman" w:hAnsi="Times New Roman"/>
          <w:lang w:val="da-DK"/>
        </w:rPr>
        <w:t xml:space="preserve">eller mineral </w:t>
      </w:r>
      <w:r w:rsidRPr="00AA499E">
        <w:rPr>
          <w:rFonts w:ascii="Times New Roman" w:hAnsi="Times New Roman"/>
          <w:lang w:val="da-DK"/>
        </w:rPr>
        <w:t>vand eller æblejuice.</w:t>
      </w:r>
    </w:p>
    <w:p w14:paraId="285A854C" w14:textId="77777777" w:rsidR="006478AD" w:rsidRPr="00AA499E" w:rsidRDefault="00616F3C">
      <w:pPr>
        <w:widowControl w:val="0"/>
        <w:tabs>
          <w:tab w:val="left" w:pos="567"/>
          <w:tab w:val="left" w:pos="680"/>
        </w:tabs>
        <w:autoSpaceDE w:val="0"/>
        <w:autoSpaceDN w:val="0"/>
        <w:adjustRightInd w:val="0"/>
        <w:spacing w:before="20" w:after="0" w:line="240" w:lineRule="auto"/>
        <w:ind w:right="-20"/>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Brug ca. 50 ml til hver 100 mg tablet.</w:t>
      </w:r>
    </w:p>
    <w:p w14:paraId="33B87CD7" w14:textId="77777777" w:rsidR="006478AD" w:rsidRPr="00AA499E" w:rsidRDefault="00616F3C">
      <w:pPr>
        <w:widowControl w:val="0"/>
        <w:tabs>
          <w:tab w:val="left" w:pos="567"/>
          <w:tab w:val="left" w:pos="680"/>
        </w:tabs>
        <w:autoSpaceDE w:val="0"/>
        <w:autoSpaceDN w:val="0"/>
        <w:adjustRightInd w:val="0"/>
        <w:spacing w:before="20" w:after="0" w:line="240" w:lineRule="auto"/>
        <w:ind w:right="-20"/>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Omrør med en ske indtil tabletterne er opløst fuldstændig.</w:t>
      </w:r>
    </w:p>
    <w:p w14:paraId="479A21D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Når tabletten er opløst, så drik hele glassets indhold med det samme. Spor af de opløste tabletter kan blive tilbage i glasset.</w:t>
      </w:r>
    </w:p>
    <w:p w14:paraId="7F1117DC" w14:textId="77777777" w:rsidR="006478AD" w:rsidRPr="00AA499E" w:rsidRDefault="006478AD">
      <w:pPr>
        <w:autoSpaceDE w:val="0"/>
        <w:autoSpaceDN w:val="0"/>
        <w:adjustRightInd w:val="0"/>
        <w:spacing w:after="0" w:line="240" w:lineRule="auto"/>
        <w:rPr>
          <w:rFonts w:ascii="Times New Roman" w:hAnsi="Times New Roman"/>
          <w:lang w:val="da-DK"/>
        </w:rPr>
      </w:pPr>
    </w:p>
    <w:p w14:paraId="4DCD3C3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 længe skal du tage Imatinib Actavis</w:t>
      </w:r>
    </w:p>
    <w:p w14:paraId="558B2BF2"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Bliv ved med at tage Imatinib Actavis hver dag, så længe som din læge har foreskevet det.</w:t>
      </w:r>
    </w:p>
    <w:p w14:paraId="5721BE53" w14:textId="77777777" w:rsidR="006478AD" w:rsidRPr="00AA499E" w:rsidRDefault="006478AD">
      <w:pPr>
        <w:autoSpaceDE w:val="0"/>
        <w:autoSpaceDN w:val="0"/>
        <w:adjustRightInd w:val="0"/>
        <w:spacing w:after="0" w:line="240" w:lineRule="auto"/>
        <w:rPr>
          <w:rFonts w:ascii="Times New Roman" w:hAnsi="Times New Roman"/>
          <w:lang w:val="da-DK"/>
        </w:rPr>
      </w:pPr>
    </w:p>
    <w:p w14:paraId="448F671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taget for meget Imatinib Actavis</w:t>
      </w:r>
    </w:p>
    <w:p w14:paraId="4C71ED1D"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Hvis du ved et uheld har indtaget for mange tabletter, skal du kontakte din læge </w:t>
      </w:r>
      <w:r w:rsidRPr="00AA499E">
        <w:rPr>
          <w:rFonts w:ascii="Times New Roman" w:hAnsi="Times New Roman"/>
          <w:b/>
          <w:bCs/>
          <w:lang w:val="da-DK"/>
        </w:rPr>
        <w:t>med det samme</w:t>
      </w:r>
      <w:r w:rsidRPr="00AA499E">
        <w:rPr>
          <w:rFonts w:ascii="Times New Roman" w:hAnsi="Times New Roman"/>
          <w:lang w:val="da-DK"/>
        </w:rPr>
        <w:t>. Lægebehandling kan være nødvendig. Tag pakningen med dig.</w:t>
      </w:r>
    </w:p>
    <w:p w14:paraId="49A247A1" w14:textId="77777777" w:rsidR="006478AD" w:rsidRPr="00AA499E" w:rsidRDefault="006478AD">
      <w:pPr>
        <w:autoSpaceDE w:val="0"/>
        <w:autoSpaceDN w:val="0"/>
        <w:adjustRightInd w:val="0"/>
        <w:spacing w:after="0" w:line="240" w:lineRule="auto"/>
        <w:rPr>
          <w:rFonts w:ascii="Times New Roman" w:hAnsi="Times New Roman"/>
          <w:lang w:val="da-DK"/>
        </w:rPr>
      </w:pPr>
    </w:p>
    <w:p w14:paraId="71A2BA0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glemt at tage Imatinib Actavis</w:t>
      </w:r>
    </w:p>
    <w:p w14:paraId="0AC6ECB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glemmer at tage en dosis, så tag den, så snart du kommer i tanke om det. Men hvis det næsten er tid til at tage den næste dosis, skal du springe den glemte dosis over.</w:t>
      </w:r>
    </w:p>
    <w:p w14:paraId="0C740A6A"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Fortsæt derefter med den planlagte dosering.</w:t>
      </w:r>
    </w:p>
    <w:p w14:paraId="5AC0477E"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Du må ikke tage en dobbeltdosis som erstatning for den glemte dosis.</w:t>
      </w:r>
    </w:p>
    <w:p w14:paraId="1D839573" w14:textId="77777777" w:rsidR="006478AD" w:rsidRPr="00AA499E" w:rsidRDefault="006478AD">
      <w:pPr>
        <w:autoSpaceDE w:val="0"/>
        <w:autoSpaceDN w:val="0"/>
        <w:adjustRightInd w:val="0"/>
        <w:spacing w:after="0" w:line="240" w:lineRule="auto"/>
        <w:ind w:left="567" w:hanging="567"/>
        <w:rPr>
          <w:rFonts w:ascii="Times New Roman" w:hAnsi="Times New Roman"/>
          <w:lang w:val="da-DK"/>
        </w:rPr>
      </w:pPr>
    </w:p>
    <w:p w14:paraId="5C092D19" w14:textId="62A7E968"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Spørg lægen, på apoteket </w:t>
      </w:r>
      <w:r w:rsidR="006B0B7E" w:rsidRPr="00AA499E">
        <w:rPr>
          <w:rFonts w:ascii="Times New Roman" w:hAnsi="Times New Roman"/>
          <w:lang w:val="da-DK"/>
        </w:rPr>
        <w:t>eller sygeplejersken</w:t>
      </w:r>
      <w:r w:rsidRPr="00AA499E">
        <w:rPr>
          <w:rFonts w:ascii="Times New Roman" w:hAnsi="Times New Roman"/>
          <w:lang w:val="da-DK"/>
        </w:rPr>
        <w:t>, hvis der er noget, du er i tvivl om.</w:t>
      </w:r>
    </w:p>
    <w:p w14:paraId="67140D7E" w14:textId="77777777" w:rsidR="006478AD" w:rsidRPr="00AA499E" w:rsidRDefault="006478AD">
      <w:pPr>
        <w:autoSpaceDE w:val="0"/>
        <w:autoSpaceDN w:val="0"/>
        <w:adjustRightInd w:val="0"/>
        <w:spacing w:after="0" w:line="240" w:lineRule="auto"/>
        <w:rPr>
          <w:rFonts w:ascii="Times New Roman" w:hAnsi="Times New Roman"/>
          <w:lang w:val="da-DK"/>
        </w:rPr>
      </w:pPr>
    </w:p>
    <w:p w14:paraId="07568CD1" w14:textId="77777777" w:rsidR="006478AD" w:rsidRPr="00AA499E" w:rsidRDefault="006478AD">
      <w:pPr>
        <w:autoSpaceDE w:val="0"/>
        <w:autoSpaceDN w:val="0"/>
        <w:adjustRightInd w:val="0"/>
        <w:spacing w:after="0" w:line="240" w:lineRule="auto"/>
        <w:rPr>
          <w:rFonts w:ascii="Times New Roman" w:hAnsi="Times New Roman"/>
          <w:lang w:val="da-DK"/>
        </w:rPr>
      </w:pPr>
    </w:p>
    <w:p w14:paraId="1E64F2F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w:t>
      </w:r>
      <w:r w:rsidRPr="00AA499E">
        <w:rPr>
          <w:rFonts w:ascii="Times New Roman" w:hAnsi="Times New Roman"/>
          <w:b/>
          <w:bCs/>
          <w:lang w:val="da-DK"/>
        </w:rPr>
        <w:tab/>
        <w:t>Bivirkninger</w:t>
      </w:r>
    </w:p>
    <w:p w14:paraId="21C89FD4" w14:textId="77777777" w:rsidR="006478AD" w:rsidRPr="00AA499E" w:rsidRDefault="006478AD">
      <w:pPr>
        <w:autoSpaceDE w:val="0"/>
        <w:autoSpaceDN w:val="0"/>
        <w:adjustRightInd w:val="0"/>
        <w:spacing w:after="0" w:line="240" w:lineRule="auto"/>
        <w:rPr>
          <w:rFonts w:ascii="Times New Roman" w:hAnsi="Times New Roman"/>
          <w:lang w:val="da-DK"/>
        </w:rPr>
      </w:pPr>
    </w:p>
    <w:p w14:paraId="28A85C29" w14:textId="5EB21345"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Dette lægemiddel kan </w:t>
      </w:r>
      <w:r w:rsidR="0060751F" w:rsidRPr="00AA499E">
        <w:rPr>
          <w:rFonts w:ascii="Times New Roman" w:hAnsi="Times New Roman"/>
          <w:lang w:val="da-DK"/>
        </w:rPr>
        <w:t xml:space="preserve">som </w:t>
      </w:r>
      <w:r w:rsidR="0060751F" w:rsidRPr="009E6986">
        <w:rPr>
          <w:rFonts w:ascii="Times New Roman" w:hAnsi="Times New Roman"/>
          <w:szCs w:val="24"/>
          <w:lang w:val="da-DK"/>
        </w:rPr>
        <w:t>alle andre lægemidler</w:t>
      </w:r>
      <w:r w:rsidR="0060751F" w:rsidRPr="00AA499E" w:rsidDel="0060751F">
        <w:rPr>
          <w:rFonts w:ascii="Times New Roman" w:hAnsi="Times New Roman"/>
          <w:lang w:val="da-DK"/>
        </w:rPr>
        <w:t xml:space="preserve"> </w:t>
      </w:r>
      <w:r w:rsidRPr="00AA499E">
        <w:rPr>
          <w:rFonts w:ascii="Times New Roman" w:hAnsi="Times New Roman"/>
          <w:lang w:val="da-DK"/>
        </w:rPr>
        <w:t>give bivirkninger, men ikke alle får bivirkninger. De er som regel lette til moderate.</w:t>
      </w:r>
    </w:p>
    <w:p w14:paraId="5DE46A0F" w14:textId="77777777" w:rsidR="006478AD" w:rsidRPr="00AA499E" w:rsidRDefault="006478AD">
      <w:pPr>
        <w:autoSpaceDE w:val="0"/>
        <w:autoSpaceDN w:val="0"/>
        <w:adjustRightInd w:val="0"/>
        <w:spacing w:after="0" w:line="240" w:lineRule="auto"/>
        <w:rPr>
          <w:rFonts w:ascii="Times New Roman" w:hAnsi="Times New Roman"/>
          <w:lang w:val="da-DK"/>
        </w:rPr>
      </w:pPr>
    </w:p>
    <w:p w14:paraId="1EC5A12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Nogle bivirkninger kan være alvorlige. Kontakt din læge med det samme, hvis du oplever nogle af de følgende bivirkninger:</w:t>
      </w:r>
    </w:p>
    <w:p w14:paraId="1EC36D78" w14:textId="77777777" w:rsidR="006478AD" w:rsidRPr="00AA499E" w:rsidRDefault="006478AD">
      <w:pPr>
        <w:autoSpaceDE w:val="0"/>
        <w:autoSpaceDN w:val="0"/>
        <w:adjustRightInd w:val="0"/>
        <w:spacing w:after="0" w:line="240" w:lineRule="auto"/>
        <w:rPr>
          <w:rFonts w:ascii="Times New Roman" w:hAnsi="Times New Roman"/>
          <w:lang w:val="da-DK"/>
        </w:rPr>
      </w:pPr>
    </w:p>
    <w:p w14:paraId="4A4B5F7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Meget almindelige </w:t>
      </w:r>
      <w:r w:rsidR="004D0250" w:rsidRPr="00AA499E">
        <w:rPr>
          <w:rFonts w:ascii="Times New Roman" w:hAnsi="Times New Roman"/>
          <w:b/>
          <w:bCs/>
          <w:lang w:val="da-DK"/>
        </w:rPr>
        <w:t>(</w:t>
      </w:r>
      <w:r w:rsidR="004D0250" w:rsidRPr="00AA499E">
        <w:rPr>
          <w:rFonts w:ascii="Times New Roman" w:hAnsi="Times New Roman"/>
          <w:lang w:val="da-DK"/>
        </w:rPr>
        <w:t>kan forekomme hos flere end 1 ud af 10 mennesker)</w:t>
      </w:r>
      <w:r w:rsidR="004D0250" w:rsidRPr="00AA499E">
        <w:rPr>
          <w:rFonts w:ascii="Times New Roman" w:hAnsi="Times New Roman"/>
          <w:b/>
          <w:bCs/>
          <w:lang w:val="da-DK"/>
        </w:rPr>
        <w:t xml:space="preserve"> </w:t>
      </w:r>
      <w:r w:rsidRPr="00AA499E">
        <w:rPr>
          <w:rFonts w:ascii="Times New Roman" w:hAnsi="Times New Roman"/>
          <w:b/>
          <w:bCs/>
          <w:lang w:val="da-DK"/>
        </w:rPr>
        <w:t>eller almindelige (</w:t>
      </w:r>
      <w:r w:rsidRPr="00AA499E">
        <w:rPr>
          <w:rFonts w:ascii="Times New Roman" w:hAnsi="Times New Roman"/>
          <w:lang w:val="da-DK"/>
        </w:rPr>
        <w:t xml:space="preserve">kan forekomme </w:t>
      </w:r>
      <w:r w:rsidR="004D0250" w:rsidRPr="00AA499E">
        <w:rPr>
          <w:rFonts w:ascii="Times New Roman" w:hAnsi="Times New Roman"/>
          <w:lang w:val="da-DK"/>
        </w:rPr>
        <w:t>op til</w:t>
      </w:r>
      <w:r w:rsidRPr="00AA499E">
        <w:rPr>
          <w:rFonts w:ascii="Times New Roman" w:hAnsi="Times New Roman"/>
          <w:lang w:val="da-DK"/>
        </w:rPr>
        <w:t xml:space="preserve"> 1 ud af 10 mennesker)</w:t>
      </w:r>
      <w:r w:rsidRPr="00AA499E">
        <w:rPr>
          <w:rFonts w:ascii="Times New Roman" w:hAnsi="Times New Roman"/>
          <w:b/>
          <w:bCs/>
          <w:lang w:val="da-DK"/>
        </w:rPr>
        <w:t>:</w:t>
      </w:r>
    </w:p>
    <w:p w14:paraId="489983D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Hurtig vægtøgning. Imatinib Actavis kan forårsage, at din krop begynder at ophobe væske (svær væskeretention).</w:t>
      </w:r>
    </w:p>
    <w:p w14:paraId="44647AE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Symptomer på infektioner såsom feber, kraftige kulderystelser, ondt i halsen eller sår i munden. Imatinib Actavis kan nedsætte antallet af hvide blodlegemer, så du lettere kan få infektioner.</w:t>
      </w:r>
    </w:p>
    <w:p w14:paraId="5DCB733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oplever uventede blødninger eller blå mærker (når du ikke er kommet til skade).</w:t>
      </w:r>
    </w:p>
    <w:p w14:paraId="610FDE85" w14:textId="77777777" w:rsidR="006478AD" w:rsidRPr="00AA499E" w:rsidRDefault="006478AD">
      <w:pPr>
        <w:autoSpaceDE w:val="0"/>
        <w:autoSpaceDN w:val="0"/>
        <w:adjustRightInd w:val="0"/>
        <w:spacing w:after="0" w:line="240" w:lineRule="auto"/>
        <w:rPr>
          <w:rFonts w:ascii="Times New Roman" w:hAnsi="Times New Roman"/>
          <w:lang w:val="da-DK"/>
        </w:rPr>
      </w:pPr>
    </w:p>
    <w:p w14:paraId="38D8707B"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almindelige </w:t>
      </w:r>
      <w:r w:rsidRPr="00AA499E">
        <w:rPr>
          <w:rFonts w:ascii="Times New Roman" w:hAnsi="Times New Roman"/>
          <w:lang w:val="da-DK"/>
        </w:rPr>
        <w:t xml:space="preserve">(kan forekomme hos op til 1 ud af 100 mennesker) </w:t>
      </w:r>
      <w:r w:rsidRPr="00AA499E">
        <w:rPr>
          <w:rFonts w:ascii="Times New Roman" w:hAnsi="Times New Roman"/>
          <w:b/>
          <w:bCs/>
          <w:lang w:val="da-DK"/>
        </w:rPr>
        <w:t xml:space="preserve">eller sjældne </w:t>
      </w:r>
      <w:r w:rsidRPr="00AA499E">
        <w:rPr>
          <w:rFonts w:ascii="Times New Roman" w:hAnsi="Times New Roman"/>
          <w:lang w:val="da-DK"/>
        </w:rPr>
        <w:t>(kan forekomme hos op til 1 ud af 1.000 mennesker)</w:t>
      </w:r>
      <w:r w:rsidRPr="00AA499E">
        <w:rPr>
          <w:rFonts w:ascii="Times New Roman" w:hAnsi="Times New Roman"/>
          <w:b/>
          <w:bCs/>
          <w:lang w:val="da-DK"/>
        </w:rPr>
        <w:t>:</w:t>
      </w:r>
    </w:p>
    <w:p w14:paraId="625FE231"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Brystsmerter, uregelmæssig hjerterytme (tegn på hjerteproblemer).</w:t>
      </w:r>
    </w:p>
    <w:p w14:paraId="137564E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Hoste, åndedrætsbesvær eller smerter ved vejrtrækning (tegn på lungeproblemer).</w:t>
      </w:r>
    </w:p>
    <w:p w14:paraId="19AC58A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besvime (tegn på lavt blodtryk).</w:t>
      </w:r>
    </w:p>
    <w:p w14:paraId="03D269C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Have kvalme med tab af appetitten, </w:t>
      </w:r>
      <w:r w:rsidR="007301E4" w:rsidRPr="00AA499E">
        <w:rPr>
          <w:rFonts w:ascii="Times New Roman" w:hAnsi="Times New Roman"/>
          <w:lang w:val="da-DK"/>
        </w:rPr>
        <w:t xml:space="preserve">mørk </w:t>
      </w:r>
      <w:r w:rsidRPr="00AA499E">
        <w:rPr>
          <w:rFonts w:ascii="Times New Roman" w:hAnsi="Times New Roman"/>
          <w:lang w:val="da-DK"/>
        </w:rPr>
        <w:t>urin, gul hud eller øjne (tegn på leverproblemer).</w:t>
      </w:r>
    </w:p>
    <w:p w14:paraId="3A316A23"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t>Udslæt, rød hud med små blærer på læber, øjne, hud eller mund, afskallet hud, feber, hævede røde eller lilla hudområder, kløe, brændende fornemmelse, pustuløst udslæt (tegn på hudproblemer).</w:t>
      </w:r>
    </w:p>
    <w:p w14:paraId="14C18EF1"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Kraftige mavesmerter, blod i opkast, afføring eller urin, sortfarvet afføring (tegn på mave-tarm-sygdomme).</w:t>
      </w:r>
    </w:p>
    <w:p w14:paraId="60957F4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Kraftigt nedsat urinmængde, følelse af tørst (tegn på nyreproblemer).</w:t>
      </w:r>
    </w:p>
    <w:p w14:paraId="62419F5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Have kvalme med diarré og opkastning, mavesmerter eller feber (tegn på tarmproblemer).</w:t>
      </w:r>
    </w:p>
    <w:p w14:paraId="0A89A0F3"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 hovedpine, svækkelse eller lammelser af lemmer eller ansigt, talebesvær, pludseligt bevidsthedstab (tegn på problemer med nervesystemet</w:t>
      </w:r>
      <w:r w:rsidR="007301E4" w:rsidRPr="00AA499E">
        <w:rPr>
          <w:rFonts w:ascii="Times New Roman" w:hAnsi="Times New Roman"/>
          <w:lang w:val="da-DK"/>
        </w:rPr>
        <w:t xml:space="preserve"> såsom blødning eller hævelse i kranie/hjerne</w:t>
      </w:r>
      <w:r w:rsidRPr="00AA499E">
        <w:rPr>
          <w:rFonts w:ascii="Times New Roman" w:hAnsi="Times New Roman"/>
          <w:lang w:val="da-DK"/>
        </w:rPr>
        <w:t>).</w:t>
      </w:r>
    </w:p>
    <w:p w14:paraId="5CF0386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Bleghed, føle sig træt og stakåndet og have mørk urin (tegn på lavt antal røde blodceller).</w:t>
      </w:r>
    </w:p>
    <w:p w14:paraId="06B1CFF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Øjensmerter eller svækkelse af dit syn</w:t>
      </w:r>
      <w:r w:rsidR="007301E4" w:rsidRPr="00AA499E">
        <w:rPr>
          <w:rFonts w:ascii="Times New Roman" w:hAnsi="Times New Roman"/>
          <w:lang w:val="da-DK"/>
        </w:rPr>
        <w:t>, blødning i øjnene.</w:t>
      </w:r>
    </w:p>
    <w:p w14:paraId="6E84282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i hoften eller svært ved at gå.</w:t>
      </w:r>
    </w:p>
    <w:p w14:paraId="5F05F9F9"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Følelsesløse eller kolde tæer og fingre (tegn på Raynaud´s syndrom).</w:t>
      </w:r>
    </w:p>
    <w:p w14:paraId="0353A52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Pludselig hævelse og rødme af huden (tegn på en hudinfektion kaldet cellulitis).</w:t>
      </w:r>
    </w:p>
    <w:p w14:paraId="3AF32E32"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Hørebesvær.</w:t>
      </w:r>
    </w:p>
    <w:p w14:paraId="1E3FFF0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Muskelsvaghed, kramper og en unormal hjerterytme (tegn på ændringer i mængden af kalium i dit blod).</w:t>
      </w:r>
    </w:p>
    <w:p w14:paraId="18273EE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Let ved at få blå mærker.</w:t>
      </w:r>
    </w:p>
    <w:p w14:paraId="34A506D3"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Mavesmerter med kvalme.</w:t>
      </w:r>
    </w:p>
    <w:p w14:paraId="3A039D8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med feber, rød-brun urin, smerter eller svaghed i dine muskler (tegn på muskelproblemer).</w:t>
      </w:r>
    </w:p>
    <w:p w14:paraId="37BE10F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Bækkensmerter, nogle gange med kvalme og opkastninger med uventet vaginalblødning, føle sig svimmel eller besvime pga. nedsat blodtryk (tegn på problemer med dine æggestokke eller livmoder).</w:t>
      </w:r>
    </w:p>
    <w:p w14:paraId="119DA8E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Kvalme, åndenød, uregelmæssig hjerterytme (puls), uklar urin, træthed og/eller ubehag forbundet med abnorme resultater af laboratorieprøver (f.eks. højt kalium-, urinsyre- og </w:t>
      </w:r>
      <w:r w:rsidR="001C4DE3" w:rsidRPr="00AA499E">
        <w:rPr>
          <w:rFonts w:ascii="Times New Roman" w:hAnsi="Times New Roman"/>
          <w:lang w:val="da-DK"/>
        </w:rPr>
        <w:t xml:space="preserve">calcium og lavt </w:t>
      </w:r>
      <w:r w:rsidRPr="00AA499E">
        <w:rPr>
          <w:rFonts w:ascii="Times New Roman" w:hAnsi="Times New Roman"/>
          <w:lang w:val="da-DK"/>
        </w:rPr>
        <w:t>fosforniveau i blodet).</w:t>
      </w:r>
    </w:p>
    <w:p w14:paraId="686653BA" w14:textId="77777777" w:rsidR="0017077B" w:rsidRPr="00C76A02" w:rsidRDefault="0017077B" w:rsidP="0017077B">
      <w:pPr>
        <w:autoSpaceDE w:val="0"/>
        <w:autoSpaceDN w:val="0"/>
        <w:adjustRightInd w:val="0"/>
        <w:spacing w:after="0" w:line="240" w:lineRule="auto"/>
        <w:ind w:left="567" w:hanging="567"/>
        <w:rPr>
          <w:rFonts w:ascii="Times New Roman" w:hAnsi="Times New Roman"/>
          <w:lang w:val="sv-SE"/>
        </w:rPr>
      </w:pPr>
      <w:r w:rsidRPr="00C76A02">
        <w:rPr>
          <w:rFonts w:ascii="Times New Roman" w:hAnsi="Times New Roman"/>
          <w:lang w:val="sv-SE"/>
        </w:rPr>
        <w:t>-</w:t>
      </w:r>
      <w:r w:rsidRPr="00C76A02">
        <w:rPr>
          <w:rFonts w:ascii="Times New Roman" w:hAnsi="Times New Roman"/>
          <w:lang w:val="sv-SE"/>
        </w:rPr>
        <w:tab/>
        <w:t>Blodpropper i små blodkar (trombotisk mikroangiopati).</w:t>
      </w:r>
    </w:p>
    <w:p w14:paraId="38A6F949" w14:textId="77777777" w:rsidR="001C4DE3" w:rsidRPr="00C76A02" w:rsidRDefault="001C4DE3">
      <w:pPr>
        <w:autoSpaceDE w:val="0"/>
        <w:autoSpaceDN w:val="0"/>
        <w:adjustRightInd w:val="0"/>
        <w:spacing w:after="0" w:line="240" w:lineRule="auto"/>
        <w:ind w:left="567" w:hanging="567"/>
        <w:rPr>
          <w:rFonts w:ascii="Times New Roman" w:hAnsi="Times New Roman"/>
          <w:lang w:val="sv-SE"/>
        </w:rPr>
      </w:pPr>
    </w:p>
    <w:p w14:paraId="78B642E1" w14:textId="77777777" w:rsidR="001C4DE3" w:rsidRPr="00AA499E" w:rsidRDefault="001C4DE3" w:rsidP="001C4DE3">
      <w:pPr>
        <w:pStyle w:val="Default"/>
        <w:rPr>
          <w:sz w:val="22"/>
          <w:szCs w:val="22"/>
          <w:lang w:val="da-DK"/>
        </w:rPr>
      </w:pPr>
      <w:r w:rsidRPr="00AA499E">
        <w:rPr>
          <w:b/>
          <w:bCs/>
          <w:sz w:val="22"/>
          <w:szCs w:val="22"/>
          <w:lang w:val="da-DK"/>
        </w:rPr>
        <w:t xml:space="preserve">Ikke kendt </w:t>
      </w:r>
      <w:r w:rsidRPr="00AA499E">
        <w:rPr>
          <w:sz w:val="22"/>
          <w:szCs w:val="22"/>
          <w:lang w:val="da-DK"/>
        </w:rPr>
        <w:t xml:space="preserve">(kan ikke vurderes ud fra tilgængelige data): </w:t>
      </w:r>
    </w:p>
    <w:p w14:paraId="03309805" w14:textId="77777777" w:rsidR="001C4DE3" w:rsidRPr="00AA499E" w:rsidRDefault="001C4DE3" w:rsidP="001C4DE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Kombination af omfattende svært udslæt, følelse af at være syg, feber, højt indhold af visse hvide blodlegemer eller gul hud eller øjne (tegn på gulsot) med stakåndethed, brystsmerter/ubehag, svært nedsat urinproduktion og tørst osv. (tegn på en behandlingsrelateret allergisk reaktion).</w:t>
      </w:r>
    </w:p>
    <w:p w14:paraId="7A44A90B" w14:textId="77777777" w:rsidR="00526431" w:rsidRPr="00AA499E" w:rsidRDefault="00526431" w:rsidP="001C4DE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Kronisk nyresvigt.</w:t>
      </w:r>
    </w:p>
    <w:p w14:paraId="3715F1CD" w14:textId="77777777" w:rsidR="009770BB" w:rsidRPr="00AA499E" w:rsidRDefault="009770BB" w:rsidP="009770BB">
      <w:pPr>
        <w:autoSpaceDE w:val="0"/>
        <w:autoSpaceDN w:val="0"/>
        <w:adjustRightInd w:val="0"/>
        <w:spacing w:after="0" w:line="240" w:lineRule="auto"/>
        <w:ind w:left="567" w:hanging="567"/>
        <w:rPr>
          <w:rFonts w:ascii="Times New Roman" w:hAnsi="Times New Roman"/>
          <w:bCs/>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Cs/>
          <w:lang w:val="da-DK"/>
        </w:rPr>
        <w:t>Genopblus</w:t>
      </w:r>
      <w:r w:rsidR="002505EB" w:rsidRPr="00AA499E">
        <w:rPr>
          <w:rFonts w:ascii="Times New Roman" w:hAnsi="Times New Roman"/>
          <w:bCs/>
          <w:lang w:val="da-DK"/>
        </w:rPr>
        <w:t>sen (reaktivering) af hepatitis </w:t>
      </w:r>
      <w:r w:rsidRPr="00AA499E">
        <w:rPr>
          <w:rFonts w:ascii="Times New Roman" w:hAnsi="Times New Roman"/>
          <w:bCs/>
          <w:lang w:val="da-DK"/>
        </w:rPr>
        <w:t xml:space="preserve">B-infektion, hvis </w:t>
      </w:r>
      <w:r w:rsidR="002505EB" w:rsidRPr="00AA499E">
        <w:rPr>
          <w:rFonts w:ascii="Times New Roman" w:hAnsi="Times New Roman"/>
          <w:bCs/>
          <w:lang w:val="da-DK"/>
        </w:rPr>
        <w:t>du tidligere har haft hepatitis </w:t>
      </w:r>
      <w:r w:rsidRPr="00AA499E">
        <w:rPr>
          <w:rFonts w:ascii="Times New Roman" w:hAnsi="Times New Roman"/>
          <w:bCs/>
          <w:lang w:val="da-DK"/>
        </w:rPr>
        <w:t>B (leverbetændelse type B).</w:t>
      </w:r>
    </w:p>
    <w:p w14:paraId="5FEA181E" w14:textId="77777777" w:rsidR="001C4DE3" w:rsidRPr="00AA499E" w:rsidRDefault="001C4DE3">
      <w:pPr>
        <w:autoSpaceDE w:val="0"/>
        <w:autoSpaceDN w:val="0"/>
        <w:adjustRightInd w:val="0"/>
        <w:spacing w:after="0" w:line="240" w:lineRule="auto"/>
        <w:ind w:left="567" w:hanging="567"/>
        <w:rPr>
          <w:rFonts w:ascii="Times New Roman" w:hAnsi="Times New Roman"/>
          <w:lang w:val="da-DK"/>
        </w:rPr>
      </w:pPr>
    </w:p>
    <w:p w14:paraId="32AC1E2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Kontakt din læge med det samme,</w:t>
      </w:r>
      <w:r w:rsidRPr="00AA499E">
        <w:rPr>
          <w:rFonts w:ascii="Times New Roman" w:hAnsi="Times New Roman"/>
          <w:lang w:val="da-DK"/>
        </w:rPr>
        <w:t xml:space="preserve"> hvis du oplever en af ovenstående bivirkninger.</w:t>
      </w:r>
    </w:p>
    <w:p w14:paraId="100D7D30" w14:textId="77777777" w:rsidR="006478AD" w:rsidRPr="00AA499E" w:rsidRDefault="006478AD">
      <w:pPr>
        <w:autoSpaceDE w:val="0"/>
        <w:autoSpaceDN w:val="0"/>
        <w:adjustRightInd w:val="0"/>
        <w:spacing w:after="0" w:line="240" w:lineRule="auto"/>
        <w:rPr>
          <w:rFonts w:ascii="Times New Roman" w:hAnsi="Times New Roman"/>
          <w:lang w:val="da-DK"/>
        </w:rPr>
      </w:pPr>
    </w:p>
    <w:p w14:paraId="708844B2"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Andre bivirkninger kan omfatte:</w:t>
      </w:r>
    </w:p>
    <w:p w14:paraId="36C04B96" w14:textId="77777777" w:rsidR="006478AD" w:rsidRPr="00AA499E" w:rsidRDefault="006478AD">
      <w:pPr>
        <w:autoSpaceDE w:val="0"/>
        <w:autoSpaceDN w:val="0"/>
        <w:adjustRightInd w:val="0"/>
        <w:spacing w:after="0" w:line="240" w:lineRule="auto"/>
        <w:rPr>
          <w:rFonts w:ascii="Times New Roman" w:hAnsi="Times New Roman"/>
          <w:lang w:val="da-DK"/>
        </w:rPr>
      </w:pPr>
    </w:p>
    <w:p w14:paraId="0A209B21"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Meget almindelige </w:t>
      </w:r>
      <w:r w:rsidRPr="00AA499E">
        <w:rPr>
          <w:rFonts w:ascii="Times New Roman" w:hAnsi="Times New Roman"/>
          <w:lang w:val="da-DK"/>
        </w:rPr>
        <w:t>(kan forekomme hos flere end 1 af 10 brugere)</w:t>
      </w:r>
      <w:r w:rsidRPr="00AA499E">
        <w:rPr>
          <w:rFonts w:ascii="Times New Roman" w:hAnsi="Times New Roman"/>
          <w:b/>
          <w:bCs/>
          <w:lang w:val="da-DK"/>
        </w:rPr>
        <w:t>:</w:t>
      </w:r>
    </w:p>
    <w:p w14:paraId="1FEBE81A"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Hovedpine eller følelse af træthed.</w:t>
      </w:r>
    </w:p>
    <w:p w14:paraId="3834003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Kvalme, opkastninger, diarré eller fordøjelsesbesvær.</w:t>
      </w:r>
    </w:p>
    <w:p w14:paraId="3DFA1959"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Udslæt.</w:t>
      </w:r>
    </w:p>
    <w:p w14:paraId="3EAB4878" w14:textId="77777777" w:rsidR="006478AD" w:rsidRPr="00AA499E" w:rsidRDefault="00616F3C" w:rsidP="00B05A3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eller led-, muskel- eller knoglesmerter</w:t>
      </w:r>
      <w:r w:rsidR="00324263" w:rsidRPr="00AA499E">
        <w:rPr>
          <w:rFonts w:ascii="Times New Roman" w:hAnsi="Times New Roman"/>
          <w:lang w:val="da-DK"/>
        </w:rPr>
        <w:t xml:space="preserve"> mens du er i behandling med imatinib, eller efter du er stoppe</w:t>
      </w:r>
      <w:r w:rsidR="009770BB" w:rsidRPr="00AA499E">
        <w:rPr>
          <w:rFonts w:ascii="Times New Roman" w:hAnsi="Times New Roman"/>
          <w:lang w:val="da-DK"/>
        </w:rPr>
        <w:t>t</w:t>
      </w:r>
      <w:r w:rsidR="00324263" w:rsidRPr="00AA499E">
        <w:rPr>
          <w:rFonts w:ascii="Times New Roman" w:hAnsi="Times New Roman"/>
          <w:lang w:val="da-DK"/>
        </w:rPr>
        <w:t xml:space="preserve"> med at tage imatinib</w:t>
      </w:r>
      <w:r w:rsidRPr="00AA499E">
        <w:rPr>
          <w:rFonts w:ascii="Times New Roman" w:hAnsi="Times New Roman"/>
          <w:lang w:val="da-DK"/>
        </w:rPr>
        <w:t>.</w:t>
      </w:r>
    </w:p>
    <w:p w14:paraId="4C07F4F7"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Hævelse, som fx af anklerne eller omkring øjnene.</w:t>
      </w:r>
    </w:p>
    <w:p w14:paraId="684D8B9C"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Vægtøgning.</w:t>
      </w:r>
    </w:p>
    <w:p w14:paraId="01F1BE6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32217FDB" w14:textId="77777777" w:rsidR="006478AD" w:rsidRPr="00AA499E" w:rsidRDefault="006478AD">
      <w:pPr>
        <w:autoSpaceDE w:val="0"/>
        <w:autoSpaceDN w:val="0"/>
        <w:adjustRightInd w:val="0"/>
        <w:spacing w:after="0" w:line="240" w:lineRule="auto"/>
        <w:rPr>
          <w:rFonts w:ascii="Times New Roman" w:hAnsi="Times New Roman"/>
          <w:lang w:val="da-DK"/>
        </w:rPr>
      </w:pPr>
    </w:p>
    <w:p w14:paraId="4A32CEA0"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Almindelige </w:t>
      </w:r>
      <w:r w:rsidRPr="00AA499E">
        <w:rPr>
          <w:rFonts w:ascii="Times New Roman" w:hAnsi="Times New Roman"/>
          <w:lang w:val="da-DK"/>
        </w:rPr>
        <w:t>(kan forekomme hos op til 1 ud af 10 brugere)</w:t>
      </w:r>
      <w:r w:rsidRPr="00AA499E">
        <w:rPr>
          <w:rFonts w:ascii="Times New Roman" w:hAnsi="Times New Roman"/>
          <w:b/>
          <w:bCs/>
          <w:lang w:val="da-DK"/>
        </w:rPr>
        <w:t>:</w:t>
      </w:r>
    </w:p>
    <w:p w14:paraId="1A2DA758"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Appetitløshed, vægttab eller smagsforstyrrelser.</w:t>
      </w:r>
    </w:p>
    <w:p w14:paraId="64799EE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svag.</w:t>
      </w:r>
    </w:p>
    <w:p w14:paraId="28D2E0A3"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Svært ved at sove (søvnløshed).</w:t>
      </w:r>
    </w:p>
    <w:p w14:paraId="3D008E54"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Flåd fra øjet med kløe, rødme og hævelse (betændelse af øjets bindehinde), øget tåreflåd eller sløret syn.</w:t>
      </w:r>
    </w:p>
    <w:p w14:paraId="5961006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Næseblod.</w:t>
      </w:r>
    </w:p>
    <w:p w14:paraId="795A8CF2"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eller oppustning af maven, luft i maven, halsbrand eller forstoppelse.</w:t>
      </w:r>
    </w:p>
    <w:p w14:paraId="21DE0BF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Kløe.</w:t>
      </w:r>
    </w:p>
    <w:p w14:paraId="5E7DB382"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Usædvanligt hårtab eller udtyndning af håret.</w:t>
      </w:r>
    </w:p>
    <w:p w14:paraId="175C6596"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Følelsesløshed i hænder eller fødder.</w:t>
      </w:r>
    </w:p>
    <w:p w14:paraId="4EB1D96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Sår i munden.</w:t>
      </w:r>
    </w:p>
    <w:p w14:paraId="17EEEB57"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Hævede led og ledsmerter.</w:t>
      </w:r>
    </w:p>
    <w:p w14:paraId="43C719A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Mundtørhed, tør hud eller tørre øjne.</w:t>
      </w:r>
    </w:p>
    <w:p w14:paraId="48312770"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Nedsat eller øget følsomhed i huden.</w:t>
      </w:r>
    </w:p>
    <w:p w14:paraId="20C2DDDD"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Hedeture, kulderystelser eller natlig svedtendens.</w:t>
      </w:r>
    </w:p>
    <w:p w14:paraId="6EC62985"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4333C309" w14:textId="77777777" w:rsidR="006478AD" w:rsidRPr="00AA499E" w:rsidRDefault="006478AD">
      <w:pPr>
        <w:autoSpaceDE w:val="0"/>
        <w:autoSpaceDN w:val="0"/>
        <w:adjustRightInd w:val="0"/>
        <w:spacing w:after="0" w:line="240" w:lineRule="auto"/>
        <w:rPr>
          <w:rFonts w:ascii="Times New Roman" w:hAnsi="Times New Roman"/>
          <w:lang w:val="da-DK"/>
        </w:rPr>
      </w:pPr>
    </w:p>
    <w:p w14:paraId="33CE0384"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kendt </w:t>
      </w:r>
      <w:r w:rsidRPr="00AA499E">
        <w:rPr>
          <w:rFonts w:ascii="Times New Roman" w:hAnsi="Times New Roman"/>
          <w:lang w:val="da-DK"/>
        </w:rPr>
        <w:t>(hyppigheden kan ikke vurderes ud fra tilgængelige data)</w:t>
      </w:r>
      <w:r w:rsidRPr="00AA499E">
        <w:rPr>
          <w:rFonts w:ascii="Times New Roman" w:hAnsi="Times New Roman"/>
          <w:b/>
          <w:bCs/>
          <w:lang w:val="da-DK"/>
        </w:rPr>
        <w:t>:</w:t>
      </w:r>
    </w:p>
    <w:p w14:paraId="0169B13B"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Rødmen og/eller hævelse af håndflader eller fodsåler, hvilket kan være ledsaget af en prikkende følelse eller brændende smerte.</w:t>
      </w:r>
    </w:p>
    <w:p w14:paraId="4EC0C27B" w14:textId="77777777" w:rsidR="000361CE" w:rsidRPr="00AA499E" w:rsidRDefault="00616F3C" w:rsidP="002505E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000361CE" w:rsidRPr="00AA499E">
        <w:rPr>
          <w:rFonts w:ascii="Times New Roman" w:hAnsi="Times New Roman"/>
          <w:lang w:val="da-DK"/>
        </w:rPr>
        <w:t>Smertefulde og/eller blæredannende hudlæsioner.</w:t>
      </w:r>
    </w:p>
    <w:p w14:paraId="53F1BC4E" w14:textId="77777777" w:rsidR="000361CE" w:rsidRPr="00AA499E" w:rsidRDefault="000361CE" w:rsidP="000361CE">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Langsommere vækst hos børn og unge.</w:t>
      </w:r>
    </w:p>
    <w:p w14:paraId="7BD1D68C" w14:textId="77777777" w:rsidR="006478AD" w:rsidRPr="00AA499E" w:rsidRDefault="00616F3C" w:rsidP="00A32833">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3C20AD60" w14:textId="77777777" w:rsidR="006478AD" w:rsidRPr="00AA499E" w:rsidRDefault="006478AD">
      <w:pPr>
        <w:autoSpaceDE w:val="0"/>
        <w:autoSpaceDN w:val="0"/>
        <w:adjustRightInd w:val="0"/>
        <w:spacing w:after="0" w:line="240" w:lineRule="auto"/>
        <w:rPr>
          <w:rFonts w:ascii="Times New Roman" w:hAnsi="Times New Roman"/>
          <w:lang w:val="da-DK"/>
        </w:rPr>
      </w:pPr>
    </w:p>
    <w:p w14:paraId="4CA800BC" w14:textId="77777777" w:rsidR="009C10A4" w:rsidRPr="00AA499E" w:rsidRDefault="009C10A4" w:rsidP="009C10A4">
      <w:pPr>
        <w:numPr>
          <w:ilvl w:val="12"/>
          <w:numId w:val="0"/>
        </w:numPr>
        <w:spacing w:after="0" w:line="240" w:lineRule="auto"/>
        <w:outlineLvl w:val="0"/>
        <w:rPr>
          <w:rFonts w:ascii="Times New Roman" w:eastAsia="Times New Roman" w:hAnsi="Times New Roman"/>
          <w:noProof/>
          <w:u w:val="single"/>
          <w:lang w:val="da-DK" w:eastAsia="fr-LU"/>
        </w:rPr>
      </w:pPr>
      <w:r w:rsidRPr="00AA499E">
        <w:rPr>
          <w:rFonts w:ascii="Times New Roman" w:eastAsia="Times New Roman" w:hAnsi="Times New Roman"/>
          <w:noProof/>
          <w:u w:val="single"/>
          <w:lang w:val="da-DK" w:eastAsia="fr-LU"/>
        </w:rPr>
        <w:t xml:space="preserve">Indberetning af </w:t>
      </w:r>
      <w:r w:rsidRPr="00AA499E">
        <w:rPr>
          <w:rFonts w:ascii="Times New Roman" w:eastAsia="Times New Roman" w:hAnsi="Times New Roman"/>
          <w:u w:val="single"/>
          <w:lang w:val="da-DK" w:eastAsia="fr-LU"/>
        </w:rPr>
        <w:t>bivirkninger</w:t>
      </w:r>
    </w:p>
    <w:p w14:paraId="6431035D" w14:textId="658DAEAE" w:rsidR="009C10A4" w:rsidRPr="00AA499E" w:rsidRDefault="009C10A4" w:rsidP="009C10A4">
      <w:pPr>
        <w:suppressAutoHyphens/>
        <w:spacing w:after="0" w:line="240" w:lineRule="auto"/>
        <w:rPr>
          <w:rFonts w:ascii="Times New Roman" w:eastAsia="Times New Roman" w:hAnsi="Times New Roman"/>
          <w:color w:val="000000"/>
          <w:lang w:val="da-DK" w:eastAsia="fr-LU"/>
        </w:rPr>
      </w:pPr>
      <w:r w:rsidRPr="00AA499E">
        <w:rPr>
          <w:rFonts w:ascii="Times New Roman" w:eastAsia="Times New Roman" w:hAnsi="Times New Roman"/>
          <w:color w:val="000000"/>
          <w:lang w:val="da-DK" w:eastAsia="fr-LU"/>
        </w:rPr>
        <w:t xml:space="preserve">Hvis du oplever bivirkninger, bør du tale med din læge, </w:t>
      </w:r>
      <w:r w:rsidR="008106C4" w:rsidRPr="00AA499E">
        <w:rPr>
          <w:rFonts w:ascii="Times New Roman" w:eastAsia="Times New Roman" w:hAnsi="Times New Roman"/>
          <w:noProof/>
          <w:lang w:val="da-DK" w:eastAsia="fr-LU"/>
        </w:rPr>
        <w:t>apotekspersonalet eller sygeplejersken</w:t>
      </w:r>
      <w:r w:rsidRPr="00AA499E">
        <w:rPr>
          <w:rFonts w:ascii="Times New Roman" w:eastAsia="Times New Roman" w:hAnsi="Times New Roman"/>
          <w:color w:val="000000"/>
          <w:lang w:val="da-DK" w:eastAsia="fr-LU"/>
        </w:rPr>
        <w:t xml:space="preserve">. Dette gælder også mulige bivirkninger, som ikke er medtaget i denne indlægsseddel. Du eller dine pårørende kan også indberette bivirkninger direkte til </w:t>
      </w:r>
      <w:r w:rsidR="00406109" w:rsidRPr="00AA499E">
        <w:rPr>
          <w:rFonts w:ascii="Times New Roman" w:eastAsia="Times New Roman" w:hAnsi="Times New Roman"/>
          <w:color w:val="000000"/>
          <w:lang w:val="da-DK" w:eastAsia="fr-LU"/>
        </w:rPr>
        <w:t xml:space="preserve">Lægemiddelstyrelsen </w:t>
      </w:r>
      <w:r w:rsidRPr="00AA499E">
        <w:rPr>
          <w:rFonts w:ascii="Times New Roman" w:eastAsia="Times New Roman" w:hAnsi="Times New Roman"/>
          <w:color w:val="000000"/>
          <w:lang w:val="da-DK" w:eastAsia="fr-LU"/>
        </w:rPr>
        <w:t xml:space="preserve">via </w:t>
      </w:r>
      <w:r w:rsidRPr="00AA499E">
        <w:rPr>
          <w:rFonts w:ascii="Times New Roman" w:eastAsia="Times New Roman" w:hAnsi="Times New Roman"/>
          <w:color w:val="000000"/>
          <w:highlight w:val="lightGray"/>
          <w:lang w:val="da-DK" w:eastAsia="fr-LU"/>
        </w:rPr>
        <w:t xml:space="preserve">det nationale rapporteringssystem anført i </w:t>
      </w:r>
      <w:hyperlink r:id="rId22" w:history="1">
        <w:r w:rsidRPr="00AA499E">
          <w:rPr>
            <w:rFonts w:ascii="Times New Roman" w:eastAsia="Times New Roman" w:hAnsi="Times New Roman"/>
            <w:color w:val="0000FF"/>
            <w:highlight w:val="lightGray"/>
            <w:u w:val="single"/>
            <w:lang w:val="da-DK" w:eastAsia="fr-LU"/>
          </w:rPr>
          <w:t>Appendiks V</w:t>
        </w:r>
      </w:hyperlink>
      <w:r w:rsidRPr="00AA499E">
        <w:rPr>
          <w:rFonts w:ascii="Times New Roman" w:eastAsia="Times New Roman" w:hAnsi="Times New Roman"/>
          <w:color w:val="000000"/>
          <w:lang w:val="da-DK" w:eastAsia="fr-LU"/>
        </w:rPr>
        <w:t>. Ved at indrapportere bivirkninger kan du hjælpe med at fremskaffe mere information om sikkerheden af dette lægemiddel.</w:t>
      </w:r>
    </w:p>
    <w:p w14:paraId="475AE32C" w14:textId="77777777" w:rsidR="006478AD" w:rsidRPr="00AA499E" w:rsidRDefault="006478AD">
      <w:pPr>
        <w:autoSpaceDE w:val="0"/>
        <w:autoSpaceDN w:val="0"/>
        <w:adjustRightInd w:val="0"/>
        <w:spacing w:after="0" w:line="240" w:lineRule="auto"/>
        <w:rPr>
          <w:rFonts w:ascii="Times New Roman" w:hAnsi="Times New Roman"/>
          <w:lang w:val="da-DK"/>
        </w:rPr>
      </w:pPr>
    </w:p>
    <w:p w14:paraId="04C9E767" w14:textId="77777777" w:rsidR="006478AD" w:rsidRPr="00AA499E" w:rsidRDefault="006478AD">
      <w:pPr>
        <w:autoSpaceDE w:val="0"/>
        <w:autoSpaceDN w:val="0"/>
        <w:adjustRightInd w:val="0"/>
        <w:spacing w:after="0" w:line="240" w:lineRule="auto"/>
        <w:rPr>
          <w:rFonts w:ascii="Times New Roman" w:hAnsi="Times New Roman"/>
          <w:lang w:val="da-DK"/>
        </w:rPr>
      </w:pPr>
    </w:p>
    <w:p w14:paraId="50BF1AC8"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w:t>
      </w:r>
      <w:r w:rsidRPr="00AA499E">
        <w:rPr>
          <w:rFonts w:ascii="Times New Roman" w:hAnsi="Times New Roman"/>
          <w:b/>
          <w:bCs/>
          <w:lang w:val="da-DK"/>
        </w:rPr>
        <w:tab/>
        <w:t>Opbevaring</w:t>
      </w:r>
    </w:p>
    <w:p w14:paraId="4E73459E" w14:textId="77777777" w:rsidR="006478AD" w:rsidRPr="00AA499E" w:rsidRDefault="006478AD">
      <w:pPr>
        <w:autoSpaceDE w:val="0"/>
        <w:autoSpaceDN w:val="0"/>
        <w:adjustRightInd w:val="0"/>
        <w:spacing w:after="0" w:line="240" w:lineRule="auto"/>
        <w:rPr>
          <w:rFonts w:ascii="Times New Roman" w:hAnsi="Times New Roman"/>
          <w:lang w:val="da-DK"/>
        </w:rPr>
      </w:pPr>
    </w:p>
    <w:p w14:paraId="3742ABD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 lægemid</w:t>
      </w:r>
      <w:r w:rsidR="00406109" w:rsidRPr="00AA499E">
        <w:rPr>
          <w:rFonts w:ascii="Times New Roman" w:hAnsi="Times New Roman"/>
          <w:lang w:val="da-DK"/>
        </w:rPr>
        <w:t>let</w:t>
      </w:r>
      <w:r w:rsidRPr="00AA499E">
        <w:rPr>
          <w:rFonts w:ascii="Times New Roman" w:hAnsi="Times New Roman"/>
          <w:lang w:val="da-DK"/>
        </w:rPr>
        <w:t xml:space="preserve"> utilgængeligt for børn.</w:t>
      </w:r>
    </w:p>
    <w:p w14:paraId="13C84BF4" w14:textId="6A16D8BC"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Brug ikke lægemid</w:t>
      </w:r>
      <w:r w:rsidR="00406109" w:rsidRPr="00AA499E">
        <w:rPr>
          <w:rFonts w:ascii="Times New Roman" w:hAnsi="Times New Roman"/>
          <w:lang w:val="da-DK"/>
        </w:rPr>
        <w:t>let</w:t>
      </w:r>
      <w:r w:rsidRPr="00AA499E">
        <w:rPr>
          <w:rFonts w:ascii="Times New Roman" w:hAnsi="Times New Roman"/>
          <w:lang w:val="da-DK"/>
        </w:rPr>
        <w:t xml:space="preserve"> efter den udløbsdato, der står på </w:t>
      </w:r>
      <w:r w:rsidR="00911F6E" w:rsidRPr="00AA499E">
        <w:rPr>
          <w:rFonts w:ascii="Times New Roman" w:hAnsi="Times New Roman"/>
          <w:lang w:val="da-DK"/>
        </w:rPr>
        <w:t xml:space="preserve">æsken </w:t>
      </w:r>
      <w:r w:rsidR="000361CE" w:rsidRPr="00AA499E">
        <w:rPr>
          <w:rFonts w:ascii="Times New Roman" w:hAnsi="Times New Roman"/>
          <w:lang w:val="da-DK"/>
        </w:rPr>
        <w:t>og blisteren efter EXP</w:t>
      </w:r>
      <w:r w:rsidRPr="00AA499E">
        <w:rPr>
          <w:rFonts w:ascii="Times New Roman" w:hAnsi="Times New Roman"/>
          <w:lang w:val="da-DK"/>
        </w:rPr>
        <w:t>. Udløbsdatoen er den sidste dag i den nævnte måned.</w:t>
      </w:r>
    </w:p>
    <w:p w14:paraId="06167D2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Må ikke opbevares ved temperaturer over 30°C. Opbevares i den originale yderpakning for at beskytte mod fugt.</w:t>
      </w:r>
    </w:p>
    <w:p w14:paraId="27CAF1EB"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Pakningen må ikke anvendes, hvis den er beskadiget, eller der er tegn på, at pakningen har været åbnet.</w:t>
      </w:r>
    </w:p>
    <w:p w14:paraId="2FAF8E2D" w14:textId="77777777" w:rsidR="006478AD" w:rsidRPr="00AA499E" w:rsidRDefault="006478AD">
      <w:pPr>
        <w:autoSpaceDE w:val="0"/>
        <w:autoSpaceDN w:val="0"/>
        <w:adjustRightInd w:val="0"/>
        <w:spacing w:after="0" w:line="240" w:lineRule="auto"/>
        <w:rPr>
          <w:rFonts w:ascii="Times New Roman" w:hAnsi="Times New Roman"/>
          <w:lang w:val="da-DK"/>
        </w:rPr>
      </w:pPr>
    </w:p>
    <w:p w14:paraId="7CEE2AF6" w14:textId="098585C8"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Af hensyn til miljøet må du ikke smide medicinrester i afløbet, toilettet eller skraldespanden. Spørg på </w:t>
      </w:r>
      <w:r w:rsidR="008106C4" w:rsidRPr="00AA499E">
        <w:rPr>
          <w:rFonts w:ascii="Times New Roman" w:hAnsi="Times New Roman"/>
          <w:lang w:val="da-DK"/>
        </w:rPr>
        <w:t>apotekspersonalet</w:t>
      </w:r>
      <w:r w:rsidRPr="00AA499E">
        <w:rPr>
          <w:rFonts w:ascii="Times New Roman" w:hAnsi="Times New Roman"/>
          <w:lang w:val="da-DK"/>
        </w:rPr>
        <w:t>, hvordan du skal bortskaffe medicinrester. Dette er en miljømæssig foranstaltning.</w:t>
      </w:r>
    </w:p>
    <w:p w14:paraId="57F31EAB" w14:textId="77777777" w:rsidR="006478AD" w:rsidRPr="00AA499E" w:rsidRDefault="006478AD">
      <w:pPr>
        <w:autoSpaceDE w:val="0"/>
        <w:autoSpaceDN w:val="0"/>
        <w:adjustRightInd w:val="0"/>
        <w:spacing w:after="0" w:line="240" w:lineRule="auto"/>
        <w:rPr>
          <w:rFonts w:ascii="Times New Roman" w:hAnsi="Times New Roman"/>
          <w:lang w:val="da-DK"/>
        </w:rPr>
      </w:pPr>
    </w:p>
    <w:p w14:paraId="24EC7757" w14:textId="77777777" w:rsidR="006478AD" w:rsidRPr="00AA499E" w:rsidRDefault="006478AD">
      <w:pPr>
        <w:autoSpaceDE w:val="0"/>
        <w:autoSpaceDN w:val="0"/>
        <w:adjustRightInd w:val="0"/>
        <w:spacing w:after="0" w:line="240" w:lineRule="auto"/>
        <w:rPr>
          <w:rFonts w:ascii="Times New Roman" w:hAnsi="Times New Roman"/>
          <w:lang w:val="da-DK"/>
        </w:rPr>
      </w:pPr>
    </w:p>
    <w:p w14:paraId="1EAB09B1"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Pakningsstørrelser og yderligere oplysninger</w:t>
      </w:r>
    </w:p>
    <w:p w14:paraId="229F90E9" w14:textId="77777777" w:rsidR="006478AD" w:rsidRPr="00AA499E" w:rsidRDefault="006478AD">
      <w:pPr>
        <w:autoSpaceDE w:val="0"/>
        <w:autoSpaceDN w:val="0"/>
        <w:adjustRightInd w:val="0"/>
        <w:spacing w:after="0" w:line="240" w:lineRule="auto"/>
        <w:rPr>
          <w:rFonts w:ascii="Times New Roman" w:hAnsi="Times New Roman"/>
          <w:lang w:val="da-DK"/>
        </w:rPr>
      </w:pPr>
    </w:p>
    <w:p w14:paraId="5E870AAB"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indeholder</w:t>
      </w:r>
    </w:p>
    <w:p w14:paraId="7DB11BA8" w14:textId="77777777" w:rsidR="006478AD" w:rsidRPr="00AA499E" w:rsidRDefault="006478AD">
      <w:pPr>
        <w:autoSpaceDE w:val="0"/>
        <w:autoSpaceDN w:val="0"/>
        <w:adjustRightInd w:val="0"/>
        <w:spacing w:after="0" w:line="240" w:lineRule="auto"/>
        <w:ind w:left="567" w:hanging="567"/>
        <w:rPr>
          <w:rFonts w:ascii="Times New Roman" w:hAnsi="Times New Roman"/>
          <w:highlight w:val="lightGray"/>
          <w:lang w:val="da-DK"/>
        </w:rPr>
      </w:pPr>
    </w:p>
    <w:p w14:paraId="0E7EFE8F"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Aktivt stof: imatinib (som mesilat). Hver tablet indeholder 100 mg imatinib (som mesilat).</w:t>
      </w:r>
    </w:p>
    <w:p w14:paraId="38F8779C" w14:textId="77777777" w:rsidR="006478AD" w:rsidRPr="00AA499E" w:rsidRDefault="00616F3C">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Øvrige indholdsstoffer: mikrokrystallinsk cellulose, copovidon, crospovidon, natriumstearylfumarat, silica (vandskyende kolloid, kolloid vandfri), polyvinylalkohol, delvist hydroliseret, talcum, gul jernoxid (E172), titandioxid (E171), rød jernoxid (E172), lecithin (soya) (E322), xanthangummi (E415).</w:t>
      </w:r>
    </w:p>
    <w:p w14:paraId="2F117656" w14:textId="77777777" w:rsidR="006478AD" w:rsidRPr="00AA499E" w:rsidRDefault="006478AD">
      <w:pPr>
        <w:autoSpaceDE w:val="0"/>
        <w:autoSpaceDN w:val="0"/>
        <w:adjustRightInd w:val="0"/>
        <w:spacing w:after="0" w:line="240" w:lineRule="auto"/>
        <w:rPr>
          <w:rFonts w:ascii="Times New Roman" w:hAnsi="Times New Roman"/>
          <w:lang w:val="da-DK"/>
        </w:rPr>
      </w:pPr>
    </w:p>
    <w:p w14:paraId="4BF592D7"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Udseende og pakningsstørrelser</w:t>
      </w:r>
    </w:p>
    <w:p w14:paraId="270F1487" w14:textId="77777777" w:rsidR="006478AD" w:rsidRPr="00AA499E" w:rsidRDefault="006478AD">
      <w:pPr>
        <w:pStyle w:val="KeinLeerraum"/>
        <w:rPr>
          <w:rFonts w:ascii="Times New Roman" w:hAnsi="Times New Roman"/>
          <w:lang w:val="da-DK"/>
        </w:rPr>
      </w:pPr>
    </w:p>
    <w:p w14:paraId="08935165"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 xml:space="preserve">Rund, bikonveks mørkegul til brun filmovertrukken tablet, præget med virksomhedslogoet på den ene side og "36" med delekærv på den anden side. </w:t>
      </w:r>
    </w:p>
    <w:p w14:paraId="16A634B5" w14:textId="77777777" w:rsidR="006478AD" w:rsidRPr="00AA499E" w:rsidRDefault="006478AD">
      <w:pPr>
        <w:autoSpaceDE w:val="0"/>
        <w:autoSpaceDN w:val="0"/>
        <w:adjustRightInd w:val="0"/>
        <w:spacing w:after="0" w:line="240" w:lineRule="auto"/>
        <w:rPr>
          <w:rFonts w:ascii="Times New Roman" w:hAnsi="Times New Roman"/>
          <w:lang w:val="da-DK"/>
        </w:rPr>
      </w:pPr>
    </w:p>
    <w:p w14:paraId="0140D342" w14:textId="77777777" w:rsidR="007301E4" w:rsidRPr="00AA499E" w:rsidRDefault="007301E4" w:rsidP="00B007BB">
      <w:pPr>
        <w:keepNext/>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Pakningsstørrelser</w:t>
      </w:r>
    </w:p>
    <w:p w14:paraId="2EF533BD" w14:textId="77777777" w:rsidR="006478AD" w:rsidRPr="00AA499E" w:rsidRDefault="001C4DE3">
      <w:pPr>
        <w:pStyle w:val="KeinLeerraum"/>
        <w:rPr>
          <w:rFonts w:ascii="Times New Roman" w:hAnsi="Times New Roman"/>
          <w:lang w:val="da-DK"/>
        </w:rPr>
      </w:pPr>
      <w:r w:rsidRPr="00AA499E">
        <w:rPr>
          <w:rFonts w:ascii="Times New Roman" w:hAnsi="Times New Roman"/>
          <w:lang w:val="da-DK"/>
        </w:rPr>
        <w:t xml:space="preserve">Tabletterne </w:t>
      </w:r>
      <w:r w:rsidR="00616F3C" w:rsidRPr="00AA499E">
        <w:rPr>
          <w:rFonts w:ascii="Times New Roman" w:hAnsi="Times New Roman"/>
          <w:lang w:val="da-DK"/>
        </w:rPr>
        <w:t xml:space="preserve">findes i </w:t>
      </w:r>
      <w:r w:rsidRPr="00AA499E">
        <w:rPr>
          <w:rFonts w:ascii="Times New Roman" w:hAnsi="Times New Roman"/>
          <w:lang w:val="da-DK"/>
        </w:rPr>
        <w:t>blister</w:t>
      </w:r>
      <w:r w:rsidR="00616F3C" w:rsidRPr="00AA499E">
        <w:rPr>
          <w:rFonts w:ascii="Times New Roman" w:hAnsi="Times New Roman"/>
          <w:lang w:val="da-DK"/>
        </w:rPr>
        <w:t xml:space="preserve">pakninger </w:t>
      </w:r>
      <w:r w:rsidRPr="00AA499E">
        <w:rPr>
          <w:rFonts w:ascii="Times New Roman" w:hAnsi="Times New Roman"/>
          <w:lang w:val="da-DK"/>
        </w:rPr>
        <w:t xml:space="preserve">af aluminium </w:t>
      </w:r>
      <w:r w:rsidR="00616F3C" w:rsidRPr="00AA499E">
        <w:rPr>
          <w:rFonts w:ascii="Times New Roman" w:hAnsi="Times New Roman"/>
          <w:lang w:val="da-DK"/>
        </w:rPr>
        <w:t>med 10, 20, 30, 60, 90, 120 eller 180 filmovertrukne tabletter.</w:t>
      </w:r>
    </w:p>
    <w:p w14:paraId="0FCEAC4F" w14:textId="77777777" w:rsidR="006478AD" w:rsidRPr="00AA499E" w:rsidRDefault="006478AD">
      <w:pPr>
        <w:autoSpaceDE w:val="0"/>
        <w:autoSpaceDN w:val="0"/>
        <w:adjustRightInd w:val="0"/>
        <w:spacing w:after="0" w:line="240" w:lineRule="auto"/>
        <w:rPr>
          <w:rFonts w:ascii="Times New Roman" w:hAnsi="Times New Roman"/>
          <w:highlight w:val="yellow"/>
          <w:lang w:val="da-DK"/>
        </w:rPr>
      </w:pPr>
    </w:p>
    <w:p w14:paraId="06B51F18"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alle pakningsstørrelser er nødvendigvis markedsført.</w:t>
      </w:r>
    </w:p>
    <w:p w14:paraId="6D768304" w14:textId="77777777" w:rsidR="006478AD" w:rsidRPr="00AA499E" w:rsidRDefault="006478AD">
      <w:pPr>
        <w:autoSpaceDE w:val="0"/>
        <w:autoSpaceDN w:val="0"/>
        <w:adjustRightInd w:val="0"/>
        <w:spacing w:after="0" w:line="240" w:lineRule="auto"/>
        <w:rPr>
          <w:rFonts w:ascii="Times New Roman" w:hAnsi="Times New Roman"/>
          <w:lang w:val="da-DK"/>
        </w:rPr>
      </w:pPr>
    </w:p>
    <w:p w14:paraId="768D27D9"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Indehaver af markedsføringstilladelsen</w:t>
      </w:r>
    </w:p>
    <w:p w14:paraId="203EADF0"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1FA39EA4"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Reykjavíkurvegur 76-78,</w:t>
      </w:r>
    </w:p>
    <w:p w14:paraId="6309B3DF"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Hafnarfjörður</w:t>
      </w:r>
    </w:p>
    <w:p w14:paraId="064657FE"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53AA66EA" w14:textId="77777777" w:rsidR="006478AD" w:rsidRPr="00AA499E" w:rsidRDefault="006478AD">
      <w:pPr>
        <w:autoSpaceDE w:val="0"/>
        <w:autoSpaceDN w:val="0"/>
        <w:adjustRightInd w:val="0"/>
        <w:spacing w:after="0" w:line="240" w:lineRule="auto"/>
        <w:rPr>
          <w:rFonts w:ascii="Times New Roman" w:hAnsi="Times New Roman"/>
          <w:lang w:val="da-DK"/>
        </w:rPr>
      </w:pPr>
    </w:p>
    <w:p w14:paraId="4B3B0F53" w14:textId="77777777" w:rsidR="006478AD" w:rsidRPr="00AA499E" w:rsidRDefault="00616F3C">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Fremstiller</w:t>
      </w:r>
    </w:p>
    <w:p w14:paraId="33C7C7B5"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S.C. SindanPharma S.R.L.</w:t>
      </w:r>
    </w:p>
    <w:p w14:paraId="12453B74"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11 Ion Mihalache Blvd</w:t>
      </w:r>
    </w:p>
    <w:p w14:paraId="05069CAC"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Bukarest</w:t>
      </w:r>
    </w:p>
    <w:p w14:paraId="69B5298E" w14:textId="77777777" w:rsidR="006478AD" w:rsidRPr="00AA499E" w:rsidRDefault="00616F3C">
      <w:pPr>
        <w:pStyle w:val="KeinLeerraum"/>
        <w:rPr>
          <w:rFonts w:ascii="Times New Roman" w:hAnsi="Times New Roman"/>
          <w:lang w:val="da-DK"/>
        </w:rPr>
      </w:pPr>
      <w:r w:rsidRPr="00AA499E">
        <w:rPr>
          <w:rFonts w:ascii="Times New Roman" w:hAnsi="Times New Roman"/>
          <w:lang w:val="da-DK"/>
        </w:rPr>
        <w:t>Rumænien</w:t>
      </w:r>
    </w:p>
    <w:p w14:paraId="660819D4" w14:textId="77777777" w:rsidR="006478AD" w:rsidRPr="00AA499E" w:rsidRDefault="006478AD">
      <w:pPr>
        <w:autoSpaceDE w:val="0"/>
        <w:autoSpaceDN w:val="0"/>
        <w:adjustRightInd w:val="0"/>
        <w:spacing w:after="0" w:line="240" w:lineRule="auto"/>
        <w:rPr>
          <w:rFonts w:ascii="Times New Roman" w:hAnsi="Times New Roman"/>
          <w:lang w:val="da-DK"/>
        </w:rPr>
      </w:pPr>
    </w:p>
    <w:p w14:paraId="5FD3D3C6"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ønsker yderligere oplysninger om dette lægemiddel, skal du henvende dig til den lokale repræsentant for</w:t>
      </w:r>
    </w:p>
    <w:p w14:paraId="5C703323" w14:textId="77777777" w:rsidR="006478AD" w:rsidRPr="00AA499E" w:rsidRDefault="00616F3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indehaveren af markedsføringstilladelsen.</w:t>
      </w:r>
    </w:p>
    <w:p w14:paraId="5D28F949" w14:textId="77777777" w:rsidR="00A26B73" w:rsidRPr="007A1698" w:rsidRDefault="00A26B73" w:rsidP="00A26B73">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26B73" w:rsidRPr="00DC08DD" w14:paraId="649B4934" w14:textId="77777777" w:rsidTr="00A26B73">
        <w:trPr>
          <w:gridBefore w:val="1"/>
          <w:wBefore w:w="34" w:type="dxa"/>
          <w:cantSplit/>
        </w:trPr>
        <w:tc>
          <w:tcPr>
            <w:tcW w:w="4644" w:type="dxa"/>
          </w:tcPr>
          <w:p w14:paraId="07F0576A"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België/Belgique/Belgien</w:t>
            </w:r>
          </w:p>
          <w:p w14:paraId="2A563495"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482BFF03"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IJsland/Islande/Island</w:t>
            </w:r>
          </w:p>
          <w:p w14:paraId="5AE2E97C"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Tél/Tel: +354 5503300</w:t>
            </w:r>
          </w:p>
          <w:p w14:paraId="4E241A41" w14:textId="77777777" w:rsidR="00A26B73" w:rsidRPr="00DC08DD" w:rsidRDefault="00A26B73" w:rsidP="00A26B73">
            <w:pPr>
              <w:pStyle w:val="KeinLeerraum"/>
              <w:rPr>
                <w:rFonts w:ascii="Times New Roman" w:hAnsi="Times New Roman"/>
                <w:lang w:val="en-GB"/>
              </w:rPr>
            </w:pPr>
          </w:p>
        </w:tc>
        <w:tc>
          <w:tcPr>
            <w:tcW w:w="4678" w:type="dxa"/>
          </w:tcPr>
          <w:p w14:paraId="5A101225"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Lietuva</w:t>
            </w:r>
          </w:p>
          <w:p w14:paraId="3594E9D0" w14:textId="626A0932" w:rsidR="00A26B73" w:rsidRPr="00DC08DD" w:rsidRDefault="00A26B73" w:rsidP="00A26B73">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2CDA9845"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59106263" w14:textId="77777777" w:rsidR="00A26B73" w:rsidRPr="00DC08DD" w:rsidRDefault="00A26B73" w:rsidP="00A26B73">
            <w:pPr>
              <w:pStyle w:val="KeinLeerraum"/>
              <w:rPr>
                <w:rFonts w:ascii="Times New Roman" w:hAnsi="Times New Roman"/>
                <w:lang w:val="en-GB"/>
              </w:rPr>
            </w:pPr>
          </w:p>
        </w:tc>
      </w:tr>
      <w:tr w:rsidR="00A26B73" w:rsidRPr="00DC08DD" w14:paraId="5ED9E11A" w14:textId="77777777" w:rsidTr="00A26B73">
        <w:trPr>
          <w:gridBefore w:val="1"/>
          <w:wBefore w:w="34" w:type="dxa"/>
          <w:cantSplit/>
        </w:trPr>
        <w:tc>
          <w:tcPr>
            <w:tcW w:w="4644" w:type="dxa"/>
          </w:tcPr>
          <w:p w14:paraId="3454368B"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България</w:t>
            </w:r>
          </w:p>
          <w:p w14:paraId="1DBD467E"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Актавис ЕАД</w:t>
            </w:r>
          </w:p>
          <w:p w14:paraId="01461B0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7986B6EC" w14:textId="77777777" w:rsidR="00A26B73" w:rsidRPr="00DC08DD" w:rsidRDefault="00A26B73" w:rsidP="00A26B73">
            <w:pPr>
              <w:pStyle w:val="KeinLeerraum"/>
              <w:rPr>
                <w:rFonts w:ascii="Times New Roman" w:hAnsi="Times New Roman"/>
                <w:lang w:val="en-GB"/>
              </w:rPr>
            </w:pPr>
          </w:p>
        </w:tc>
        <w:tc>
          <w:tcPr>
            <w:tcW w:w="4678" w:type="dxa"/>
          </w:tcPr>
          <w:p w14:paraId="40247977"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Luxembourg/Luxemburg</w:t>
            </w:r>
          </w:p>
          <w:p w14:paraId="5254A7AA"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Actavis Group PTC ehf.</w:t>
            </w:r>
          </w:p>
          <w:p w14:paraId="14B11202"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Islande/Island</w:t>
            </w:r>
          </w:p>
          <w:p w14:paraId="680C83C2"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432789AF" w14:textId="77777777" w:rsidR="00A26B73" w:rsidRPr="00DC08DD" w:rsidRDefault="00A26B73" w:rsidP="00A26B73">
            <w:pPr>
              <w:pStyle w:val="KeinLeerraum"/>
              <w:rPr>
                <w:rFonts w:ascii="Times New Roman" w:hAnsi="Times New Roman"/>
                <w:lang w:val="en-GB"/>
              </w:rPr>
            </w:pPr>
          </w:p>
        </w:tc>
      </w:tr>
      <w:tr w:rsidR="00A26B73" w:rsidRPr="00DC08DD" w14:paraId="3AE90179" w14:textId="77777777" w:rsidTr="00A26B73">
        <w:trPr>
          <w:gridBefore w:val="1"/>
          <w:wBefore w:w="34" w:type="dxa"/>
          <w:cantSplit/>
          <w:trHeight w:val="751"/>
        </w:trPr>
        <w:tc>
          <w:tcPr>
            <w:tcW w:w="4644" w:type="dxa"/>
          </w:tcPr>
          <w:p w14:paraId="679D9D2D"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Česká republika</w:t>
            </w:r>
          </w:p>
          <w:p w14:paraId="24A3B56B" w14:textId="77777777" w:rsidR="00A26B73" w:rsidRPr="00DC08DD" w:rsidRDefault="00A26B73" w:rsidP="00A26B73">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37739D3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69623A0A" w14:textId="77777777" w:rsidR="00A26B73" w:rsidRPr="00DC08DD" w:rsidRDefault="00A26B73" w:rsidP="00A26B73">
            <w:pPr>
              <w:pStyle w:val="KeinLeerraum"/>
              <w:rPr>
                <w:rFonts w:ascii="Times New Roman" w:hAnsi="Times New Roman"/>
                <w:lang w:val="en-GB"/>
              </w:rPr>
            </w:pPr>
          </w:p>
        </w:tc>
        <w:tc>
          <w:tcPr>
            <w:tcW w:w="4678" w:type="dxa"/>
          </w:tcPr>
          <w:p w14:paraId="78597848"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Magyarország</w:t>
            </w:r>
          </w:p>
          <w:p w14:paraId="1B685C84"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rPr>
              <w:t>Teva Gyógyszergyár Zrt.</w:t>
            </w:r>
          </w:p>
          <w:p w14:paraId="0DB1FF42"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09A4F83" w14:textId="77777777" w:rsidR="00A26B73" w:rsidRPr="00DC08DD" w:rsidRDefault="00A26B73" w:rsidP="00A26B73">
            <w:pPr>
              <w:pStyle w:val="KeinLeerraum"/>
              <w:rPr>
                <w:rFonts w:ascii="Times New Roman" w:hAnsi="Times New Roman"/>
                <w:lang w:val="en-GB"/>
              </w:rPr>
            </w:pPr>
          </w:p>
        </w:tc>
      </w:tr>
      <w:tr w:rsidR="00A26B73" w:rsidRPr="00DC08DD" w14:paraId="62894028" w14:textId="77777777" w:rsidTr="00A26B73">
        <w:trPr>
          <w:gridBefore w:val="1"/>
          <w:wBefore w:w="34" w:type="dxa"/>
          <w:cantSplit/>
        </w:trPr>
        <w:tc>
          <w:tcPr>
            <w:tcW w:w="4644" w:type="dxa"/>
          </w:tcPr>
          <w:p w14:paraId="17EA513B"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lastRenderedPageBreak/>
              <w:t>Danmark</w:t>
            </w:r>
          </w:p>
          <w:p w14:paraId="133B144F"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Teva Denmark A/S</w:t>
            </w:r>
          </w:p>
          <w:p w14:paraId="5C86E64D"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Tlf: +45 44985511</w:t>
            </w:r>
          </w:p>
          <w:p w14:paraId="3E3DFC61" w14:textId="77777777" w:rsidR="00A26B73" w:rsidRPr="00DC08DD" w:rsidRDefault="00A26B73" w:rsidP="00A26B73">
            <w:pPr>
              <w:pStyle w:val="KeinLeerraum"/>
              <w:rPr>
                <w:rFonts w:ascii="Times New Roman" w:hAnsi="Times New Roman"/>
                <w:lang w:val="en-GB"/>
              </w:rPr>
            </w:pPr>
          </w:p>
        </w:tc>
        <w:tc>
          <w:tcPr>
            <w:tcW w:w="4678" w:type="dxa"/>
          </w:tcPr>
          <w:p w14:paraId="6B07D7FF"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Malta</w:t>
            </w:r>
          </w:p>
          <w:p w14:paraId="26F64BC6"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Ltd.</w:t>
            </w:r>
          </w:p>
          <w:p w14:paraId="51C5A167"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25CDC848" w14:textId="77777777" w:rsidR="00A26B73" w:rsidRPr="00DC08DD" w:rsidRDefault="00A26B73" w:rsidP="00A26B73">
            <w:pPr>
              <w:pStyle w:val="KeinLeerraum"/>
              <w:rPr>
                <w:rFonts w:ascii="Times New Roman" w:hAnsi="Times New Roman"/>
                <w:lang w:val="en-GB"/>
              </w:rPr>
            </w:pPr>
          </w:p>
        </w:tc>
      </w:tr>
      <w:tr w:rsidR="00A26B73" w:rsidRPr="00DC08DD" w14:paraId="79C53314" w14:textId="77777777" w:rsidTr="00A26B73">
        <w:trPr>
          <w:gridBefore w:val="1"/>
          <w:wBefore w:w="34" w:type="dxa"/>
          <w:cantSplit/>
        </w:trPr>
        <w:tc>
          <w:tcPr>
            <w:tcW w:w="4644" w:type="dxa"/>
          </w:tcPr>
          <w:p w14:paraId="466F1BBE"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Deutschland</w:t>
            </w:r>
          </w:p>
          <w:p w14:paraId="2F88205D" w14:textId="77777777" w:rsidR="00A26B73" w:rsidRPr="00DC08DD" w:rsidRDefault="00A26B73" w:rsidP="00A26B73">
            <w:pPr>
              <w:spacing w:after="0" w:line="240" w:lineRule="auto"/>
              <w:rPr>
                <w:rFonts w:ascii="Times New Roman" w:hAnsi="Times New Roman"/>
                <w:lang w:val="en-GB"/>
              </w:rPr>
            </w:pPr>
            <w:r w:rsidRPr="00DC08DD">
              <w:rPr>
                <w:rFonts w:ascii="Times New Roman" w:hAnsi="Times New Roman"/>
                <w:lang w:val="en-GB"/>
              </w:rPr>
              <w:t>Actavis Group PTC ehf.</w:t>
            </w:r>
          </w:p>
          <w:p w14:paraId="144E6F8C" w14:textId="77777777" w:rsidR="00A26B73" w:rsidRDefault="00A26B73" w:rsidP="00A26B73">
            <w:pPr>
              <w:pStyle w:val="KeinLeerraum"/>
              <w:rPr>
                <w:rFonts w:ascii="Times New Roman" w:hAnsi="Times New Roman"/>
                <w:lang w:val="en-US"/>
              </w:rPr>
            </w:pPr>
            <w:r w:rsidRPr="00DC08DD">
              <w:rPr>
                <w:rFonts w:ascii="Times New Roman" w:hAnsi="Times New Roman"/>
                <w:lang w:val="en-US"/>
              </w:rPr>
              <w:t>Island</w:t>
            </w:r>
          </w:p>
          <w:p w14:paraId="201A0695"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217B48DD" w14:textId="77777777" w:rsidR="00A26B73" w:rsidRPr="00DC08DD" w:rsidRDefault="00A26B73" w:rsidP="00A26B73">
            <w:pPr>
              <w:pStyle w:val="KeinLeerraum"/>
              <w:rPr>
                <w:rFonts w:ascii="Times New Roman" w:hAnsi="Times New Roman"/>
                <w:lang w:val="en-GB"/>
              </w:rPr>
            </w:pPr>
          </w:p>
        </w:tc>
        <w:tc>
          <w:tcPr>
            <w:tcW w:w="4678" w:type="dxa"/>
          </w:tcPr>
          <w:p w14:paraId="11A70BBF"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Nederland</w:t>
            </w:r>
          </w:p>
          <w:p w14:paraId="507A6079"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01D3E3BE" w14:textId="77777777" w:rsidR="00A26B73" w:rsidRDefault="00A26B73" w:rsidP="00A26B73">
            <w:pPr>
              <w:pStyle w:val="KeinLeerraum"/>
              <w:rPr>
                <w:rFonts w:ascii="Times New Roman" w:hAnsi="Times New Roman"/>
                <w:iCs/>
                <w:lang w:val="en-GB"/>
              </w:rPr>
            </w:pPr>
            <w:r w:rsidRPr="00DC08DD">
              <w:rPr>
                <w:rFonts w:ascii="Times New Roman" w:hAnsi="Times New Roman"/>
                <w:iCs/>
                <w:lang w:val="en-GB"/>
              </w:rPr>
              <w:t>IJsland</w:t>
            </w:r>
          </w:p>
          <w:p w14:paraId="38D4A513" w14:textId="77777777" w:rsidR="00A26B73" w:rsidRPr="00C5795F"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50CD9475" w14:textId="77777777" w:rsidR="00A26B73" w:rsidRPr="00DC08DD" w:rsidRDefault="00A26B73" w:rsidP="00A26B73">
            <w:pPr>
              <w:pStyle w:val="KeinLeerraum"/>
              <w:rPr>
                <w:rFonts w:ascii="Times New Roman" w:hAnsi="Times New Roman"/>
                <w:lang w:val="en-GB"/>
              </w:rPr>
            </w:pPr>
          </w:p>
        </w:tc>
      </w:tr>
      <w:tr w:rsidR="00A26B73" w:rsidRPr="00DC08DD" w14:paraId="01E41678" w14:textId="77777777" w:rsidTr="00A26B73">
        <w:trPr>
          <w:gridBefore w:val="1"/>
          <w:wBefore w:w="34" w:type="dxa"/>
          <w:cantSplit/>
        </w:trPr>
        <w:tc>
          <w:tcPr>
            <w:tcW w:w="4644" w:type="dxa"/>
          </w:tcPr>
          <w:p w14:paraId="1D4579A8"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Eesti</w:t>
            </w:r>
          </w:p>
          <w:p w14:paraId="0D58F162" w14:textId="3B94FEF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2830FDCA"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A850945" w14:textId="77777777" w:rsidR="00A26B73" w:rsidRPr="00DC08DD" w:rsidRDefault="00A26B73" w:rsidP="00A26B73">
            <w:pPr>
              <w:pStyle w:val="KeinLeerraum"/>
              <w:rPr>
                <w:rFonts w:ascii="Times New Roman" w:hAnsi="Times New Roman"/>
                <w:lang w:val="en-GB"/>
              </w:rPr>
            </w:pPr>
          </w:p>
        </w:tc>
        <w:tc>
          <w:tcPr>
            <w:tcW w:w="4678" w:type="dxa"/>
          </w:tcPr>
          <w:p w14:paraId="5CC18291"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Norge</w:t>
            </w:r>
          </w:p>
          <w:p w14:paraId="06BAE11A"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Teva Norway AS</w:t>
            </w:r>
          </w:p>
          <w:p w14:paraId="4A5A4F8D"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Tlf: +47 66775590</w:t>
            </w:r>
          </w:p>
          <w:p w14:paraId="05AABB67" w14:textId="77777777" w:rsidR="00A26B73" w:rsidRPr="00DC08DD" w:rsidRDefault="00A26B73" w:rsidP="00A26B73">
            <w:pPr>
              <w:pStyle w:val="KeinLeerraum"/>
              <w:rPr>
                <w:rFonts w:ascii="Times New Roman" w:hAnsi="Times New Roman"/>
                <w:lang w:val="en-GB"/>
              </w:rPr>
            </w:pPr>
          </w:p>
        </w:tc>
      </w:tr>
      <w:tr w:rsidR="00A26B73" w:rsidRPr="00DC08DD" w14:paraId="57F431E9" w14:textId="77777777" w:rsidTr="00A26B73">
        <w:trPr>
          <w:gridBefore w:val="1"/>
          <w:wBefore w:w="34" w:type="dxa"/>
          <w:cantSplit/>
        </w:trPr>
        <w:tc>
          <w:tcPr>
            <w:tcW w:w="4644" w:type="dxa"/>
          </w:tcPr>
          <w:p w14:paraId="263EA7FA" w14:textId="77777777" w:rsidR="00A26B73" w:rsidRPr="008F3048" w:rsidRDefault="00A26B73" w:rsidP="00A26B73">
            <w:pPr>
              <w:pStyle w:val="KeinLeerraum"/>
              <w:rPr>
                <w:rFonts w:ascii="Times New Roman" w:hAnsi="Times New Roman"/>
              </w:rPr>
            </w:pPr>
            <w:r w:rsidRPr="00DC08DD">
              <w:rPr>
                <w:rFonts w:ascii="Times New Roman" w:hAnsi="Times New Roman"/>
                <w:b/>
                <w:lang w:val="en-GB"/>
              </w:rPr>
              <w:t>Ελλάδα</w:t>
            </w:r>
          </w:p>
          <w:p w14:paraId="4CBEE602" w14:textId="77777777" w:rsidR="00A26B73" w:rsidRPr="008F3048" w:rsidRDefault="00A26B73" w:rsidP="00A26B73">
            <w:pPr>
              <w:pStyle w:val="NormalParagraphStyle"/>
              <w:spacing w:line="240" w:lineRule="auto"/>
              <w:rPr>
                <w:rFonts w:ascii="Times New Roman" w:hAnsi="Times New Roman"/>
                <w:color w:val="auto"/>
                <w:sz w:val="22"/>
                <w:szCs w:val="22"/>
                <w:lang w:val="is-IS"/>
              </w:rPr>
            </w:pPr>
            <w:r w:rsidRPr="008F3048">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28AB072" w14:textId="5E062DE8" w:rsidR="00A26B73" w:rsidRPr="00DC08DD" w:rsidRDefault="00A26B73" w:rsidP="00A26B73">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D9FD776" w14:textId="77777777" w:rsidR="00A26B73" w:rsidRPr="008F3048" w:rsidRDefault="00A26B73" w:rsidP="00A26B73">
            <w:pPr>
              <w:pStyle w:val="KeinLeerraum"/>
              <w:rPr>
                <w:rFonts w:ascii="Times New Roman" w:hAnsi="Times New Roman"/>
              </w:rPr>
            </w:pPr>
          </w:p>
        </w:tc>
        <w:tc>
          <w:tcPr>
            <w:tcW w:w="4678" w:type="dxa"/>
          </w:tcPr>
          <w:p w14:paraId="68199FBC"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Österreich</w:t>
            </w:r>
          </w:p>
          <w:p w14:paraId="3A11CF48" w14:textId="77777777" w:rsidR="00A26B73" w:rsidRPr="0056362A" w:rsidRDefault="00A26B73" w:rsidP="00A26B73">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5849CAC8" w14:textId="77777777" w:rsidR="00A26B73" w:rsidRPr="00DC08DD" w:rsidRDefault="00A26B73" w:rsidP="00A26B73">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21F53B64" w14:textId="77777777" w:rsidR="00A26B73" w:rsidRPr="0056362A" w:rsidRDefault="00A26B73" w:rsidP="00A26B73">
            <w:pPr>
              <w:pStyle w:val="KeinLeerraum"/>
              <w:rPr>
                <w:rFonts w:ascii="Times New Roman" w:hAnsi="Times New Roman"/>
                <w:lang w:val="de-DE"/>
              </w:rPr>
            </w:pPr>
          </w:p>
        </w:tc>
      </w:tr>
      <w:tr w:rsidR="00A26B73" w:rsidRPr="00DC08DD" w14:paraId="3FD83041" w14:textId="77777777" w:rsidTr="00A26B73">
        <w:trPr>
          <w:cantSplit/>
        </w:trPr>
        <w:tc>
          <w:tcPr>
            <w:tcW w:w="4678" w:type="dxa"/>
            <w:gridSpan w:val="2"/>
          </w:tcPr>
          <w:p w14:paraId="4E2B9587"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España</w:t>
            </w:r>
          </w:p>
          <w:p w14:paraId="79144CBB"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1AD0A955"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Islandia</w:t>
            </w:r>
          </w:p>
          <w:p w14:paraId="51FCDE0C"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6CDF46BA" w14:textId="77777777" w:rsidR="00A26B73" w:rsidRPr="00DC08DD" w:rsidRDefault="00A26B73" w:rsidP="00A26B73">
            <w:pPr>
              <w:pStyle w:val="KeinLeerraum"/>
              <w:rPr>
                <w:rFonts w:ascii="Times New Roman" w:hAnsi="Times New Roman"/>
                <w:lang w:val="en-GB"/>
              </w:rPr>
            </w:pPr>
          </w:p>
        </w:tc>
        <w:tc>
          <w:tcPr>
            <w:tcW w:w="4678" w:type="dxa"/>
          </w:tcPr>
          <w:p w14:paraId="4CA93BA4" w14:textId="77777777" w:rsidR="00A26B73" w:rsidRPr="00DC08DD" w:rsidRDefault="00A26B73" w:rsidP="00A26B73">
            <w:pPr>
              <w:pStyle w:val="KeinLeerraum"/>
              <w:rPr>
                <w:rFonts w:ascii="Times New Roman" w:hAnsi="Times New Roman"/>
                <w:b/>
                <w:bCs/>
                <w:i/>
                <w:iCs/>
                <w:lang w:val="en-GB"/>
              </w:rPr>
            </w:pPr>
            <w:r w:rsidRPr="00DC08DD">
              <w:rPr>
                <w:rFonts w:ascii="Times New Roman" w:hAnsi="Times New Roman"/>
                <w:b/>
                <w:lang w:val="en-GB"/>
              </w:rPr>
              <w:t>Polska</w:t>
            </w:r>
          </w:p>
          <w:p w14:paraId="1361D5FA" w14:textId="77777777" w:rsidR="00A26B73" w:rsidRPr="00DC08DD" w:rsidRDefault="00A26B73" w:rsidP="00A26B73">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2B5A91AB" w14:textId="77777777" w:rsidR="00A26B73" w:rsidRPr="00DC08DD" w:rsidRDefault="00A26B73" w:rsidP="00A26B73">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4C93094A" w14:textId="77777777" w:rsidR="00A26B73" w:rsidRPr="00DC08DD" w:rsidRDefault="00A26B73" w:rsidP="00A26B73">
            <w:pPr>
              <w:pStyle w:val="KeinLeerraum"/>
              <w:rPr>
                <w:rFonts w:ascii="Times New Roman" w:hAnsi="Times New Roman"/>
                <w:lang w:val="en-GB"/>
              </w:rPr>
            </w:pPr>
          </w:p>
        </w:tc>
      </w:tr>
      <w:tr w:rsidR="00A26B73" w:rsidRPr="00DC08DD" w14:paraId="2A718E35" w14:textId="77777777" w:rsidTr="00A26B73">
        <w:trPr>
          <w:cantSplit/>
        </w:trPr>
        <w:tc>
          <w:tcPr>
            <w:tcW w:w="4678" w:type="dxa"/>
            <w:gridSpan w:val="2"/>
          </w:tcPr>
          <w:p w14:paraId="63BFF55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France</w:t>
            </w:r>
          </w:p>
          <w:p w14:paraId="56331E1C"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0216F16A" w14:textId="77777777" w:rsidR="00A26B73" w:rsidRDefault="00A26B73" w:rsidP="00A26B73">
            <w:pPr>
              <w:pStyle w:val="KeinLeerraum"/>
              <w:rPr>
                <w:rFonts w:ascii="Times New Roman" w:hAnsi="Times New Roman"/>
                <w:lang w:val="fr-FR"/>
              </w:rPr>
            </w:pPr>
            <w:r w:rsidRPr="00DC08DD">
              <w:rPr>
                <w:rFonts w:ascii="Times New Roman" w:hAnsi="Times New Roman"/>
                <w:lang w:val="fr-FR"/>
              </w:rPr>
              <w:t>Islande</w:t>
            </w:r>
          </w:p>
          <w:p w14:paraId="45382FCC"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178E791C" w14:textId="77777777" w:rsidR="00A26B73" w:rsidRPr="00DC08DD" w:rsidRDefault="00A26B73" w:rsidP="00A26B73">
            <w:pPr>
              <w:pStyle w:val="KeinLeerraum"/>
              <w:rPr>
                <w:rFonts w:ascii="Times New Roman" w:hAnsi="Times New Roman"/>
                <w:b/>
                <w:lang w:val="en-GB"/>
              </w:rPr>
            </w:pPr>
          </w:p>
        </w:tc>
        <w:tc>
          <w:tcPr>
            <w:tcW w:w="4678" w:type="dxa"/>
          </w:tcPr>
          <w:p w14:paraId="4FC8E30A"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Portugal</w:t>
            </w:r>
          </w:p>
          <w:p w14:paraId="68BAD57D"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629D1AF6" w14:textId="77777777" w:rsidR="00A26B73" w:rsidRDefault="00A26B73" w:rsidP="00A26B73">
            <w:pPr>
              <w:pStyle w:val="KeinLeerraum"/>
              <w:rPr>
                <w:rFonts w:ascii="Times New Roman" w:hAnsi="Times New Roman"/>
                <w:lang w:val="es-ES"/>
              </w:rPr>
            </w:pPr>
            <w:r w:rsidRPr="00DC08DD">
              <w:rPr>
                <w:rFonts w:ascii="Times New Roman" w:hAnsi="Times New Roman"/>
                <w:lang w:val="es-ES"/>
              </w:rPr>
              <w:t>Islândia</w:t>
            </w:r>
          </w:p>
          <w:p w14:paraId="4020478D"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rPr>
              <w:t>Tel: +354 5503300</w:t>
            </w:r>
          </w:p>
          <w:p w14:paraId="3165D38D" w14:textId="77777777" w:rsidR="00A26B73" w:rsidRPr="00DC08DD" w:rsidRDefault="00A26B73" w:rsidP="00A26B73">
            <w:pPr>
              <w:pStyle w:val="KeinLeerraum"/>
              <w:rPr>
                <w:rFonts w:ascii="Times New Roman" w:hAnsi="Times New Roman"/>
                <w:lang w:val="en-GB"/>
              </w:rPr>
            </w:pPr>
          </w:p>
        </w:tc>
      </w:tr>
      <w:tr w:rsidR="00A26B73" w:rsidRPr="00DC08DD" w14:paraId="57499CB5" w14:textId="77777777" w:rsidTr="00A26B73">
        <w:trPr>
          <w:cantSplit/>
        </w:trPr>
        <w:tc>
          <w:tcPr>
            <w:tcW w:w="4678" w:type="dxa"/>
            <w:gridSpan w:val="2"/>
          </w:tcPr>
          <w:p w14:paraId="616953C1"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20BEFE6A"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5A32E02E" w14:textId="77777777" w:rsidR="00A26B73" w:rsidRPr="00DC08DD" w:rsidRDefault="00A26B73" w:rsidP="00A26B73">
            <w:pPr>
              <w:pStyle w:val="KeinLeerraum"/>
              <w:rPr>
                <w:rFonts w:ascii="Times New Roman" w:hAnsi="Times New Roman"/>
              </w:rPr>
            </w:pPr>
            <w:r w:rsidRPr="00DC08DD">
              <w:rPr>
                <w:rFonts w:ascii="Times New Roman" w:hAnsi="Times New Roman"/>
              </w:rPr>
              <w:t>Tel: +385 13720000</w:t>
            </w:r>
          </w:p>
          <w:p w14:paraId="6CCF1CF9" w14:textId="77777777" w:rsidR="00A26B73" w:rsidRPr="00DC08DD" w:rsidRDefault="00A26B73" w:rsidP="00A26B73">
            <w:pPr>
              <w:pStyle w:val="KeinLeerraum"/>
              <w:rPr>
                <w:rFonts w:ascii="Times New Roman" w:hAnsi="Times New Roman"/>
                <w:lang w:val="en-GB"/>
              </w:rPr>
            </w:pPr>
          </w:p>
        </w:tc>
        <w:tc>
          <w:tcPr>
            <w:tcW w:w="4678" w:type="dxa"/>
          </w:tcPr>
          <w:p w14:paraId="60977B9C"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România</w:t>
            </w:r>
          </w:p>
          <w:p w14:paraId="2E6DF2F4" w14:textId="77777777" w:rsidR="00A26B73" w:rsidRPr="00DC08DD" w:rsidRDefault="00A26B73" w:rsidP="00A26B73">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4B0E47F7"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DEBB9F3" w14:textId="77777777" w:rsidR="00A26B73" w:rsidRPr="00DC08DD" w:rsidRDefault="00A26B73" w:rsidP="00A26B73">
            <w:pPr>
              <w:pStyle w:val="KeinLeerraum"/>
              <w:rPr>
                <w:rFonts w:ascii="Times New Roman" w:hAnsi="Times New Roman"/>
                <w:lang w:val="en-GB"/>
              </w:rPr>
            </w:pPr>
          </w:p>
        </w:tc>
      </w:tr>
      <w:tr w:rsidR="00A26B73" w:rsidRPr="00DC08DD" w14:paraId="3BCD4D86" w14:textId="77777777" w:rsidTr="00A26B73">
        <w:trPr>
          <w:cantSplit/>
        </w:trPr>
        <w:tc>
          <w:tcPr>
            <w:tcW w:w="4678" w:type="dxa"/>
            <w:gridSpan w:val="2"/>
          </w:tcPr>
          <w:p w14:paraId="3E0DA84A"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Ireland</w:t>
            </w:r>
          </w:p>
          <w:p w14:paraId="2CFE053D" w14:textId="77777777" w:rsidR="00A26B73" w:rsidRPr="009A42FE" w:rsidRDefault="00A26B73" w:rsidP="00A26B73">
            <w:pPr>
              <w:pStyle w:val="KeinLeerraum"/>
              <w:rPr>
                <w:rFonts w:ascii="Times New Roman" w:hAnsi="Times New Roman"/>
                <w:lang w:val="en-GB"/>
              </w:rPr>
            </w:pPr>
            <w:r w:rsidRPr="009A42FE">
              <w:rPr>
                <w:rFonts w:ascii="Times New Roman" w:hAnsi="Times New Roman"/>
                <w:lang w:val="en-GB"/>
              </w:rPr>
              <w:t>Teva Pharmaceuticals Ireland</w:t>
            </w:r>
          </w:p>
          <w:p w14:paraId="281BAD49" w14:textId="06CC596C" w:rsidR="00A26B73" w:rsidRDefault="00A26B73" w:rsidP="00A26B73">
            <w:pPr>
              <w:pStyle w:val="KeinLeerraum"/>
              <w:rPr>
                <w:rFonts w:ascii="Times New Roman" w:hAnsi="Times New Roman"/>
                <w:lang w:val="en-GB"/>
              </w:rPr>
            </w:pPr>
            <w:r>
              <w:rPr>
                <w:rFonts w:ascii="Times New Roman" w:hAnsi="Times New Roman"/>
                <w:lang w:val="en-GB"/>
              </w:rPr>
              <w:t>Tel: +353 19127700</w:t>
            </w:r>
          </w:p>
          <w:p w14:paraId="48D37EDE" w14:textId="77777777" w:rsidR="00A26B73" w:rsidRPr="00DC08DD" w:rsidRDefault="00A26B73" w:rsidP="00A26B73">
            <w:pPr>
              <w:pStyle w:val="KeinLeerraum"/>
              <w:rPr>
                <w:rFonts w:ascii="Times New Roman" w:hAnsi="Times New Roman"/>
                <w:lang w:val="en-GB"/>
              </w:rPr>
            </w:pPr>
          </w:p>
        </w:tc>
        <w:tc>
          <w:tcPr>
            <w:tcW w:w="4678" w:type="dxa"/>
          </w:tcPr>
          <w:p w14:paraId="74B6F113"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Slovenija</w:t>
            </w:r>
          </w:p>
          <w:p w14:paraId="294B4B5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Pliva Ljubljana d.o.o.</w:t>
            </w:r>
          </w:p>
          <w:p w14:paraId="4896B9CD"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+386 15890390</w:t>
            </w:r>
          </w:p>
          <w:p w14:paraId="5962BBD9" w14:textId="77777777" w:rsidR="00A26B73" w:rsidRPr="00DC08DD" w:rsidRDefault="00A26B73" w:rsidP="00A26B73">
            <w:pPr>
              <w:pStyle w:val="KeinLeerraum"/>
              <w:rPr>
                <w:rFonts w:ascii="Times New Roman" w:hAnsi="Times New Roman"/>
                <w:b/>
                <w:lang w:val="en-GB"/>
              </w:rPr>
            </w:pPr>
          </w:p>
        </w:tc>
      </w:tr>
      <w:tr w:rsidR="00A26B73" w:rsidRPr="00DC08DD" w14:paraId="69C8A013" w14:textId="77777777" w:rsidTr="00A26B73">
        <w:trPr>
          <w:cantSplit/>
        </w:trPr>
        <w:tc>
          <w:tcPr>
            <w:tcW w:w="4678" w:type="dxa"/>
            <w:gridSpan w:val="2"/>
          </w:tcPr>
          <w:p w14:paraId="4E23D16A"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Ísland</w:t>
            </w:r>
          </w:p>
          <w:p w14:paraId="4F25B124"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74097F8D"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Sími: +354 5503300</w:t>
            </w:r>
          </w:p>
          <w:p w14:paraId="2B6F3D62" w14:textId="77777777" w:rsidR="00A26B73" w:rsidRPr="00DC08DD" w:rsidRDefault="00A26B73" w:rsidP="00A26B73">
            <w:pPr>
              <w:pStyle w:val="KeinLeerraum"/>
              <w:rPr>
                <w:rFonts w:ascii="Times New Roman" w:hAnsi="Times New Roman"/>
                <w:b/>
                <w:lang w:val="en-GB"/>
              </w:rPr>
            </w:pPr>
          </w:p>
        </w:tc>
        <w:tc>
          <w:tcPr>
            <w:tcW w:w="4678" w:type="dxa"/>
          </w:tcPr>
          <w:p w14:paraId="6592A780"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Slovenská republika</w:t>
            </w:r>
          </w:p>
          <w:p w14:paraId="4630BD9B"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56E6B08F"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B104233" w14:textId="77777777" w:rsidR="00A26B73" w:rsidRPr="00DC08DD" w:rsidRDefault="00A26B73" w:rsidP="00A26B73">
            <w:pPr>
              <w:pStyle w:val="KeinLeerraum"/>
              <w:rPr>
                <w:rFonts w:ascii="Times New Roman" w:hAnsi="Times New Roman"/>
                <w:lang w:val="en-GB"/>
              </w:rPr>
            </w:pPr>
          </w:p>
        </w:tc>
      </w:tr>
      <w:tr w:rsidR="00A26B73" w:rsidRPr="00DC08DD" w14:paraId="06B8E393" w14:textId="77777777" w:rsidTr="00A26B73">
        <w:trPr>
          <w:cantSplit/>
        </w:trPr>
        <w:tc>
          <w:tcPr>
            <w:tcW w:w="4678" w:type="dxa"/>
            <w:gridSpan w:val="2"/>
          </w:tcPr>
          <w:p w14:paraId="50B1FB5A"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Italia</w:t>
            </w:r>
          </w:p>
          <w:p w14:paraId="57048E99"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64DF7ACB" w14:textId="77777777" w:rsidR="00A26B73" w:rsidRDefault="00A26B73" w:rsidP="00A26B73">
            <w:pPr>
              <w:pStyle w:val="KeinLeerraum"/>
              <w:rPr>
                <w:rFonts w:ascii="Times New Roman" w:hAnsi="Times New Roman"/>
                <w:lang w:val="da-DK"/>
              </w:rPr>
            </w:pPr>
            <w:r w:rsidRPr="00DC08DD">
              <w:rPr>
                <w:rFonts w:ascii="Times New Roman" w:hAnsi="Times New Roman"/>
                <w:lang w:val="da-DK"/>
              </w:rPr>
              <w:t>Islanda</w:t>
            </w:r>
          </w:p>
          <w:p w14:paraId="6C769735" w14:textId="77777777" w:rsidR="00A26B73" w:rsidRPr="001B0C82" w:rsidRDefault="00A26B73" w:rsidP="00A26B73">
            <w:pPr>
              <w:pStyle w:val="KeinLeerraum"/>
              <w:rPr>
                <w:rFonts w:ascii="Times New Roman" w:hAnsi="Times New Roman"/>
                <w:lang w:val="en-US"/>
              </w:rPr>
            </w:pPr>
            <w:r w:rsidRPr="00B85F24">
              <w:rPr>
                <w:rFonts w:ascii="Times New Roman" w:hAnsi="Times New Roman"/>
                <w:noProof/>
              </w:rPr>
              <w:t>Tel: +354 5503300</w:t>
            </w:r>
          </w:p>
          <w:p w14:paraId="1C93C7D0" w14:textId="77777777" w:rsidR="00A26B73" w:rsidRPr="00DC08DD" w:rsidRDefault="00A26B73" w:rsidP="00A26B73">
            <w:pPr>
              <w:pStyle w:val="KeinLeerraum"/>
              <w:rPr>
                <w:rFonts w:ascii="Times New Roman" w:hAnsi="Times New Roman"/>
                <w:b/>
                <w:lang w:val="en-GB"/>
              </w:rPr>
            </w:pPr>
          </w:p>
        </w:tc>
        <w:tc>
          <w:tcPr>
            <w:tcW w:w="4678" w:type="dxa"/>
          </w:tcPr>
          <w:p w14:paraId="6C653E44"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Suomi/Finland</w:t>
            </w:r>
          </w:p>
          <w:p w14:paraId="0312B064" w14:textId="688F396E" w:rsidR="00A26B73" w:rsidRPr="00A26B73" w:rsidRDefault="00A26B73" w:rsidP="00A26B73">
            <w:pPr>
              <w:pStyle w:val="KeinLeerraum"/>
              <w:rPr>
                <w:rFonts w:ascii="Times New Roman" w:hAnsi="Times New Roman"/>
                <w:lang w:val="sv-SE"/>
              </w:rPr>
            </w:pPr>
            <w:r w:rsidRPr="00A26B73">
              <w:rPr>
                <w:rFonts w:ascii="Times New Roman" w:hAnsi="Times New Roman"/>
                <w:lang w:val="sv-SE"/>
              </w:rPr>
              <w:t>Teva Finland Oy</w:t>
            </w:r>
          </w:p>
          <w:p w14:paraId="7F059F33"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A26B73">
              <w:rPr>
                <w:rFonts w:ascii="Times New Roman" w:hAnsi="Times New Roman"/>
                <w:lang w:val="sv-SE"/>
              </w:rPr>
              <w:t>201805900</w:t>
            </w:r>
          </w:p>
          <w:p w14:paraId="15B9748C" w14:textId="77777777" w:rsidR="00A26B73" w:rsidRPr="00DC08DD" w:rsidRDefault="00A26B73" w:rsidP="00A26B73">
            <w:pPr>
              <w:pStyle w:val="KeinLeerraum"/>
              <w:rPr>
                <w:rFonts w:ascii="Times New Roman" w:hAnsi="Times New Roman"/>
                <w:b/>
                <w:lang w:val="en-GB"/>
              </w:rPr>
            </w:pPr>
          </w:p>
        </w:tc>
      </w:tr>
      <w:tr w:rsidR="00A26B73" w:rsidRPr="00DC08DD" w14:paraId="74FBADD0" w14:textId="77777777" w:rsidTr="00A26B73">
        <w:trPr>
          <w:cantSplit/>
        </w:trPr>
        <w:tc>
          <w:tcPr>
            <w:tcW w:w="4678" w:type="dxa"/>
            <w:gridSpan w:val="2"/>
          </w:tcPr>
          <w:p w14:paraId="7DFF212A" w14:textId="77777777" w:rsidR="00A26B73" w:rsidRPr="00F81B0C" w:rsidRDefault="00A26B73" w:rsidP="00A26B73">
            <w:pPr>
              <w:pStyle w:val="KeinLeerraum"/>
              <w:rPr>
                <w:rFonts w:ascii="Times New Roman" w:hAnsi="Times New Roman"/>
                <w:b/>
              </w:rPr>
            </w:pPr>
            <w:r w:rsidRPr="00DC08DD">
              <w:rPr>
                <w:rFonts w:ascii="Times New Roman" w:hAnsi="Times New Roman"/>
                <w:b/>
                <w:lang w:val="en-GB"/>
              </w:rPr>
              <w:t>Κύπρος</w:t>
            </w:r>
          </w:p>
          <w:p w14:paraId="3FA85340" w14:textId="77777777" w:rsidR="00A26B73" w:rsidRPr="00F81B0C" w:rsidRDefault="00A26B73" w:rsidP="00A26B73">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78E95FE" w14:textId="77777777" w:rsidR="00A26B73" w:rsidRPr="00F81B0C" w:rsidRDefault="00A26B73" w:rsidP="00A26B73">
            <w:pPr>
              <w:pStyle w:val="KeinLeerraum"/>
              <w:rPr>
                <w:rFonts w:ascii="Times New Roman" w:hAnsi="Times New Roman"/>
              </w:rPr>
            </w:pPr>
            <w:r w:rsidRPr="00DC08DD">
              <w:rPr>
                <w:rFonts w:ascii="Times New Roman" w:hAnsi="Times New Roman"/>
                <w:lang w:val="el-GR"/>
              </w:rPr>
              <w:t>Ελλάδα</w:t>
            </w:r>
          </w:p>
          <w:p w14:paraId="741CFFA5" w14:textId="599B2FD0" w:rsidR="00A26B73" w:rsidRPr="00F81B0C" w:rsidRDefault="00A26B73" w:rsidP="00A26B73">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7885CFF" w14:textId="77777777" w:rsidR="00A26B73" w:rsidRPr="00F81B0C" w:rsidRDefault="00A26B73" w:rsidP="00A26B73">
            <w:pPr>
              <w:pStyle w:val="KeinLeerraum"/>
              <w:rPr>
                <w:rFonts w:ascii="Times New Roman" w:hAnsi="Times New Roman"/>
              </w:rPr>
            </w:pPr>
          </w:p>
        </w:tc>
        <w:tc>
          <w:tcPr>
            <w:tcW w:w="4678" w:type="dxa"/>
          </w:tcPr>
          <w:p w14:paraId="65646672" w14:textId="77777777" w:rsidR="00A26B73" w:rsidRPr="0056362A" w:rsidRDefault="00A26B73" w:rsidP="00A26B73">
            <w:pPr>
              <w:pStyle w:val="KeinLeerraum"/>
              <w:rPr>
                <w:rFonts w:ascii="Times New Roman" w:hAnsi="Times New Roman"/>
                <w:b/>
                <w:lang w:val="de-DE"/>
              </w:rPr>
            </w:pPr>
            <w:r w:rsidRPr="0056362A">
              <w:rPr>
                <w:rFonts w:ascii="Times New Roman" w:hAnsi="Times New Roman"/>
                <w:b/>
                <w:lang w:val="de-DE"/>
              </w:rPr>
              <w:t>Sverige</w:t>
            </w:r>
          </w:p>
          <w:p w14:paraId="57BB0C03"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Teva Sweden AB</w:t>
            </w:r>
          </w:p>
          <w:p w14:paraId="3DC8BECF"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Tel: +46 42121100</w:t>
            </w:r>
          </w:p>
          <w:p w14:paraId="594CDE5E" w14:textId="77777777" w:rsidR="00A26B73" w:rsidRPr="0056362A" w:rsidRDefault="00A26B73" w:rsidP="00A26B73">
            <w:pPr>
              <w:pStyle w:val="KeinLeerraum"/>
              <w:rPr>
                <w:rFonts w:ascii="Times New Roman" w:hAnsi="Times New Roman"/>
                <w:lang w:val="de-DE"/>
              </w:rPr>
            </w:pPr>
          </w:p>
        </w:tc>
      </w:tr>
      <w:tr w:rsidR="00A26B73" w:rsidRPr="00DC08DD" w14:paraId="78C3686A" w14:textId="77777777" w:rsidTr="00A26B73">
        <w:trPr>
          <w:cantSplit/>
        </w:trPr>
        <w:tc>
          <w:tcPr>
            <w:tcW w:w="4678" w:type="dxa"/>
            <w:gridSpan w:val="2"/>
          </w:tcPr>
          <w:p w14:paraId="7647F374" w14:textId="77777777" w:rsidR="00A26B73" w:rsidRPr="00DC08DD" w:rsidRDefault="00A26B73" w:rsidP="00A26B73">
            <w:pPr>
              <w:pStyle w:val="KeinLeerraum"/>
              <w:rPr>
                <w:rFonts w:ascii="Times New Roman" w:hAnsi="Times New Roman"/>
                <w:b/>
                <w:bCs/>
                <w:lang w:val="en-GB" w:eastAsia="en-GB"/>
              </w:rPr>
            </w:pPr>
            <w:r w:rsidRPr="00DC08DD">
              <w:rPr>
                <w:rFonts w:ascii="Times New Roman" w:hAnsi="Times New Roman"/>
                <w:b/>
                <w:bCs/>
                <w:lang w:val="en-GB" w:eastAsia="en-GB"/>
              </w:rPr>
              <w:lastRenderedPageBreak/>
              <w:t>Latvija</w:t>
            </w:r>
          </w:p>
          <w:p w14:paraId="4153A2C0" w14:textId="31862C42" w:rsidR="00A26B73" w:rsidRPr="00A26B73" w:rsidRDefault="00A26B73" w:rsidP="00A26B73">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40977219" w14:textId="77777777" w:rsidR="00A26B73" w:rsidRPr="00DC08DD" w:rsidRDefault="00A26B73" w:rsidP="00A26B73">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0D00F477" w14:textId="77777777" w:rsidR="00A26B73" w:rsidRPr="00DC08DD" w:rsidRDefault="00A26B73" w:rsidP="00A26B73">
            <w:pPr>
              <w:pStyle w:val="KeinLeerraum"/>
              <w:rPr>
                <w:rFonts w:ascii="Times New Roman" w:hAnsi="Times New Roman"/>
                <w:lang w:val="en-GB"/>
              </w:rPr>
            </w:pPr>
          </w:p>
        </w:tc>
        <w:tc>
          <w:tcPr>
            <w:tcW w:w="4678" w:type="dxa"/>
          </w:tcPr>
          <w:p w14:paraId="78AF225D"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United Kingdom</w:t>
            </w:r>
          </w:p>
          <w:p w14:paraId="71C63F45"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UK Limited</w:t>
            </w:r>
          </w:p>
          <w:p w14:paraId="5D763313" w14:textId="77777777" w:rsidR="00A26B73" w:rsidRPr="00DC08DD" w:rsidRDefault="00A26B73" w:rsidP="00A26B73">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1A92473B" w14:textId="77777777" w:rsidR="00A26B73" w:rsidRPr="00DC08DD" w:rsidRDefault="00A26B73" w:rsidP="00A26B73">
            <w:pPr>
              <w:pStyle w:val="KeinLeerraum"/>
              <w:rPr>
                <w:rFonts w:ascii="Times New Roman" w:hAnsi="Times New Roman"/>
                <w:lang w:val="en-GB"/>
              </w:rPr>
            </w:pPr>
          </w:p>
        </w:tc>
      </w:tr>
    </w:tbl>
    <w:p w14:paraId="7B899D5F" w14:textId="77777777" w:rsidR="00A26B73" w:rsidRPr="000F398A" w:rsidRDefault="00A26B73" w:rsidP="00A26B73">
      <w:pPr>
        <w:autoSpaceDE w:val="0"/>
        <w:autoSpaceDN w:val="0"/>
        <w:adjustRightInd w:val="0"/>
        <w:spacing w:after="0" w:line="240" w:lineRule="auto"/>
        <w:rPr>
          <w:rFonts w:ascii="Times New Roman" w:hAnsi="Times New Roman"/>
        </w:rPr>
      </w:pPr>
    </w:p>
    <w:p w14:paraId="2BC9CAEE" w14:textId="77777777" w:rsidR="006478AD" w:rsidRPr="00AA499E" w:rsidRDefault="00616F3C">
      <w:pPr>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t>Denne indlægsseddel blev senest ændret &lt;DATO&gt;</w:t>
      </w:r>
    </w:p>
    <w:p w14:paraId="777ADC42" w14:textId="77777777" w:rsidR="006478AD" w:rsidRPr="00AA499E" w:rsidRDefault="006478AD" w:rsidP="00842809">
      <w:pPr>
        <w:keepNext/>
        <w:keepLines/>
        <w:autoSpaceDE w:val="0"/>
        <w:autoSpaceDN w:val="0"/>
        <w:adjustRightInd w:val="0"/>
        <w:spacing w:after="0" w:line="240" w:lineRule="auto"/>
        <w:contextualSpacing/>
        <w:rPr>
          <w:rFonts w:ascii="Times New Roman" w:hAnsi="Times New Roman"/>
          <w:lang w:val="da-DK"/>
        </w:rPr>
      </w:pPr>
    </w:p>
    <w:p w14:paraId="3F60BAF9" w14:textId="77777777" w:rsidR="006478AD" w:rsidRPr="00AA499E" w:rsidRDefault="00616F3C" w:rsidP="00842809">
      <w:pPr>
        <w:keepNext/>
        <w:keepLines/>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t>Andre informationskilder</w:t>
      </w:r>
    </w:p>
    <w:p w14:paraId="7CF1CAFB" w14:textId="77777777" w:rsidR="006478AD" w:rsidRPr="00AA499E" w:rsidRDefault="006478AD" w:rsidP="00842809">
      <w:pPr>
        <w:keepNext/>
        <w:keepLines/>
        <w:autoSpaceDE w:val="0"/>
        <w:autoSpaceDN w:val="0"/>
        <w:adjustRightInd w:val="0"/>
        <w:spacing w:after="0" w:line="240" w:lineRule="auto"/>
        <w:contextualSpacing/>
        <w:rPr>
          <w:rFonts w:ascii="Times New Roman" w:hAnsi="Times New Roman"/>
          <w:b/>
          <w:bCs/>
          <w:lang w:val="da-DK"/>
        </w:rPr>
      </w:pPr>
    </w:p>
    <w:p w14:paraId="6304E7EE" w14:textId="77777777" w:rsidR="006478AD" w:rsidRPr="00AA499E" w:rsidRDefault="00616F3C">
      <w:pPr>
        <w:autoSpaceDE w:val="0"/>
        <w:autoSpaceDN w:val="0"/>
        <w:adjustRightInd w:val="0"/>
        <w:spacing w:after="0" w:line="240" w:lineRule="auto"/>
        <w:contextualSpacing/>
        <w:rPr>
          <w:rFonts w:ascii="Times New Roman" w:hAnsi="Times New Roman"/>
          <w:lang w:val="da-DK"/>
        </w:rPr>
      </w:pPr>
      <w:r w:rsidRPr="00AA499E">
        <w:rPr>
          <w:rFonts w:ascii="Times New Roman" w:hAnsi="Times New Roman"/>
          <w:lang w:val="da-DK"/>
        </w:rPr>
        <w:t>Du kan finde yderligere oplysninger om dette lægemiddel på Det Europæiske Lægemiddelagenturs hjemmeside:</w:t>
      </w:r>
    </w:p>
    <w:p w14:paraId="4E429344" w14:textId="77777777" w:rsidR="006478AD" w:rsidRPr="00AA499E" w:rsidRDefault="008F3048">
      <w:pPr>
        <w:autoSpaceDE w:val="0"/>
        <w:autoSpaceDN w:val="0"/>
        <w:adjustRightInd w:val="0"/>
        <w:spacing w:after="0" w:line="240" w:lineRule="auto"/>
        <w:contextualSpacing/>
        <w:rPr>
          <w:rFonts w:ascii="Times New Roman" w:hAnsi="Times New Roman"/>
          <w:lang w:val="da-DK"/>
        </w:rPr>
      </w:pPr>
      <w:hyperlink r:id="rId23" w:history="1">
        <w:r w:rsidR="00616F3C" w:rsidRPr="00AA499E">
          <w:rPr>
            <w:rStyle w:val="Hyperlink"/>
            <w:rFonts w:ascii="Times New Roman" w:hAnsi="Times New Roman"/>
            <w:lang w:val="da-DK"/>
          </w:rPr>
          <w:t>http://www.ema.europa.eu</w:t>
        </w:r>
      </w:hyperlink>
    </w:p>
    <w:p w14:paraId="6B187091" w14:textId="77777777" w:rsidR="006478AD" w:rsidRPr="00AA499E" w:rsidRDefault="006478AD">
      <w:pPr>
        <w:autoSpaceDE w:val="0"/>
        <w:autoSpaceDN w:val="0"/>
        <w:adjustRightInd w:val="0"/>
        <w:spacing w:after="0" w:line="240" w:lineRule="auto"/>
        <w:contextualSpacing/>
        <w:rPr>
          <w:rFonts w:ascii="Times New Roman" w:hAnsi="Times New Roman"/>
          <w:lang w:val="da-DK"/>
        </w:rPr>
      </w:pPr>
    </w:p>
    <w:p w14:paraId="23A354DA" w14:textId="77777777" w:rsidR="006478AD" w:rsidRPr="00AA499E" w:rsidRDefault="006478AD">
      <w:pPr>
        <w:autoSpaceDE w:val="0"/>
        <w:autoSpaceDN w:val="0"/>
        <w:adjustRightInd w:val="0"/>
        <w:spacing w:after="0" w:line="240" w:lineRule="auto"/>
        <w:contextualSpacing/>
        <w:rPr>
          <w:rFonts w:ascii="Times New Roman" w:hAnsi="Times New Roman"/>
          <w:lang w:val="da-DK"/>
        </w:rPr>
      </w:pPr>
    </w:p>
    <w:p w14:paraId="4BFAF182" w14:textId="77777777" w:rsidR="001F716D" w:rsidRPr="00AA499E" w:rsidRDefault="001F716D" w:rsidP="001F716D">
      <w:pPr>
        <w:spacing w:before="80" w:after="0" w:line="240" w:lineRule="auto"/>
        <w:ind w:left="2684" w:right="2646"/>
        <w:jc w:val="center"/>
        <w:rPr>
          <w:rFonts w:ascii="Times New Roman" w:eastAsia="Times New Roman" w:hAnsi="Times New Roman"/>
          <w:lang w:val="da-DK"/>
        </w:rPr>
      </w:pPr>
      <w:r w:rsidRPr="00AA499E">
        <w:rPr>
          <w:rFonts w:ascii="Times New Roman" w:hAnsi="Times New Roman"/>
          <w:lang w:val="da-DK"/>
        </w:rPr>
        <w:br w:type="page"/>
      </w:r>
      <w:r w:rsidRPr="00AA499E">
        <w:rPr>
          <w:rFonts w:ascii="Times New Roman" w:eastAsia="Times New Roman" w:hAnsi="Times New Roman"/>
          <w:b/>
          <w:bCs/>
          <w:lang w:val="da-DK"/>
        </w:rPr>
        <w:lastRenderedPageBreak/>
        <w:t>Indlægsseddel: Information til brugeren</w:t>
      </w:r>
    </w:p>
    <w:p w14:paraId="750FD88C" w14:textId="77777777" w:rsidR="001F716D" w:rsidRPr="00AA499E" w:rsidRDefault="001F716D" w:rsidP="001F716D">
      <w:pPr>
        <w:autoSpaceDE w:val="0"/>
        <w:autoSpaceDN w:val="0"/>
        <w:adjustRightInd w:val="0"/>
        <w:spacing w:after="0" w:line="240" w:lineRule="auto"/>
        <w:jc w:val="center"/>
        <w:rPr>
          <w:rFonts w:ascii="Times New Roman" w:hAnsi="Times New Roman"/>
          <w:lang w:val="da-DK"/>
        </w:rPr>
      </w:pPr>
    </w:p>
    <w:p w14:paraId="7BF36845" w14:textId="77777777" w:rsidR="001F716D" w:rsidRPr="00AA499E" w:rsidRDefault="001F716D" w:rsidP="001F716D">
      <w:pPr>
        <w:autoSpaceDE w:val="0"/>
        <w:autoSpaceDN w:val="0"/>
        <w:adjustRightInd w:val="0"/>
        <w:spacing w:after="0" w:line="240" w:lineRule="auto"/>
        <w:jc w:val="center"/>
        <w:rPr>
          <w:rFonts w:ascii="Times New Roman" w:hAnsi="Times New Roman"/>
          <w:b/>
          <w:bCs/>
          <w:lang w:val="da-DK"/>
        </w:rPr>
      </w:pPr>
      <w:r w:rsidRPr="00AA499E">
        <w:rPr>
          <w:rFonts w:ascii="Times New Roman" w:hAnsi="Times New Roman"/>
          <w:b/>
          <w:bCs/>
          <w:lang w:val="da-DK"/>
        </w:rPr>
        <w:t>Imatinib Actavis 400 mg filmovertrukne tabletter</w:t>
      </w:r>
    </w:p>
    <w:p w14:paraId="43F4112F" w14:textId="77777777" w:rsidR="001F716D" w:rsidRPr="00AA499E" w:rsidRDefault="00324263" w:rsidP="001F716D">
      <w:pPr>
        <w:autoSpaceDE w:val="0"/>
        <w:autoSpaceDN w:val="0"/>
        <w:adjustRightInd w:val="0"/>
        <w:spacing w:after="0" w:line="240" w:lineRule="auto"/>
        <w:jc w:val="center"/>
        <w:rPr>
          <w:rFonts w:ascii="Times New Roman" w:hAnsi="Times New Roman"/>
          <w:lang w:val="da-DK"/>
        </w:rPr>
      </w:pPr>
      <w:r w:rsidRPr="00AA499E">
        <w:rPr>
          <w:rFonts w:ascii="Times New Roman" w:hAnsi="Times New Roman"/>
          <w:lang w:val="da-DK"/>
        </w:rPr>
        <w:t>i</w:t>
      </w:r>
      <w:r w:rsidR="001F716D" w:rsidRPr="00AA499E">
        <w:rPr>
          <w:rFonts w:ascii="Times New Roman" w:hAnsi="Times New Roman"/>
          <w:lang w:val="da-DK"/>
        </w:rPr>
        <w:t>matinib</w:t>
      </w:r>
    </w:p>
    <w:p w14:paraId="05440421"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1D5F277A"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67A43B7"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Læs denne indlægsseddel grundigt, inden du begynder at tage dette lægemiddel, </w:t>
      </w:r>
      <w:r w:rsidRPr="00AA499E">
        <w:rPr>
          <w:rFonts w:ascii="Times New Roman" w:hAnsi="Times New Roman"/>
          <w:lang w:val="da-DK"/>
        </w:rPr>
        <w:t xml:space="preserve"> </w:t>
      </w:r>
      <w:r w:rsidRPr="00AA499E">
        <w:rPr>
          <w:rFonts w:ascii="Times New Roman" w:hAnsi="Times New Roman"/>
          <w:b/>
          <w:bCs/>
          <w:lang w:val="da-DK"/>
        </w:rPr>
        <w:t>da den indeholder vigtige oplysninger.</w:t>
      </w:r>
    </w:p>
    <w:p w14:paraId="7B84BFDC"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Gem indlægssedlen. Du kan få brug for at læse den igen.</w:t>
      </w:r>
    </w:p>
    <w:p w14:paraId="2EC148D8" w14:textId="035CB6D3"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Spørg lægen, apotekspersonalet </w:t>
      </w:r>
      <w:r w:rsidR="006B0B7E" w:rsidRPr="00AA499E">
        <w:rPr>
          <w:rFonts w:ascii="Times New Roman" w:hAnsi="Times New Roman"/>
          <w:lang w:val="da-DK"/>
        </w:rPr>
        <w:t>eller sygeplejersken</w:t>
      </w:r>
      <w:r w:rsidRPr="00AA499E">
        <w:rPr>
          <w:rFonts w:ascii="Times New Roman" w:hAnsi="Times New Roman"/>
          <w:lang w:val="da-DK"/>
        </w:rPr>
        <w:t>, hvis der er mere, du vil vide.</w:t>
      </w:r>
    </w:p>
    <w:p w14:paraId="48144BED"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Lægen har ordineret lægemidlet til dig personligt. Lad derfor være med at give </w:t>
      </w:r>
      <w:r w:rsidR="00406109" w:rsidRPr="00AA499E">
        <w:rPr>
          <w:rFonts w:ascii="Times New Roman" w:hAnsi="Times New Roman"/>
          <w:lang w:val="da-DK"/>
        </w:rPr>
        <w:t>medicinen</w:t>
      </w:r>
      <w:r w:rsidRPr="00AA499E">
        <w:rPr>
          <w:rFonts w:ascii="Times New Roman" w:hAnsi="Times New Roman"/>
          <w:lang w:val="da-DK"/>
        </w:rPr>
        <w:t xml:space="preserve"> til andre. Det kan være skadeligt for andre, selvom de har de samme symptomer, som du har.</w:t>
      </w:r>
    </w:p>
    <w:p w14:paraId="4DB1AB8C" w14:textId="477E9C92"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Tal med lægen, apotekspersonalet </w:t>
      </w:r>
      <w:r w:rsidR="006B0B7E" w:rsidRPr="00AA499E">
        <w:rPr>
          <w:rFonts w:ascii="Times New Roman" w:hAnsi="Times New Roman"/>
          <w:lang w:val="da-DK"/>
        </w:rPr>
        <w:t>eller sygeplejersken</w:t>
      </w:r>
      <w:r w:rsidRPr="00AA499E">
        <w:rPr>
          <w:rFonts w:ascii="Times New Roman" w:hAnsi="Times New Roman"/>
          <w:lang w:val="da-DK"/>
        </w:rPr>
        <w:t>, hvis du får bivirkninger</w:t>
      </w:r>
      <w:r w:rsidR="00406109" w:rsidRPr="00AA499E">
        <w:rPr>
          <w:rFonts w:ascii="Times New Roman" w:hAnsi="Times New Roman"/>
          <w:lang w:val="da-DK"/>
        </w:rPr>
        <w:t>, herunder</w:t>
      </w:r>
      <w:r w:rsidRPr="00AA499E">
        <w:rPr>
          <w:rFonts w:ascii="Times New Roman" w:hAnsi="Times New Roman"/>
          <w:lang w:val="da-DK"/>
        </w:rPr>
        <w:t xml:space="preserve"> bivirkninger, som ikke er nævnt </w:t>
      </w:r>
      <w:bookmarkStart w:id="6" w:name="_Hlk44863331"/>
      <w:r w:rsidR="00CA62A0" w:rsidRPr="00AA499E">
        <w:rPr>
          <w:rFonts w:ascii="Times New Roman" w:hAnsi="Times New Roman"/>
          <w:lang w:val="da-DK"/>
        </w:rPr>
        <w:t>i denne indlægsseddel</w:t>
      </w:r>
      <w:bookmarkEnd w:id="6"/>
      <w:r w:rsidRPr="00AA499E">
        <w:rPr>
          <w:rFonts w:ascii="Times New Roman" w:hAnsi="Times New Roman"/>
          <w:lang w:val="da-DK"/>
        </w:rPr>
        <w:t>.</w:t>
      </w:r>
      <w:r w:rsidR="0083696B" w:rsidRPr="00AA499E">
        <w:rPr>
          <w:rFonts w:ascii="Times New Roman" w:hAnsi="Times New Roman"/>
          <w:lang w:val="da-DK"/>
        </w:rPr>
        <w:t xml:space="preserve"> Se afsnit 4.</w:t>
      </w:r>
    </w:p>
    <w:p w14:paraId="340EFBA4" w14:textId="77777777" w:rsidR="00406109" w:rsidRPr="00AA499E" w:rsidRDefault="00406109" w:rsidP="00406109">
      <w:pPr>
        <w:autoSpaceDE w:val="0"/>
        <w:autoSpaceDN w:val="0"/>
        <w:adjustRightInd w:val="0"/>
        <w:spacing w:after="0" w:line="240" w:lineRule="auto"/>
        <w:rPr>
          <w:rFonts w:ascii="Times New Roman" w:hAnsi="Times New Roman"/>
          <w:lang w:val="da-DK"/>
        </w:rPr>
      </w:pPr>
    </w:p>
    <w:p w14:paraId="3DD89DFE" w14:textId="77777777" w:rsidR="00406109" w:rsidRPr="00AA499E" w:rsidRDefault="00406109" w:rsidP="00406109">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Se den nyeste indlægsseddel på www.indlaegsseddel.dk.</w:t>
      </w:r>
    </w:p>
    <w:p w14:paraId="3A31E3D4"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26FE0B97"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Oversigt over indlægssedlen</w:t>
      </w:r>
    </w:p>
    <w:p w14:paraId="7B0F75F2"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1B2CB9CE"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1.</w:t>
      </w:r>
      <w:r w:rsidRPr="00AA499E">
        <w:rPr>
          <w:rFonts w:ascii="Times New Roman" w:hAnsi="Times New Roman"/>
          <w:lang w:val="da-DK"/>
        </w:rPr>
        <w:tab/>
        <w:t>Virkning og anvendelse</w:t>
      </w:r>
    </w:p>
    <w:p w14:paraId="1DE0D51A" w14:textId="77777777" w:rsidR="001F716D" w:rsidRPr="00AA499E" w:rsidRDefault="001F716D" w:rsidP="001F716D">
      <w:pPr>
        <w:tabs>
          <w:tab w:val="left" w:pos="567"/>
        </w:tabs>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2.</w:t>
      </w:r>
      <w:r w:rsidRPr="00AA499E">
        <w:rPr>
          <w:rFonts w:ascii="Times New Roman" w:hAnsi="Times New Roman"/>
          <w:lang w:val="da-DK"/>
        </w:rPr>
        <w:tab/>
        <w:t>Det skal du vide, før du begynder at tage Imatinib Actavis</w:t>
      </w:r>
    </w:p>
    <w:p w14:paraId="555C01F0"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3.</w:t>
      </w:r>
      <w:r w:rsidRPr="00AA499E">
        <w:rPr>
          <w:rFonts w:ascii="Times New Roman" w:hAnsi="Times New Roman"/>
          <w:lang w:val="da-DK"/>
        </w:rPr>
        <w:tab/>
        <w:t>Sådan skal du tage Imatinib Actavis</w:t>
      </w:r>
    </w:p>
    <w:p w14:paraId="45C33691"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4.</w:t>
      </w:r>
      <w:r w:rsidRPr="00AA499E">
        <w:rPr>
          <w:rFonts w:ascii="Times New Roman" w:hAnsi="Times New Roman"/>
          <w:lang w:val="da-DK"/>
        </w:rPr>
        <w:tab/>
        <w:t>Bivirkninger</w:t>
      </w:r>
    </w:p>
    <w:p w14:paraId="6D114578"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5.</w:t>
      </w:r>
      <w:r w:rsidRPr="00AA499E">
        <w:rPr>
          <w:rFonts w:ascii="Times New Roman" w:hAnsi="Times New Roman"/>
          <w:lang w:val="da-DK"/>
        </w:rPr>
        <w:tab/>
        <w:t>Opbevaring</w:t>
      </w:r>
    </w:p>
    <w:p w14:paraId="4AA302E8"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6.</w:t>
      </w:r>
      <w:r w:rsidRPr="00AA499E">
        <w:rPr>
          <w:rFonts w:ascii="Times New Roman" w:hAnsi="Times New Roman"/>
          <w:lang w:val="da-DK"/>
        </w:rPr>
        <w:tab/>
        <w:t>Pakningsstørrelser og yderligere oplysninger</w:t>
      </w:r>
    </w:p>
    <w:p w14:paraId="6AB350ED"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C347B58"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046CEAB7"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1.</w:t>
      </w:r>
      <w:r w:rsidRPr="00AA499E">
        <w:rPr>
          <w:rFonts w:ascii="Times New Roman" w:hAnsi="Times New Roman"/>
          <w:b/>
          <w:bCs/>
          <w:lang w:val="da-DK"/>
        </w:rPr>
        <w:tab/>
        <w:t>Virkning og anvendelse</w:t>
      </w:r>
    </w:p>
    <w:p w14:paraId="617518D0"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445D574" w14:textId="77777777" w:rsidR="007C7187"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Imatinib Actavis er et lægemiddel, der indeholder et aktivt stof kaldet imatinib. Dette lægemiddel virker ved at hæmme væksten af unormale celler </w:t>
      </w:r>
      <w:r w:rsidR="007C7187" w:rsidRPr="00AA499E">
        <w:rPr>
          <w:rFonts w:ascii="Times New Roman" w:hAnsi="Times New Roman"/>
          <w:lang w:val="da-DK"/>
        </w:rPr>
        <w:t xml:space="preserve">ved de sygdomme, der er nævnt nedenfor. Disse omfatter nogle former for kræft. </w:t>
      </w:r>
    </w:p>
    <w:p w14:paraId="661AA093"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268F14A6" w14:textId="77777777" w:rsidR="00AA6204" w:rsidRPr="00AA499E" w:rsidRDefault="00AA6204" w:rsidP="00AA6204">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bruges til behandling af:</w:t>
      </w:r>
    </w:p>
    <w:p w14:paraId="5A17F7B3" w14:textId="77777777" w:rsidR="007C7187" w:rsidRPr="00AA499E" w:rsidRDefault="007C7187" w:rsidP="001F716D">
      <w:pPr>
        <w:autoSpaceDE w:val="0"/>
        <w:autoSpaceDN w:val="0"/>
        <w:adjustRightInd w:val="0"/>
        <w:spacing w:after="0" w:line="240" w:lineRule="auto"/>
        <w:rPr>
          <w:rFonts w:ascii="Times New Roman" w:hAnsi="Times New Roman"/>
          <w:b/>
          <w:bCs/>
          <w:lang w:val="da-DK"/>
        </w:rPr>
      </w:pPr>
    </w:p>
    <w:p w14:paraId="64866E3C" w14:textId="77777777" w:rsidR="001F716D" w:rsidRPr="00AA499E" w:rsidRDefault="007C7187" w:rsidP="00063A26">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w:t>
      </w:r>
      <w:r w:rsidR="001F716D" w:rsidRPr="00AA499E">
        <w:rPr>
          <w:rFonts w:ascii="Times New Roman" w:hAnsi="Times New Roman"/>
          <w:b/>
          <w:bCs/>
          <w:lang w:val="da-DK"/>
        </w:rPr>
        <w:t>ronisk myeloid leukæmi (CML).</w:t>
      </w:r>
      <w:r w:rsidRPr="00AA499E">
        <w:rPr>
          <w:rFonts w:ascii="Times New Roman" w:hAnsi="Times New Roman"/>
          <w:lang w:val="da-DK"/>
        </w:rPr>
        <w:t xml:space="preserve"> </w:t>
      </w:r>
      <w:r w:rsidR="001F716D" w:rsidRPr="00AA499E">
        <w:rPr>
          <w:rFonts w:ascii="Times New Roman" w:hAnsi="Times New Roman"/>
          <w:lang w:val="da-DK"/>
        </w:rPr>
        <w:t>Leukæmi er kræft i de hvide blodlegemer. Hvide blodlegemer hjælper som regel kroppen med at bekæmpe infektioner. Kronisk myeloid leukæmi er en type leukæmi, hvor nogle bestemte unormale hvide blodlegemer (der kaldes myeloide celler) vokser ukontrolleret.</w:t>
      </w:r>
    </w:p>
    <w:p w14:paraId="143FD655"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00E28E2"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Hos voksne patienter er Imatinib Actavis beregnet til brug i den mest fremskredne fase af sygdommen (blastkrise). Hos børn og teenagere kan Imatinib Actavis bruges i forskellige sygdomsfaser (kronisk, accelereret fase og blastkrise).</w:t>
      </w:r>
    </w:p>
    <w:p w14:paraId="6A43542B" w14:textId="77777777" w:rsidR="007C7187" w:rsidRPr="00AA499E" w:rsidRDefault="007C7187" w:rsidP="001F716D">
      <w:pPr>
        <w:autoSpaceDE w:val="0"/>
        <w:autoSpaceDN w:val="0"/>
        <w:adjustRightInd w:val="0"/>
        <w:spacing w:after="0" w:line="240" w:lineRule="auto"/>
        <w:rPr>
          <w:rFonts w:ascii="Times New Roman" w:hAnsi="Times New Roman"/>
          <w:lang w:val="da-DK"/>
        </w:rPr>
      </w:pPr>
    </w:p>
    <w:p w14:paraId="3400EF61" w14:textId="77777777" w:rsidR="007C7187" w:rsidRPr="00AA499E" w:rsidRDefault="007C7187" w:rsidP="007C7187">
      <w:pPr>
        <w:numPr>
          <w:ilvl w:val="0"/>
          <w:numId w:val="22"/>
        </w:num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 xml:space="preserve">Philadelphia-kromosom-positiv akut lymfoblastær leukæmi (Ph-positiv ALL). </w:t>
      </w:r>
    </w:p>
    <w:p w14:paraId="22EC3C73" w14:textId="77777777" w:rsidR="007C7187" w:rsidRPr="00AA499E" w:rsidRDefault="007C7187" w:rsidP="007C7187">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Leukæmi er kræft i de hvide blodlegemer. Hvide blodlegemer hjælper som regel kroppen med at bekæmpe infektioner. Akut lymfoblastær leukæmi er en form af leukæmi, hvor visse abnorme hvide blodlegemer (kaldet lymfoblaster) vokser ukontrolleret. Imatinib Actavis hæmmer væksten af disse celler.</w:t>
      </w:r>
    </w:p>
    <w:p w14:paraId="5BD7C3F2" w14:textId="77777777" w:rsidR="00AA6204" w:rsidRPr="00AA499E" w:rsidRDefault="00AA6204" w:rsidP="00AA6204">
      <w:pPr>
        <w:autoSpaceDE w:val="0"/>
        <w:autoSpaceDN w:val="0"/>
        <w:adjustRightInd w:val="0"/>
        <w:spacing w:after="0" w:line="240" w:lineRule="auto"/>
        <w:rPr>
          <w:rFonts w:ascii="Times New Roman" w:hAnsi="Times New Roman"/>
          <w:lang w:val="da-DK"/>
        </w:rPr>
      </w:pPr>
    </w:p>
    <w:p w14:paraId="7F84EF48" w14:textId="77777777" w:rsidR="00AA6204" w:rsidRPr="00AA499E" w:rsidRDefault="00AA6204" w:rsidP="00B94C7C">
      <w:pPr>
        <w:keepNext/>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lastRenderedPageBreak/>
        <w:t>Imatinib Actavis anvendes også til behandling af voksne med:</w:t>
      </w:r>
    </w:p>
    <w:p w14:paraId="29DC8B3A" w14:textId="77777777" w:rsidR="00AA6204" w:rsidRPr="00AA499E" w:rsidRDefault="00AA6204" w:rsidP="00B94C7C">
      <w:pPr>
        <w:keepNext/>
        <w:autoSpaceDE w:val="0"/>
        <w:autoSpaceDN w:val="0"/>
        <w:adjustRightInd w:val="0"/>
        <w:spacing w:after="0" w:line="240" w:lineRule="auto"/>
        <w:rPr>
          <w:rFonts w:ascii="Times New Roman" w:hAnsi="Times New Roman"/>
          <w:lang w:val="da-DK"/>
        </w:rPr>
      </w:pPr>
    </w:p>
    <w:p w14:paraId="0CD60378" w14:textId="77777777" w:rsidR="007C7187" w:rsidRPr="00AA499E" w:rsidRDefault="007C7187" w:rsidP="007C7187">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Myelodysplastiske/myeloproliferative sygdomme (MDS/MDP). </w:t>
      </w:r>
      <w:r w:rsidRPr="00AA499E">
        <w:rPr>
          <w:rFonts w:ascii="Times New Roman" w:hAnsi="Times New Roman"/>
          <w:lang w:val="da-DK"/>
        </w:rPr>
        <w:t>Disse er en gruppe af sygdomme i blodet, hvor nogle blodlegemer begynder at vokse ukontrolleret. Imatinib Actavis hæmmer væksten af disse blodlegemer i en vis undergruppe af disse sygdomme.</w:t>
      </w:r>
    </w:p>
    <w:p w14:paraId="094FCC71" w14:textId="77777777" w:rsidR="007C7187" w:rsidRPr="00AA499E" w:rsidRDefault="007C7187" w:rsidP="007C7187">
      <w:pPr>
        <w:numPr>
          <w:ilvl w:val="0"/>
          <w:numId w:val="23"/>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Hypereosinofil syndrom (HES) og/eller kronisk eosinofil leukæmi (CEL). </w:t>
      </w:r>
      <w:r w:rsidRPr="00AA499E">
        <w:rPr>
          <w:rFonts w:ascii="Times New Roman" w:hAnsi="Times New Roman"/>
          <w:lang w:val="da-DK"/>
        </w:rPr>
        <w:t>Disse er sygdomme i blodet, i hvilke visse blodlegemer (kaldet eosinofile celler) begynder at vokse ukontrolleret. Imatinib Actavis hæmmer væksten af disse celler i en vis undergruppe af disse sygdomme.</w:t>
      </w:r>
    </w:p>
    <w:p w14:paraId="5562C738" w14:textId="77777777" w:rsidR="00A32833" w:rsidRPr="00AA499E" w:rsidRDefault="007C7187" w:rsidP="007C7187">
      <w:pPr>
        <w:numPr>
          <w:ilvl w:val="0"/>
          <w:numId w:val="23"/>
        </w:numPr>
        <w:autoSpaceDE w:val="0"/>
        <w:autoSpaceDN w:val="0"/>
        <w:adjustRightInd w:val="0"/>
        <w:spacing w:after="0" w:line="240" w:lineRule="auto"/>
        <w:ind w:left="567" w:hanging="567"/>
        <w:rPr>
          <w:rFonts w:ascii="Times New Roman" w:hAnsi="Times New Roman"/>
          <w:color w:val="000000"/>
          <w:lang w:val="da-DK" w:eastAsia="is-IS"/>
        </w:rPr>
      </w:pPr>
      <w:r w:rsidRPr="00AA499E">
        <w:rPr>
          <w:rFonts w:ascii="Times New Roman" w:hAnsi="Times New Roman"/>
          <w:b/>
          <w:bCs/>
          <w:color w:val="000000"/>
          <w:lang w:val="da-DK" w:eastAsia="is-IS"/>
        </w:rPr>
        <w:t xml:space="preserve">Dermatofibrosarkom protuberans (DFSP). </w:t>
      </w:r>
      <w:r w:rsidRPr="00AA499E">
        <w:rPr>
          <w:rFonts w:ascii="Times New Roman" w:hAnsi="Times New Roman"/>
          <w:color w:val="000000"/>
          <w:lang w:val="da-DK" w:eastAsia="is-IS"/>
        </w:rPr>
        <w:t>DFSP er en kræftform i vævet under huden, hvor visse celler vokser ukontrolleret. Imatinib Actavis</w:t>
      </w:r>
      <w:r w:rsidRPr="00AA499E">
        <w:rPr>
          <w:rFonts w:ascii="Times New Roman" w:hAnsi="Times New Roman"/>
          <w:color w:val="000000"/>
          <w:sz w:val="24"/>
          <w:szCs w:val="24"/>
          <w:lang w:val="da-DK" w:eastAsia="is-IS"/>
        </w:rPr>
        <w:t xml:space="preserve"> </w:t>
      </w:r>
      <w:r w:rsidRPr="00AA499E">
        <w:rPr>
          <w:rFonts w:ascii="Times New Roman" w:hAnsi="Times New Roman"/>
          <w:color w:val="000000"/>
          <w:lang w:val="da-DK" w:eastAsia="is-IS"/>
        </w:rPr>
        <w:t>hæmmer væksten af disse celler.</w:t>
      </w:r>
    </w:p>
    <w:p w14:paraId="498183B6" w14:textId="77777777" w:rsidR="007C7187" w:rsidRPr="00AA499E" w:rsidRDefault="007C7187" w:rsidP="00A32833">
      <w:pPr>
        <w:autoSpaceDE w:val="0"/>
        <w:autoSpaceDN w:val="0"/>
        <w:adjustRightInd w:val="0"/>
        <w:spacing w:after="0" w:line="240" w:lineRule="auto"/>
        <w:rPr>
          <w:rFonts w:ascii="Times New Roman" w:hAnsi="Times New Roman"/>
          <w:color w:val="000000"/>
          <w:lang w:val="da-DK" w:eastAsia="is-IS"/>
        </w:rPr>
      </w:pPr>
    </w:p>
    <w:p w14:paraId="08A6CB31" w14:textId="77777777" w:rsidR="007C7187" w:rsidRPr="00AA499E" w:rsidRDefault="007C7187" w:rsidP="007C718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 resten af denne indlægsseddel vil vi bruge forkortelserne, når vi omtaler disse sygdomme.</w:t>
      </w:r>
    </w:p>
    <w:p w14:paraId="01CDC3C3"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4DDBC2B7"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har spørgsmål om, hvordan Imatinib Actavis virker, eller hvorfor du har fået ordineret dette lægemiddel, kontakt din læge.</w:t>
      </w:r>
    </w:p>
    <w:p w14:paraId="02C9CD23"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12CF7C5A"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3CE24ADC"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2.</w:t>
      </w:r>
      <w:r w:rsidRPr="00AA499E">
        <w:rPr>
          <w:rFonts w:ascii="Times New Roman" w:hAnsi="Times New Roman"/>
          <w:b/>
          <w:bCs/>
          <w:lang w:val="da-DK"/>
        </w:rPr>
        <w:tab/>
        <w:t>Det skal du vide, før du begynder at tage Imatinib Actavis</w:t>
      </w:r>
    </w:p>
    <w:p w14:paraId="505EB350"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C11D249"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vil kun blive ordineret til dig af en læge med erfaring i behandlingen af kræft i blodet eller kræftknuder.</w:t>
      </w:r>
    </w:p>
    <w:p w14:paraId="32BD2CA3"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1E663532"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Følg omhyggeligt din læges anvisninger, selvom de er forskellige fra den generelle information i denne indlægsseddel.</w:t>
      </w:r>
    </w:p>
    <w:p w14:paraId="521379AF"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0300318" w14:textId="624910F3"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Tag ikke Imatinib Actavis</w:t>
      </w:r>
    </w:p>
    <w:p w14:paraId="5CF3855C"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allergisk over for imatinib, soya, jordnødder eller et af de øvrige indholdsstoffer i lægemidlet (angivet i punkt 6).</w:t>
      </w:r>
    </w:p>
    <w:p w14:paraId="05500BDE"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p>
    <w:p w14:paraId="6AE3F746"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dette gælder for dig, </w:t>
      </w:r>
      <w:r w:rsidRPr="00AA499E">
        <w:rPr>
          <w:rFonts w:ascii="Times New Roman" w:hAnsi="Times New Roman"/>
          <w:b/>
          <w:bCs/>
          <w:lang w:val="da-DK"/>
        </w:rPr>
        <w:t>skal du fortælle din læge det, før du tager Imatinib Actavis.</w:t>
      </w:r>
    </w:p>
    <w:p w14:paraId="4692180A"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DB108C7"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tror, du er allergisk, men ikke er sikker, skal du kontakte din læge for at få rådgivning.</w:t>
      </w:r>
    </w:p>
    <w:p w14:paraId="3BAAAFA2"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1E209EB7"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Advarsler og forsigtighedsregler</w:t>
      </w:r>
    </w:p>
    <w:p w14:paraId="6475832F"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Kontakt lægen, før du tager Imatinib Actavis:</w:t>
      </w:r>
    </w:p>
    <w:p w14:paraId="0B367E77"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har eller har haft lever-, nyre- eller hjerteproblemer.</w:t>
      </w:r>
    </w:p>
    <w:p w14:paraId="449E4D48"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tager medicin indeholdende levothyroxin, fordi din skjoldbruskkirtel er blevet fjernet.</w:t>
      </w:r>
    </w:p>
    <w:p w14:paraId="0807A9E3" w14:textId="77777777" w:rsidR="0017077B" w:rsidRPr="00AA499E" w:rsidRDefault="00B70E7C"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nogensinde har været eller måske er smittet med hepatitis B-virus. Dette skyldes, at (</w:t>
      </w:r>
      <w:r w:rsidR="002A7A45" w:rsidRPr="00AA499E">
        <w:rPr>
          <w:rFonts w:ascii="Times New Roman" w:hAnsi="Times New Roman"/>
          <w:lang w:val="da-DK"/>
        </w:rPr>
        <w:t>Imatinib Actavis</w:t>
      </w:r>
      <w:r w:rsidRPr="00AA499E">
        <w:rPr>
          <w:rFonts w:ascii="Times New Roman" w:hAnsi="Times New Roman"/>
          <w:lang w:val="da-DK"/>
        </w:rPr>
        <w:t>) kan forårsage, at hepatitis B-infektionen bliver aktiv igen, hvilket undertiden kan være dødeligt. Lægen vil omhyggeligt kontrolleres dig for tegn på denne infektion, før behandlingen påbegyndes.</w:t>
      </w:r>
    </w:p>
    <w:p w14:paraId="290D1E11" w14:textId="77777777" w:rsidR="00B70E7C" w:rsidRPr="00AA499E" w:rsidRDefault="0017077B" w:rsidP="0017077B">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får blå mærker, blødninger, feber, træthed og oplever forvirring, mens du tager Imatinib Actavis, skal du kontakte din læge. Dette kan være tegn på beskadigelse af dine blodkar, hvilket kaldes trombotisk mikroangiopati (TMA).</w:t>
      </w:r>
    </w:p>
    <w:p w14:paraId="77473948"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lang w:val="da-DK"/>
        </w:rPr>
        <w:t xml:space="preserve">Hvis noget af det ovenstående gælder for dig, </w:t>
      </w:r>
      <w:r w:rsidRPr="00AA499E">
        <w:rPr>
          <w:rFonts w:ascii="Times New Roman" w:hAnsi="Times New Roman"/>
          <w:b/>
          <w:bCs/>
          <w:lang w:val="da-DK"/>
        </w:rPr>
        <w:t>skal du fortælle din læge det, før du tager Imatinib Actavis.</w:t>
      </w:r>
    </w:p>
    <w:p w14:paraId="026D6776"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3A26C759" w14:textId="77777777" w:rsidR="00AA6204" w:rsidRPr="00AA499E" w:rsidRDefault="00AA6204" w:rsidP="00AA6204">
      <w:pPr>
        <w:pStyle w:val="BodyText22"/>
        <w:widowControl w:val="0"/>
        <w:tabs>
          <w:tab w:val="clear" w:pos="-720"/>
        </w:tabs>
        <w:rPr>
          <w:i w:val="0"/>
          <w:color w:val="000000"/>
          <w:szCs w:val="22"/>
        </w:rPr>
      </w:pPr>
      <w:r w:rsidRPr="00AA499E">
        <w:rPr>
          <w:i w:val="0"/>
          <w:color w:val="000000"/>
          <w:szCs w:val="22"/>
        </w:rPr>
        <w:t>Du kan blive mere følsom overfor sollys, når du tager Imatinib Actavis. Det er vigtigt at dække de områder af huden, som udsættes for solen, og at bruge solcreme med høj solbeskyttelsesfaktor (SPF). Disse forholdsregler gælder også for børn.</w:t>
      </w:r>
    </w:p>
    <w:p w14:paraId="7CBA84FC" w14:textId="77777777" w:rsidR="00AA6204" w:rsidRPr="00AA499E" w:rsidRDefault="00AA6204" w:rsidP="00AA6204">
      <w:pPr>
        <w:autoSpaceDE w:val="0"/>
        <w:autoSpaceDN w:val="0"/>
        <w:adjustRightInd w:val="0"/>
        <w:spacing w:after="0" w:line="240" w:lineRule="auto"/>
        <w:rPr>
          <w:rFonts w:ascii="Times New Roman" w:hAnsi="Times New Roman"/>
          <w:b/>
          <w:bCs/>
          <w:lang w:val="da-DK"/>
        </w:rPr>
      </w:pPr>
    </w:p>
    <w:p w14:paraId="1A8CBEB8"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 xml:space="preserve">Du skal straks fortælle din læge, </w:t>
      </w:r>
      <w:r w:rsidRPr="00AA499E">
        <w:rPr>
          <w:rFonts w:ascii="Times New Roman" w:hAnsi="Times New Roman"/>
          <w:lang w:val="da-DK"/>
        </w:rPr>
        <w:t>hvis du meget hurtigt tager på i vægt, mens du er i behandling med Imatinib Actavis. Imatinib Actavis kan forårsage, at din krop begynder at ophobe væske (svær væskeretention).</w:t>
      </w:r>
    </w:p>
    <w:p w14:paraId="247D6666"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9CE0A74"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Mens du tager Imatinib Actavis, vil din læge regelmæssigt kontrollere, om lægemidlet virker. Du vil også få taget blodprøver og blive vejet regelmæssigt.</w:t>
      </w:r>
    </w:p>
    <w:p w14:paraId="7073F534"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2B92CFD7" w14:textId="77777777" w:rsidR="001F716D" w:rsidRPr="00AA499E" w:rsidRDefault="001F716D" w:rsidP="001F716D">
      <w:pPr>
        <w:autoSpaceDE w:val="0"/>
        <w:autoSpaceDN w:val="0"/>
        <w:adjustRightInd w:val="0"/>
        <w:spacing w:after="0" w:line="240" w:lineRule="auto"/>
        <w:rPr>
          <w:rFonts w:ascii="Times New Roman" w:eastAsia="Times New Roman" w:hAnsi="Times New Roman"/>
          <w:b/>
          <w:bCs/>
          <w:lang w:val="da-DK"/>
        </w:rPr>
      </w:pPr>
      <w:r w:rsidRPr="00AA499E">
        <w:rPr>
          <w:rFonts w:ascii="Times New Roman" w:eastAsia="Times New Roman" w:hAnsi="Times New Roman"/>
          <w:b/>
          <w:bCs/>
          <w:lang w:val="da-DK"/>
        </w:rPr>
        <w:t xml:space="preserve">Børn og </w:t>
      </w:r>
      <w:r w:rsidR="00406109" w:rsidRPr="00AA499E">
        <w:rPr>
          <w:rFonts w:ascii="Times New Roman" w:eastAsia="Times New Roman" w:hAnsi="Times New Roman"/>
          <w:b/>
          <w:bCs/>
          <w:lang w:val="da-DK"/>
        </w:rPr>
        <w:t>unge</w:t>
      </w:r>
    </w:p>
    <w:p w14:paraId="3A3C4000" w14:textId="77777777" w:rsidR="009770BB" w:rsidRPr="00AA499E" w:rsidRDefault="009770BB" w:rsidP="009770BB">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Imatinib Actavis bruges også til behandling af børn med CML. Der er ingen erfaring med behandling af CML hos børn under 2 år. Der er begrænset erfaring hos børn og Ph-positiv ALL og meget begrænset erfaring med børn med MDS/MPD, DFSP og HES/CEL.</w:t>
      </w:r>
    </w:p>
    <w:p w14:paraId="3470121F"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4A740C19"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Nogle børn og unge, der får Imatinib Actavis, kan vokse langsommere end normalt. Lægen vil kontrollere væksten ved regelmæssige besøg.</w:t>
      </w:r>
    </w:p>
    <w:p w14:paraId="6100F6F1"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D0E6FE9"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af anden medicin sammen med Imatinib Actavis</w:t>
      </w:r>
    </w:p>
    <w:p w14:paraId="2DE84138" w14:textId="281C34B6"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Fortæl altid lægen eller på apoteket, hvis du tager anden medicin for nylig</w:t>
      </w:r>
      <w:r w:rsidR="00554886" w:rsidRPr="00537232">
        <w:rPr>
          <w:rFonts w:ascii="Times New Roman" w:hAnsi="Times New Roman"/>
          <w:lang w:val="da-DK"/>
        </w:rPr>
        <w:t xml:space="preserve"> har taget </w:t>
      </w:r>
      <w:r w:rsidR="00554886" w:rsidRPr="00C76A02">
        <w:rPr>
          <w:rFonts w:ascii="Times New Roman" w:hAnsi="Times New Roman"/>
          <w:lang w:val="da-DK"/>
        </w:rPr>
        <w:t>anden medicin eller planlægger at tage anden medicin</w:t>
      </w:r>
      <w:r w:rsidRPr="00AA499E">
        <w:rPr>
          <w:rFonts w:ascii="Times New Roman" w:hAnsi="Times New Roman"/>
          <w:lang w:val="da-DK"/>
        </w:rPr>
        <w:t>. Dette gælder også medicin, som ikke er købt på recept (såsom paracetamol), inklusive naturlægemidler (såsom perikon). Nogle lægemidler kan påvirke virkningen af Imatinib Actavis, når de bruges samtidigt. De kan enten øge eller nedsætte virkningen af Imatinib Actavis, hvilket kan resultere i enten flere bivirkninger, eller de kan gøre Imatinib Actavis mindre virksomt. Imatinib Actavis kan gøre det samme ved andre lægemidler.</w:t>
      </w:r>
    </w:p>
    <w:p w14:paraId="421AD9AF"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1B1DEE56" w14:textId="77777777" w:rsidR="001F716D" w:rsidRPr="00AA499E" w:rsidRDefault="001F716D" w:rsidP="001F716D">
      <w:pPr>
        <w:widowControl w:val="0"/>
        <w:rPr>
          <w:rFonts w:ascii="Times New Roman" w:hAnsi="Times New Roman"/>
          <w:lang w:val="da-DK"/>
        </w:rPr>
      </w:pPr>
      <w:r w:rsidRPr="00AA499E">
        <w:rPr>
          <w:rFonts w:ascii="Times New Roman" w:hAnsi="Times New Roman"/>
          <w:color w:val="000000"/>
          <w:lang w:val="da-DK"/>
        </w:rPr>
        <w:t>Fortæl din læge hvis du tager medicin, der forebygger dannelsen af blodpropper.</w:t>
      </w:r>
    </w:p>
    <w:p w14:paraId="664D11F6"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Graviditet, amning og frugtbarhed</w:t>
      </w:r>
    </w:p>
    <w:p w14:paraId="35B6F777"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er gravid eller ammer, har mistanke om, at du er gravid, eller planlægger at blive gravid, skal du spørge din læge til råds, før du tager dette lægemiddel.</w:t>
      </w:r>
    </w:p>
    <w:p w14:paraId="474055B0"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Imatinib Actavis anbefales ikke under graviditeten, medmindre det er strengt nødvendigt, da det kan skade din baby. Din læge vil fortælle dig om de mulige risici, der er forbundet med brug af Imatinib Actavis under graviditeten.</w:t>
      </w:r>
    </w:p>
    <w:p w14:paraId="0A242964"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Under behandlingen </w:t>
      </w:r>
      <w:r w:rsidR="00C665E1" w:rsidRPr="00AA499E">
        <w:rPr>
          <w:rFonts w:ascii="Times New Roman" w:hAnsi="Times New Roman"/>
          <w:lang w:val="da-DK"/>
        </w:rPr>
        <w:t xml:space="preserve">og i 15 dage efter ophør af behandlingen </w:t>
      </w:r>
      <w:r w:rsidRPr="00AA499E">
        <w:rPr>
          <w:rFonts w:ascii="Times New Roman" w:hAnsi="Times New Roman"/>
          <w:lang w:val="da-DK"/>
        </w:rPr>
        <w:t>anbefales det, at kvinder som kan blive gravide, anvender effektiv beskyttelse mod graviditet.</w:t>
      </w:r>
    </w:p>
    <w:p w14:paraId="28549CBF" w14:textId="7599684F"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Du må ikke amme, mens du er i behandling</w:t>
      </w:r>
      <w:r w:rsidR="00C665E1" w:rsidRPr="00AA499E">
        <w:rPr>
          <w:rFonts w:ascii="Times New Roman" w:hAnsi="Times New Roman"/>
          <w:lang w:val="da-DK"/>
        </w:rPr>
        <w:t xml:space="preserve"> og i 15 dage efter ophør af behandling</w:t>
      </w:r>
      <w:r w:rsidRPr="00AA499E">
        <w:rPr>
          <w:rFonts w:ascii="Times New Roman" w:hAnsi="Times New Roman"/>
          <w:lang w:val="da-DK"/>
        </w:rPr>
        <w:t xml:space="preserve"> med Imatinib Actavis</w:t>
      </w:r>
      <w:r w:rsidR="00C665E1" w:rsidRPr="00AA499E">
        <w:rPr>
          <w:rFonts w:ascii="Times New Roman" w:hAnsi="Times New Roman"/>
          <w:lang w:val="da-DK"/>
        </w:rPr>
        <w:t>, da det kan skade din baby</w:t>
      </w:r>
      <w:r w:rsidRPr="00AA499E">
        <w:rPr>
          <w:rFonts w:ascii="Times New Roman" w:hAnsi="Times New Roman"/>
          <w:lang w:val="da-DK"/>
        </w:rPr>
        <w:t>.</w:t>
      </w:r>
    </w:p>
    <w:p w14:paraId="510E26CC"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eastAsia="Times New Roman" w:hAnsi="Times New Roman"/>
          <w:lang w:val="da-DK"/>
        </w:rPr>
        <w:t xml:space="preserve">Hvis du er bekymret for din frugtbarhed, mens du tager </w:t>
      </w:r>
      <w:r w:rsidRPr="00AA499E">
        <w:rPr>
          <w:rFonts w:ascii="Times New Roman" w:hAnsi="Times New Roman"/>
          <w:lang w:val="da-DK"/>
        </w:rPr>
        <w:t>Imatinib Actavis,</w:t>
      </w:r>
      <w:r w:rsidRPr="00AA499E">
        <w:rPr>
          <w:rFonts w:ascii="Times New Roman" w:eastAsia="Times New Roman" w:hAnsi="Times New Roman"/>
          <w:lang w:val="da-DK"/>
        </w:rPr>
        <w:t xml:space="preserve"> skal du kontakte din læge.</w:t>
      </w:r>
    </w:p>
    <w:p w14:paraId="26F35107"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F78491D"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Trafik- og arbejdssikkerhed</w:t>
      </w:r>
    </w:p>
    <w:p w14:paraId="2499D9FE"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kan blive svimmel eller søvnig eller få sløret syn, mens du tager dette lægemiddel. Hvis dette sker, bør du ikke køre bil eller bruge værktøj og maskiner, før du føler dig godt tilpas igen.</w:t>
      </w:r>
    </w:p>
    <w:p w14:paraId="3D4CB3CC"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429A80BC"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indeholder lecithin (soya)</w:t>
      </w:r>
    </w:p>
    <w:p w14:paraId="3C498E27"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må ikke tage dette lægemiddel, hvis du er allergisk over for jordnødder eller soya.</w:t>
      </w:r>
    </w:p>
    <w:p w14:paraId="6CDF508C"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4E21F7A8" w14:textId="77777777" w:rsidR="00CC19F7" w:rsidRPr="00AA499E" w:rsidRDefault="00CC19F7" w:rsidP="00CC19F7">
      <w:pPr>
        <w:autoSpaceDE w:val="0"/>
        <w:autoSpaceDN w:val="0"/>
        <w:adjustRightInd w:val="0"/>
        <w:spacing w:after="0" w:line="240" w:lineRule="auto"/>
        <w:rPr>
          <w:rFonts w:ascii="Times New Roman" w:hAnsi="Times New Roman"/>
          <w:b/>
          <w:lang w:val="da-DK"/>
        </w:rPr>
      </w:pPr>
      <w:r w:rsidRPr="00AA499E">
        <w:rPr>
          <w:rFonts w:ascii="Times New Roman" w:hAnsi="Times New Roman"/>
          <w:b/>
          <w:lang w:val="da-DK"/>
        </w:rPr>
        <w:t>Imatinib Actavis indeholder natrium</w:t>
      </w:r>
    </w:p>
    <w:p w14:paraId="0826B7FC" w14:textId="77777777" w:rsidR="00CC19F7" w:rsidRPr="00AA499E" w:rsidRDefault="00CC19F7" w:rsidP="00CC19F7">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Dette lægemiddel indeholder mindre end 1 mmol (23 mg) natrium pr. filmovertrukket tablet, dvs. det er i det væsentlige natrium-frit.</w:t>
      </w:r>
    </w:p>
    <w:p w14:paraId="506CEAC1" w14:textId="77777777" w:rsidR="004B4557" w:rsidRPr="00AA499E" w:rsidRDefault="004B4557" w:rsidP="00CC19F7">
      <w:pPr>
        <w:autoSpaceDE w:val="0"/>
        <w:autoSpaceDN w:val="0"/>
        <w:adjustRightInd w:val="0"/>
        <w:spacing w:after="0" w:line="240" w:lineRule="auto"/>
        <w:rPr>
          <w:rFonts w:ascii="Times New Roman" w:hAnsi="Times New Roman"/>
          <w:lang w:val="da-DK"/>
        </w:rPr>
      </w:pPr>
    </w:p>
    <w:p w14:paraId="7D76CE65"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1D8E231"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lastRenderedPageBreak/>
        <w:t>3.</w:t>
      </w:r>
      <w:r w:rsidRPr="00AA499E">
        <w:rPr>
          <w:rFonts w:ascii="Times New Roman" w:hAnsi="Times New Roman"/>
          <w:b/>
          <w:bCs/>
          <w:lang w:val="da-DK"/>
        </w:rPr>
        <w:tab/>
        <w:t>Sådan skal du tage Imatinib Actavis</w:t>
      </w:r>
    </w:p>
    <w:p w14:paraId="086A420D"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F74B4CD"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har udskrevet Imatinib Actavis, fordi du lider af en alvorlig sygdom. Imatinib Actavis kan hjælpe dig med at bekæmpe denne tilstand.</w:t>
      </w:r>
    </w:p>
    <w:p w14:paraId="6B4912A2"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D5CBBEC"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Tag altid dette lægemiddel nøjagtigt efter lægens eller apotekspersonalets anvisning. Det er vigtigt, at du tager det så længe, lægen eller apotekspersonalet fortæller dig, at du skal. Er du i tvivl, så spørg lægen eller på apoteket.</w:t>
      </w:r>
    </w:p>
    <w:p w14:paraId="19A23C4E"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FF041A4"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Du må ikke stoppe med at tage Imatinib Actavis, medmindre din læge fortæller dig det. Hvis du ikke er i stand til at tage medicinen, som din læge har foreskrevet, eller hvis du føler, at du ikke længere behøver den, skal du kontakte din læge med det samme.</w:t>
      </w:r>
    </w:p>
    <w:p w14:paraId="3F133175"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E5D192A"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Den sædvanlige dosis af Imatinib Actavis er</w:t>
      </w:r>
    </w:p>
    <w:p w14:paraId="349B3AEC"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42304155"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Brug til voksne</w:t>
      </w:r>
    </w:p>
    <w:p w14:paraId="50472C4D"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Din læge vil fortælle dig, præcis hvor mange Imatinib Actavis-</w:t>
      </w:r>
      <w:r w:rsidR="0038010C" w:rsidRPr="00AA499E">
        <w:rPr>
          <w:rFonts w:ascii="Times New Roman" w:hAnsi="Times New Roman"/>
          <w:lang w:val="da-DK"/>
        </w:rPr>
        <w:t>tabletter</w:t>
      </w:r>
      <w:r w:rsidRPr="00AA499E">
        <w:rPr>
          <w:rFonts w:ascii="Times New Roman" w:hAnsi="Times New Roman"/>
          <w:lang w:val="da-DK"/>
        </w:rPr>
        <w:t>, du skal tage.</w:t>
      </w:r>
    </w:p>
    <w:p w14:paraId="557B5851" w14:textId="77777777" w:rsidR="000C7698" w:rsidRPr="00AA499E" w:rsidRDefault="000C7698" w:rsidP="001F716D">
      <w:pPr>
        <w:autoSpaceDE w:val="0"/>
        <w:autoSpaceDN w:val="0"/>
        <w:adjustRightInd w:val="0"/>
        <w:spacing w:after="0" w:line="240" w:lineRule="auto"/>
        <w:rPr>
          <w:rFonts w:ascii="Times New Roman" w:hAnsi="Times New Roman"/>
          <w:lang w:val="da-DK"/>
        </w:rPr>
      </w:pPr>
    </w:p>
    <w:p w14:paraId="77F80D2A" w14:textId="77777777" w:rsidR="009822BB" w:rsidRPr="00AA499E" w:rsidRDefault="009822BB" w:rsidP="009822BB">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er i behandling for CML: </w:t>
      </w:r>
    </w:p>
    <w:p w14:paraId="021DFA20" w14:textId="77777777" w:rsidR="001F716D" w:rsidRPr="00AA499E" w:rsidRDefault="001F716D" w:rsidP="006D6672">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w:t>
      </w:r>
      <w:r w:rsidR="009822BB" w:rsidRPr="00AA499E">
        <w:rPr>
          <w:rFonts w:ascii="Times New Roman" w:hAnsi="Times New Roman"/>
          <w:lang w:val="da-DK"/>
        </w:rPr>
        <w:t xml:space="preserve">sædvanlige </w:t>
      </w:r>
      <w:r w:rsidRPr="00AA499E">
        <w:rPr>
          <w:rFonts w:ascii="Times New Roman" w:hAnsi="Times New Roman"/>
          <w:lang w:val="da-DK"/>
        </w:rPr>
        <w:t xml:space="preserve">startdosis er </w:t>
      </w:r>
      <w:r w:rsidRPr="00AA499E">
        <w:rPr>
          <w:rFonts w:ascii="Times New Roman" w:hAnsi="Times New Roman"/>
          <w:bCs/>
          <w:lang w:val="da-DK"/>
        </w:rPr>
        <w:t>600 mg,</w:t>
      </w:r>
      <w:r w:rsidRPr="00AA499E">
        <w:rPr>
          <w:rFonts w:ascii="Times New Roman" w:hAnsi="Times New Roman"/>
          <w:b/>
          <w:bCs/>
          <w:lang w:val="da-DK"/>
        </w:rPr>
        <w:t xml:space="preserve"> </w:t>
      </w:r>
      <w:r w:rsidRPr="00AA499E">
        <w:rPr>
          <w:rFonts w:ascii="Times New Roman" w:hAnsi="Times New Roman"/>
          <w:lang w:val="da-DK"/>
        </w:rPr>
        <w:t xml:space="preserve">som skal tages som én tablet på 400 mg og 2 tabletter på 100 mg </w:t>
      </w:r>
      <w:r w:rsidRPr="00AA499E">
        <w:rPr>
          <w:rFonts w:ascii="Times New Roman" w:hAnsi="Times New Roman"/>
          <w:b/>
          <w:bCs/>
          <w:lang w:val="da-DK"/>
        </w:rPr>
        <w:t xml:space="preserve">én gang </w:t>
      </w:r>
      <w:r w:rsidRPr="00AA499E">
        <w:rPr>
          <w:rFonts w:ascii="Times New Roman" w:hAnsi="Times New Roman"/>
          <w:lang w:val="da-DK"/>
        </w:rPr>
        <w:t>daglig.</w:t>
      </w:r>
    </w:p>
    <w:p w14:paraId="53114676" w14:textId="77777777" w:rsidR="001F716D" w:rsidRPr="00AA499E" w:rsidRDefault="001F716D" w:rsidP="00C316BC">
      <w:pPr>
        <w:autoSpaceDE w:val="0"/>
        <w:autoSpaceDN w:val="0"/>
        <w:adjustRightInd w:val="0"/>
        <w:spacing w:after="0" w:line="240" w:lineRule="auto"/>
        <w:rPr>
          <w:rFonts w:ascii="Times New Roman" w:hAnsi="Times New Roman"/>
          <w:lang w:val="da-DK"/>
        </w:rPr>
      </w:pPr>
    </w:p>
    <w:p w14:paraId="58C8F67C"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Din læge kan foreskrive højere eller lavere dosis afhængigt af, hvordan du reagerer på behandlingen. Hvis din daglige dosis er 800 mg (2 </w:t>
      </w:r>
      <w:r w:rsidR="00541F41" w:rsidRPr="00AA499E">
        <w:rPr>
          <w:rFonts w:ascii="Times New Roman" w:hAnsi="Times New Roman"/>
          <w:lang w:val="da-DK"/>
        </w:rPr>
        <w:t>tabletter</w:t>
      </w:r>
      <w:r w:rsidRPr="00AA499E">
        <w:rPr>
          <w:rFonts w:ascii="Times New Roman" w:hAnsi="Times New Roman"/>
          <w:lang w:val="da-DK"/>
        </w:rPr>
        <w:t xml:space="preserve">), skal du tage 1 </w:t>
      </w:r>
      <w:r w:rsidR="00541F41" w:rsidRPr="00AA499E">
        <w:rPr>
          <w:rFonts w:ascii="Times New Roman" w:hAnsi="Times New Roman"/>
          <w:lang w:val="da-DK"/>
        </w:rPr>
        <w:t xml:space="preserve">tablet </w:t>
      </w:r>
      <w:r w:rsidRPr="00AA499E">
        <w:rPr>
          <w:rFonts w:ascii="Times New Roman" w:hAnsi="Times New Roman"/>
          <w:lang w:val="da-DK"/>
        </w:rPr>
        <w:t xml:space="preserve">om morgenen og 1 </w:t>
      </w:r>
      <w:r w:rsidR="00541F41" w:rsidRPr="00AA499E">
        <w:rPr>
          <w:rFonts w:ascii="Times New Roman" w:hAnsi="Times New Roman"/>
          <w:lang w:val="da-DK"/>
        </w:rPr>
        <w:t xml:space="preserve">tablet </w:t>
      </w:r>
      <w:r w:rsidRPr="00AA499E">
        <w:rPr>
          <w:rFonts w:ascii="Times New Roman" w:hAnsi="Times New Roman"/>
          <w:lang w:val="da-DK"/>
        </w:rPr>
        <w:t>om aftenen</w:t>
      </w:r>
      <w:r w:rsidR="009822BB" w:rsidRPr="00AA499E">
        <w:rPr>
          <w:rFonts w:ascii="Times New Roman" w:hAnsi="Times New Roman"/>
          <w:lang w:val="da-DK"/>
        </w:rPr>
        <w:t>.</w:t>
      </w:r>
    </w:p>
    <w:p w14:paraId="30A4C6D1" w14:textId="77777777" w:rsidR="009822BB" w:rsidRPr="00AA499E" w:rsidRDefault="009822BB" w:rsidP="001F716D">
      <w:pPr>
        <w:autoSpaceDE w:val="0"/>
        <w:autoSpaceDN w:val="0"/>
        <w:adjustRightInd w:val="0"/>
        <w:spacing w:after="0" w:line="240" w:lineRule="auto"/>
        <w:rPr>
          <w:rFonts w:ascii="Times New Roman" w:hAnsi="Times New Roman"/>
          <w:lang w:val="da-DK"/>
        </w:rPr>
      </w:pPr>
    </w:p>
    <w:p w14:paraId="3C6C1C9D" w14:textId="77777777" w:rsidR="009822BB" w:rsidRPr="00AA499E" w:rsidRDefault="009822BB" w:rsidP="009822BB">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Ph-positiv ALL: </w:t>
      </w:r>
    </w:p>
    <w:p w14:paraId="1A9280F7" w14:textId="77777777" w:rsidR="009822BB" w:rsidRPr="00AA499E" w:rsidRDefault="009822BB" w:rsidP="00063A26">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600 mg, som skal tages som én tablet på 400 mg og 2 tabletter på 100 mg </w:t>
      </w:r>
      <w:r w:rsidRPr="00AA499E">
        <w:rPr>
          <w:rFonts w:ascii="Times New Roman" w:hAnsi="Times New Roman"/>
          <w:b/>
          <w:bCs/>
          <w:lang w:val="da-DK"/>
        </w:rPr>
        <w:t xml:space="preserve">én gang </w:t>
      </w:r>
      <w:r w:rsidRPr="00AA499E">
        <w:rPr>
          <w:rFonts w:ascii="Times New Roman" w:hAnsi="Times New Roman"/>
          <w:lang w:val="da-DK"/>
        </w:rPr>
        <w:t>daglig.</w:t>
      </w:r>
    </w:p>
    <w:p w14:paraId="016A339D" w14:textId="77777777" w:rsidR="009822BB" w:rsidRPr="00AA499E" w:rsidRDefault="009822BB" w:rsidP="009822BB">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 </w:t>
      </w:r>
    </w:p>
    <w:p w14:paraId="624AC422" w14:textId="77777777" w:rsidR="009822BB" w:rsidRPr="00AA499E" w:rsidRDefault="009822BB" w:rsidP="009822BB">
      <w:pPr>
        <w:numPr>
          <w:ilvl w:val="0"/>
          <w:numId w:val="24"/>
        </w:num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 xml:space="preserve">Hvis du behandles for MDS/MPD: </w:t>
      </w:r>
    </w:p>
    <w:p w14:paraId="69532BBC" w14:textId="77777777" w:rsidR="009822BB" w:rsidRPr="00AA499E" w:rsidRDefault="009822BB" w:rsidP="009822BB">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 xml:space="preserve">Startdosis er 400 mg, som skal tages som én tablet </w:t>
      </w:r>
      <w:r w:rsidRPr="00AA499E">
        <w:rPr>
          <w:rFonts w:ascii="Times New Roman" w:hAnsi="Times New Roman"/>
          <w:b/>
          <w:bCs/>
          <w:lang w:val="da-DK"/>
        </w:rPr>
        <w:t xml:space="preserve">én gang </w:t>
      </w:r>
      <w:r w:rsidRPr="00AA499E">
        <w:rPr>
          <w:rFonts w:ascii="Times New Roman" w:hAnsi="Times New Roman"/>
          <w:lang w:val="da-DK"/>
        </w:rPr>
        <w:t>daglig.</w:t>
      </w:r>
    </w:p>
    <w:p w14:paraId="36C1B95E" w14:textId="77777777" w:rsidR="009822BB" w:rsidRPr="00AA499E" w:rsidRDefault="009822BB" w:rsidP="009822BB">
      <w:pPr>
        <w:autoSpaceDE w:val="0"/>
        <w:autoSpaceDN w:val="0"/>
        <w:adjustRightInd w:val="0"/>
        <w:spacing w:after="0" w:line="240" w:lineRule="auto"/>
        <w:rPr>
          <w:rFonts w:ascii="Times New Roman" w:hAnsi="Times New Roman"/>
          <w:lang w:val="da-DK"/>
        </w:rPr>
      </w:pPr>
    </w:p>
    <w:p w14:paraId="40F11E78" w14:textId="77777777" w:rsidR="009822BB" w:rsidRPr="00AA499E" w:rsidRDefault="009822BB" w:rsidP="009822BB">
      <w:pPr>
        <w:numPr>
          <w:ilvl w:val="0"/>
          <w:numId w:val="24"/>
        </w:numPr>
        <w:autoSpaceDE w:val="0"/>
        <w:autoSpaceDN w:val="0"/>
        <w:adjustRightInd w:val="0"/>
        <w:spacing w:after="0" w:line="240" w:lineRule="auto"/>
        <w:ind w:left="567" w:hanging="567"/>
        <w:rPr>
          <w:rFonts w:ascii="Times New Roman" w:hAnsi="Times New Roman"/>
          <w:color w:val="000000"/>
          <w:lang w:val="da-DK" w:eastAsia="is-IS"/>
        </w:rPr>
      </w:pPr>
      <w:r w:rsidRPr="00AA499E">
        <w:rPr>
          <w:rFonts w:ascii="Times New Roman" w:hAnsi="Times New Roman"/>
          <w:b/>
          <w:bCs/>
          <w:color w:val="000000"/>
          <w:lang w:val="da-DK" w:eastAsia="is-IS"/>
        </w:rPr>
        <w:t xml:space="preserve">Hvis du behandles for HES/CEL: </w:t>
      </w:r>
    </w:p>
    <w:p w14:paraId="7D2ABAD4" w14:textId="77777777" w:rsidR="009822BB" w:rsidRPr="00AA499E" w:rsidRDefault="009822BB" w:rsidP="009822BB">
      <w:pPr>
        <w:autoSpaceDE w:val="0"/>
        <w:autoSpaceDN w:val="0"/>
        <w:adjustRightInd w:val="0"/>
        <w:spacing w:after="0" w:line="240" w:lineRule="auto"/>
        <w:ind w:left="567"/>
        <w:rPr>
          <w:rFonts w:ascii="Times New Roman" w:hAnsi="Times New Roman"/>
          <w:color w:val="000000"/>
          <w:lang w:val="da-DK" w:eastAsia="is-IS"/>
        </w:rPr>
      </w:pPr>
      <w:r w:rsidRPr="00AA499E">
        <w:rPr>
          <w:rFonts w:ascii="Times New Roman" w:hAnsi="Times New Roman"/>
          <w:color w:val="000000"/>
          <w:lang w:val="da-DK" w:eastAsia="is-IS"/>
        </w:rPr>
        <w:t xml:space="preserve">Startdosis er 100 mg, som skal tages som </w:t>
      </w:r>
      <w:r w:rsidR="000D2754" w:rsidRPr="00AA499E">
        <w:rPr>
          <w:rFonts w:ascii="Times New Roman" w:hAnsi="Times New Roman"/>
          <w:lang w:val="da-DK"/>
        </w:rPr>
        <w:t xml:space="preserve">én tablet på 100 mg </w:t>
      </w:r>
      <w:r w:rsidRPr="00AA499E">
        <w:rPr>
          <w:rFonts w:ascii="Times New Roman" w:hAnsi="Times New Roman"/>
          <w:b/>
          <w:bCs/>
          <w:color w:val="000000"/>
          <w:lang w:val="da-DK" w:eastAsia="is-IS"/>
        </w:rPr>
        <w:t xml:space="preserve">én gang </w:t>
      </w:r>
      <w:r w:rsidRPr="00AA499E">
        <w:rPr>
          <w:rFonts w:ascii="Times New Roman" w:hAnsi="Times New Roman"/>
          <w:color w:val="000000"/>
          <w:lang w:val="da-DK" w:eastAsia="is-IS"/>
        </w:rPr>
        <w:t xml:space="preserve">daglig. Din læge kan beslutte at øge dosis til 400 mg, som skal tages som </w:t>
      </w:r>
      <w:r w:rsidR="000D2754" w:rsidRPr="00AA499E">
        <w:rPr>
          <w:rFonts w:ascii="Times New Roman" w:hAnsi="Times New Roman"/>
          <w:lang w:val="da-DK"/>
        </w:rPr>
        <w:t>én tablet på 400 mg</w:t>
      </w:r>
      <w:r w:rsidRPr="00AA499E">
        <w:rPr>
          <w:rFonts w:ascii="Times New Roman" w:hAnsi="Times New Roman"/>
          <w:color w:val="000000"/>
          <w:lang w:val="da-DK" w:eastAsia="is-IS"/>
        </w:rPr>
        <w:t xml:space="preserve"> </w:t>
      </w:r>
      <w:r w:rsidRPr="00AA499E">
        <w:rPr>
          <w:rFonts w:ascii="Times New Roman" w:hAnsi="Times New Roman"/>
          <w:b/>
          <w:bCs/>
          <w:color w:val="000000"/>
          <w:lang w:val="da-DK" w:eastAsia="is-IS"/>
        </w:rPr>
        <w:t xml:space="preserve">én gang </w:t>
      </w:r>
      <w:r w:rsidRPr="00AA499E">
        <w:rPr>
          <w:rFonts w:ascii="Times New Roman" w:hAnsi="Times New Roman"/>
          <w:color w:val="000000"/>
          <w:lang w:val="da-DK" w:eastAsia="is-IS"/>
        </w:rPr>
        <w:t xml:space="preserve">daglig afhængig af, hvordan du responderer på behandlingen. </w:t>
      </w:r>
    </w:p>
    <w:p w14:paraId="6B4E6407" w14:textId="77777777" w:rsidR="009822BB" w:rsidRPr="00AA499E" w:rsidRDefault="009822BB" w:rsidP="009822BB">
      <w:pPr>
        <w:autoSpaceDE w:val="0"/>
        <w:autoSpaceDN w:val="0"/>
        <w:adjustRightInd w:val="0"/>
        <w:spacing w:after="0" w:line="240" w:lineRule="auto"/>
        <w:rPr>
          <w:rFonts w:ascii="Times New Roman" w:hAnsi="Times New Roman"/>
          <w:color w:val="000000"/>
          <w:lang w:val="da-DK" w:eastAsia="is-IS"/>
        </w:rPr>
      </w:pPr>
    </w:p>
    <w:p w14:paraId="39605B0D" w14:textId="77777777" w:rsidR="009822BB" w:rsidRPr="00AA499E" w:rsidRDefault="009822BB" w:rsidP="009822BB">
      <w:pPr>
        <w:numPr>
          <w:ilvl w:val="0"/>
          <w:numId w:val="24"/>
        </w:numPr>
        <w:autoSpaceDE w:val="0"/>
        <w:autoSpaceDN w:val="0"/>
        <w:adjustRightInd w:val="0"/>
        <w:spacing w:after="0" w:line="240" w:lineRule="auto"/>
        <w:ind w:left="567" w:hanging="567"/>
        <w:rPr>
          <w:rFonts w:ascii="Times New Roman" w:hAnsi="Times New Roman"/>
          <w:color w:val="000000"/>
          <w:lang w:val="da-DK" w:eastAsia="is-IS"/>
        </w:rPr>
      </w:pPr>
      <w:r w:rsidRPr="00AA499E">
        <w:rPr>
          <w:rFonts w:ascii="Times New Roman" w:hAnsi="Times New Roman"/>
          <w:b/>
          <w:bCs/>
          <w:color w:val="000000"/>
          <w:lang w:val="da-DK" w:eastAsia="is-IS"/>
        </w:rPr>
        <w:t xml:space="preserve">Hvis du behandles for DSFP: </w:t>
      </w:r>
    </w:p>
    <w:p w14:paraId="4091DAF6" w14:textId="77777777" w:rsidR="009822BB" w:rsidRPr="00AA499E" w:rsidRDefault="009822BB" w:rsidP="009822BB">
      <w:pPr>
        <w:autoSpaceDE w:val="0"/>
        <w:autoSpaceDN w:val="0"/>
        <w:adjustRightInd w:val="0"/>
        <w:spacing w:after="0" w:line="240" w:lineRule="auto"/>
        <w:ind w:left="567"/>
        <w:rPr>
          <w:rFonts w:ascii="Times New Roman" w:hAnsi="Times New Roman"/>
          <w:lang w:val="da-DK"/>
        </w:rPr>
      </w:pPr>
      <w:r w:rsidRPr="00AA499E">
        <w:rPr>
          <w:rFonts w:ascii="Times New Roman" w:hAnsi="Times New Roman"/>
          <w:lang w:val="da-DK"/>
        </w:rPr>
        <w:t>Dos</w:t>
      </w:r>
      <w:r w:rsidR="000D2754" w:rsidRPr="00AA499E">
        <w:rPr>
          <w:rFonts w:ascii="Times New Roman" w:hAnsi="Times New Roman"/>
          <w:lang w:val="da-DK"/>
        </w:rPr>
        <w:t>is er 800 mg pr. dag (2 tabletter</w:t>
      </w:r>
      <w:r w:rsidRPr="00AA499E">
        <w:rPr>
          <w:rFonts w:ascii="Times New Roman" w:hAnsi="Times New Roman"/>
          <w:lang w:val="da-DK"/>
        </w:rPr>
        <w:t xml:space="preserve">). Du skal tage </w:t>
      </w:r>
      <w:r w:rsidR="000D2754" w:rsidRPr="00AA499E">
        <w:rPr>
          <w:rFonts w:ascii="Times New Roman" w:hAnsi="Times New Roman"/>
          <w:lang w:val="da-DK"/>
        </w:rPr>
        <w:t xml:space="preserve">én tablet </w:t>
      </w:r>
      <w:r w:rsidRPr="00AA499E">
        <w:rPr>
          <w:rFonts w:ascii="Times New Roman" w:hAnsi="Times New Roman"/>
          <w:lang w:val="da-DK"/>
        </w:rPr>
        <w:t xml:space="preserve">om morgenen og </w:t>
      </w:r>
      <w:r w:rsidR="000D2754" w:rsidRPr="00AA499E">
        <w:rPr>
          <w:rFonts w:ascii="Times New Roman" w:hAnsi="Times New Roman"/>
          <w:lang w:val="da-DK"/>
        </w:rPr>
        <w:t xml:space="preserve">én tablet </w:t>
      </w:r>
      <w:r w:rsidRPr="00AA499E">
        <w:rPr>
          <w:rFonts w:ascii="Times New Roman" w:hAnsi="Times New Roman"/>
          <w:lang w:val="da-DK"/>
        </w:rPr>
        <w:t>om aftenen.</w:t>
      </w:r>
    </w:p>
    <w:p w14:paraId="3689F605"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5AFF1CF"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Brug til børn og </w:t>
      </w:r>
      <w:r w:rsidR="00406109" w:rsidRPr="00AA499E">
        <w:rPr>
          <w:rFonts w:ascii="Times New Roman" w:hAnsi="Times New Roman"/>
          <w:b/>
          <w:bCs/>
          <w:lang w:val="da-DK"/>
        </w:rPr>
        <w:t>unge</w:t>
      </w:r>
    </w:p>
    <w:p w14:paraId="29DC83CB" w14:textId="77777777" w:rsidR="001C4DE3"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Lægen vil fortælle dig, hvor mange Imatinib Actavis-</w:t>
      </w:r>
      <w:r w:rsidR="0038010C" w:rsidRPr="00AA499E">
        <w:rPr>
          <w:rFonts w:ascii="Times New Roman" w:hAnsi="Times New Roman"/>
          <w:lang w:val="da-DK"/>
        </w:rPr>
        <w:t>tabletter</w:t>
      </w:r>
      <w:r w:rsidRPr="00AA499E">
        <w:rPr>
          <w:rFonts w:ascii="Times New Roman" w:hAnsi="Times New Roman"/>
          <w:lang w:val="da-DK"/>
        </w:rPr>
        <w:t>, du skal give dit barn. Antallet af Imatinib Actavis-</w:t>
      </w:r>
      <w:r w:rsidR="00143DCE" w:rsidRPr="00AA499E">
        <w:rPr>
          <w:rFonts w:ascii="Times New Roman" w:hAnsi="Times New Roman"/>
          <w:lang w:val="da-DK"/>
        </w:rPr>
        <w:t>tabletter</w:t>
      </w:r>
      <w:r w:rsidRPr="00AA499E">
        <w:rPr>
          <w:rFonts w:ascii="Times New Roman" w:hAnsi="Times New Roman"/>
          <w:lang w:val="da-DK"/>
        </w:rPr>
        <w:t xml:space="preserve"> afhænger af barnets tilstand, kropsvægt og højde. </w:t>
      </w:r>
    </w:p>
    <w:p w14:paraId="0BB8C450" w14:textId="77777777" w:rsidR="001F716D" w:rsidRPr="00AA499E" w:rsidRDefault="009770BB"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Den totale daglige dosis til børn må ikke overstige 800 mg for CML-patienter og 600 mg for Ph+ALL-patienter. </w:t>
      </w:r>
      <w:r w:rsidR="001F716D" w:rsidRPr="00AA499E">
        <w:rPr>
          <w:rFonts w:ascii="Times New Roman" w:hAnsi="Times New Roman"/>
          <w:lang w:val="da-DK"/>
        </w:rPr>
        <w:t>Behandlingen kan enten gives til dit barn som én daglig dosis, eller alternativt kan den daglige dosis deles og gives to gange (halvdelen om morgenen og den anden halvdel om aftenen).</w:t>
      </w:r>
    </w:p>
    <w:p w14:paraId="4A4FE211"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5A07812"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Hvornår og hvordan skal du tage Imatinib Actavis</w:t>
      </w:r>
    </w:p>
    <w:p w14:paraId="282B38D6"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
          <w:bCs/>
          <w:lang w:val="da-DK"/>
        </w:rPr>
        <w:t xml:space="preserve">Tag Imatinib Actavis sammen med et måltid. </w:t>
      </w:r>
      <w:r w:rsidRPr="00AA499E">
        <w:rPr>
          <w:rFonts w:ascii="Times New Roman" w:hAnsi="Times New Roman"/>
          <w:lang w:val="da-DK"/>
        </w:rPr>
        <w:t>Dette vil hjælpe med at beskytte dig mod maveproblemer, når du tager Imatinib Actavis.</w:t>
      </w:r>
    </w:p>
    <w:p w14:paraId="1D302B9B" w14:textId="77777777" w:rsidR="001F716D" w:rsidRPr="00AA499E" w:rsidRDefault="001F716D" w:rsidP="001F716D">
      <w:pPr>
        <w:pStyle w:val="KeinLeerraum"/>
        <w:rPr>
          <w:rFonts w:ascii="Times New Roman" w:hAnsi="Times New Roman"/>
          <w:highlight w:val="lightGray"/>
          <w:lang w:val="da-DK"/>
        </w:rPr>
      </w:pPr>
    </w:p>
    <w:p w14:paraId="5C05A62F"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
          <w:bCs/>
          <w:lang w:val="da-DK"/>
        </w:rPr>
        <w:t xml:space="preserve">Synk </w:t>
      </w:r>
      <w:r w:rsidR="00541F41" w:rsidRPr="00AA499E">
        <w:rPr>
          <w:rFonts w:ascii="Times New Roman" w:hAnsi="Times New Roman"/>
          <w:b/>
          <w:bCs/>
          <w:lang w:val="da-DK"/>
        </w:rPr>
        <w:t xml:space="preserve">tabletterne </w:t>
      </w:r>
      <w:r w:rsidRPr="00AA499E">
        <w:rPr>
          <w:rFonts w:ascii="Times New Roman" w:hAnsi="Times New Roman"/>
          <w:b/>
          <w:bCs/>
          <w:lang w:val="da-DK"/>
        </w:rPr>
        <w:t xml:space="preserve">hele med et stort glas vand. </w:t>
      </w:r>
    </w:p>
    <w:p w14:paraId="5FC540D9"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Delekærven skal ikke bruges til at brække tabletten.</w:t>
      </w:r>
    </w:p>
    <w:p w14:paraId="2D55B4A0" w14:textId="77777777" w:rsidR="001F716D" w:rsidRPr="00AA499E" w:rsidRDefault="001F716D" w:rsidP="001F716D">
      <w:pPr>
        <w:widowControl w:val="0"/>
        <w:autoSpaceDE w:val="0"/>
        <w:autoSpaceDN w:val="0"/>
        <w:adjustRightInd w:val="0"/>
        <w:spacing w:after="0" w:line="240" w:lineRule="auto"/>
        <w:ind w:right="-20"/>
        <w:rPr>
          <w:rFonts w:ascii="Times New Roman" w:hAnsi="Times New Roman"/>
          <w:lang w:val="da-DK"/>
        </w:rPr>
      </w:pPr>
    </w:p>
    <w:p w14:paraId="4BFF3843" w14:textId="77777777" w:rsidR="001F716D" w:rsidRPr="00AA499E" w:rsidRDefault="001F716D" w:rsidP="001F716D">
      <w:pPr>
        <w:widowControl w:val="0"/>
        <w:autoSpaceDE w:val="0"/>
        <w:autoSpaceDN w:val="0"/>
        <w:adjustRightInd w:val="0"/>
        <w:spacing w:after="0" w:line="240" w:lineRule="auto"/>
        <w:ind w:right="-20"/>
        <w:rPr>
          <w:rFonts w:ascii="Times New Roman" w:hAnsi="Times New Roman"/>
          <w:lang w:val="da-DK"/>
        </w:rPr>
      </w:pPr>
      <w:r w:rsidRPr="00AA499E">
        <w:rPr>
          <w:rFonts w:ascii="Times New Roman" w:hAnsi="Times New Roman"/>
          <w:lang w:val="da-DK"/>
        </w:rPr>
        <w:t xml:space="preserve">Hvis du ikke er i stand til at synke </w:t>
      </w:r>
      <w:r w:rsidR="00541F41" w:rsidRPr="00AA499E">
        <w:rPr>
          <w:rFonts w:ascii="Times New Roman" w:hAnsi="Times New Roman"/>
          <w:lang w:val="da-DK"/>
        </w:rPr>
        <w:t>tabletterne</w:t>
      </w:r>
      <w:r w:rsidRPr="00AA499E">
        <w:rPr>
          <w:rFonts w:ascii="Times New Roman" w:hAnsi="Times New Roman"/>
          <w:lang w:val="da-DK"/>
        </w:rPr>
        <w:t xml:space="preserve">, kan du opløse </w:t>
      </w:r>
      <w:r w:rsidR="00541F41" w:rsidRPr="00AA499E">
        <w:rPr>
          <w:rFonts w:ascii="Times New Roman" w:hAnsi="Times New Roman"/>
          <w:lang w:val="da-DK"/>
        </w:rPr>
        <w:t xml:space="preserve">dem </w:t>
      </w:r>
      <w:r w:rsidRPr="00AA499E">
        <w:rPr>
          <w:rFonts w:ascii="Times New Roman" w:hAnsi="Times New Roman"/>
          <w:lang w:val="da-DK"/>
        </w:rPr>
        <w:t xml:space="preserve">i et glas almindeligt </w:t>
      </w:r>
      <w:r w:rsidR="0083696B" w:rsidRPr="00AA499E">
        <w:rPr>
          <w:rFonts w:ascii="Times New Roman" w:hAnsi="Times New Roman"/>
          <w:lang w:val="da-DK"/>
        </w:rPr>
        <w:t xml:space="preserve">eller mineral </w:t>
      </w:r>
      <w:r w:rsidRPr="00AA499E">
        <w:rPr>
          <w:rFonts w:ascii="Times New Roman" w:hAnsi="Times New Roman"/>
          <w:lang w:val="da-DK"/>
        </w:rPr>
        <w:t>vand eller æblejuice.</w:t>
      </w:r>
    </w:p>
    <w:p w14:paraId="191E4FE3" w14:textId="77777777" w:rsidR="001F716D" w:rsidRPr="00AA499E" w:rsidRDefault="001F716D" w:rsidP="001F716D">
      <w:pPr>
        <w:widowControl w:val="0"/>
        <w:tabs>
          <w:tab w:val="left" w:pos="567"/>
          <w:tab w:val="left" w:pos="680"/>
        </w:tabs>
        <w:autoSpaceDE w:val="0"/>
        <w:autoSpaceDN w:val="0"/>
        <w:adjustRightInd w:val="0"/>
        <w:spacing w:before="20" w:after="0" w:line="240" w:lineRule="auto"/>
        <w:ind w:right="-20"/>
        <w:rPr>
          <w:rFonts w:ascii="Times New Roman" w:hAnsi="Times New Roman"/>
          <w:lang w:val="da-DK"/>
        </w:rPr>
      </w:pPr>
      <w:r w:rsidRPr="00AA499E">
        <w:rPr>
          <w:rFonts w:ascii="Times New Roman" w:hAnsi="Times New Roman"/>
          <w:lang w:val="da-DK"/>
        </w:rPr>
        <w:tab/>
        <w:t>Brug ca. 200 ml til hver 400 mg tablet.</w:t>
      </w:r>
    </w:p>
    <w:p w14:paraId="3AEB805F" w14:textId="77777777" w:rsidR="001F716D" w:rsidRPr="00AA499E" w:rsidRDefault="001F716D" w:rsidP="001F716D">
      <w:pPr>
        <w:widowControl w:val="0"/>
        <w:tabs>
          <w:tab w:val="left" w:pos="567"/>
          <w:tab w:val="left" w:pos="680"/>
        </w:tabs>
        <w:autoSpaceDE w:val="0"/>
        <w:autoSpaceDN w:val="0"/>
        <w:adjustRightInd w:val="0"/>
        <w:spacing w:before="20" w:after="0" w:line="240" w:lineRule="auto"/>
        <w:ind w:right="-20"/>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Omrør med en ske indtil tabletterne er opløst fuldstændig.</w:t>
      </w:r>
    </w:p>
    <w:p w14:paraId="77A88C3B"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Når tabletten er opløst, så drik hele glassets indhold med det samme. Spor af de opløste tabletter kan blive tilbage i glasset.</w:t>
      </w:r>
    </w:p>
    <w:p w14:paraId="1818BDD4"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08373461" w14:textId="77777777" w:rsidR="001F716D" w:rsidRPr="00AA499E" w:rsidRDefault="001F716D" w:rsidP="00B007BB">
      <w:pPr>
        <w:keepNext/>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Hvor længe skal du tage Imatinib Actavis</w:t>
      </w:r>
    </w:p>
    <w:p w14:paraId="48E10FDB"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Bliv ved med at tage Imatinib Actavis hver dag, så længe som din læge har foreskevet det.</w:t>
      </w:r>
    </w:p>
    <w:p w14:paraId="7D2A1B3F"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3644628"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taget for meget Imatinib Actavis</w:t>
      </w:r>
    </w:p>
    <w:p w14:paraId="48E4598D"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Hvis du ved et uheld har indtaget for mange tabletter, skal du kontakte din læge </w:t>
      </w:r>
      <w:r w:rsidRPr="00AA499E">
        <w:rPr>
          <w:rFonts w:ascii="Times New Roman" w:hAnsi="Times New Roman"/>
          <w:b/>
          <w:bCs/>
          <w:lang w:val="da-DK"/>
        </w:rPr>
        <w:t>med det samme</w:t>
      </w:r>
      <w:r w:rsidRPr="00AA499E">
        <w:rPr>
          <w:rFonts w:ascii="Times New Roman" w:hAnsi="Times New Roman"/>
          <w:lang w:val="da-DK"/>
        </w:rPr>
        <w:t>. Lægebehandling kan være nødvendig. Tag pakningen med dig.</w:t>
      </w:r>
    </w:p>
    <w:p w14:paraId="7B4C5B13"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3B4ED479"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Hvis du har glemt at tage Imatinib Actavis</w:t>
      </w:r>
    </w:p>
    <w:p w14:paraId="5A3A0770"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glemmer at tage en dosis, så tag den, så snart du kommer i tanke om det. Men hvis det næsten er tid til at tage den næste dosis, skal du springe den glemte dosis over.</w:t>
      </w:r>
    </w:p>
    <w:p w14:paraId="7F3C3996"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Fortsæt derefter med den planlagte dosering.</w:t>
      </w:r>
    </w:p>
    <w:p w14:paraId="447A30E5"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Du må ikke tage en dobbeltdosis som erstatning for den glemte dosis.</w:t>
      </w:r>
    </w:p>
    <w:p w14:paraId="1EB28F58"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p>
    <w:p w14:paraId="4331E7C1" w14:textId="5D1EFC50"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Spørg lægen, på apoteket </w:t>
      </w:r>
      <w:r w:rsidR="006B0B7E" w:rsidRPr="00AA499E">
        <w:rPr>
          <w:rFonts w:ascii="Times New Roman" w:hAnsi="Times New Roman"/>
          <w:lang w:val="da-DK"/>
        </w:rPr>
        <w:t>eller sygeplejersken</w:t>
      </w:r>
      <w:r w:rsidRPr="00AA499E">
        <w:rPr>
          <w:rFonts w:ascii="Times New Roman" w:hAnsi="Times New Roman"/>
          <w:lang w:val="da-DK"/>
        </w:rPr>
        <w:t>, hvis der er noget, du er i tvivl om.</w:t>
      </w:r>
    </w:p>
    <w:p w14:paraId="6C94A736"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1DDFA321"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2781DAAB"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4.</w:t>
      </w:r>
      <w:r w:rsidRPr="00AA499E">
        <w:rPr>
          <w:rFonts w:ascii="Times New Roman" w:hAnsi="Times New Roman"/>
          <w:b/>
          <w:bCs/>
          <w:lang w:val="da-DK"/>
        </w:rPr>
        <w:tab/>
        <w:t>Bivirkninger</w:t>
      </w:r>
    </w:p>
    <w:p w14:paraId="3BAE9602"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33BD93EF" w14:textId="08C26CDF"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Dette lægemiddel kan </w:t>
      </w:r>
      <w:r w:rsidR="0060751F" w:rsidRPr="00AA499E">
        <w:rPr>
          <w:rFonts w:ascii="Times New Roman" w:hAnsi="Times New Roman"/>
          <w:lang w:val="da-DK"/>
        </w:rPr>
        <w:t xml:space="preserve">som </w:t>
      </w:r>
      <w:r w:rsidR="0060751F" w:rsidRPr="009E6986">
        <w:rPr>
          <w:rFonts w:ascii="Times New Roman" w:hAnsi="Times New Roman"/>
          <w:szCs w:val="24"/>
          <w:lang w:val="da-DK"/>
        </w:rPr>
        <w:t>alle andre lægemidler</w:t>
      </w:r>
      <w:r w:rsidR="0060751F" w:rsidRPr="00AA499E" w:rsidDel="0060751F">
        <w:rPr>
          <w:rFonts w:ascii="Times New Roman" w:hAnsi="Times New Roman"/>
          <w:lang w:val="da-DK"/>
        </w:rPr>
        <w:t xml:space="preserve"> </w:t>
      </w:r>
      <w:r w:rsidRPr="00AA499E">
        <w:rPr>
          <w:rFonts w:ascii="Times New Roman" w:hAnsi="Times New Roman"/>
          <w:lang w:val="da-DK"/>
        </w:rPr>
        <w:t>give bivirkninger, men ikke alle får bivirkninger. De er som regel lette til moderate.</w:t>
      </w:r>
    </w:p>
    <w:p w14:paraId="0AE0FD10"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458FBFE"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Nogle bivirkninger kan være alvorlige. Kontakt din læge med det samme, hvis du oplever nogle af de følgende bivirkninger:</w:t>
      </w:r>
    </w:p>
    <w:p w14:paraId="14C82D6C"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E833C4F"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Meget almindelige (</w:t>
      </w:r>
      <w:r w:rsidRPr="00AA499E">
        <w:rPr>
          <w:rFonts w:ascii="Times New Roman" w:hAnsi="Times New Roman"/>
          <w:lang w:val="da-DK"/>
        </w:rPr>
        <w:t>kan forekomme hos flere end 1 ud af 10 mennesker)</w:t>
      </w:r>
      <w:r w:rsidRPr="00AA499E">
        <w:rPr>
          <w:rFonts w:ascii="Times New Roman" w:hAnsi="Times New Roman"/>
          <w:b/>
          <w:bCs/>
          <w:lang w:val="da-DK"/>
        </w:rPr>
        <w:t xml:space="preserve"> eller almindelige (</w:t>
      </w:r>
      <w:r w:rsidRPr="00AA499E">
        <w:rPr>
          <w:rFonts w:ascii="Times New Roman" w:hAnsi="Times New Roman"/>
          <w:lang w:val="da-DK"/>
        </w:rPr>
        <w:t>kan forekomme op til 1 ud af 10 mennesker)</w:t>
      </w:r>
      <w:r w:rsidRPr="00AA499E">
        <w:rPr>
          <w:rFonts w:ascii="Times New Roman" w:hAnsi="Times New Roman"/>
          <w:b/>
          <w:bCs/>
          <w:lang w:val="da-DK"/>
        </w:rPr>
        <w:t>:</w:t>
      </w:r>
    </w:p>
    <w:p w14:paraId="6BAD85C1"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Hurtig vægtøgning. Imatinib Actavis kan forårsage, at din krop begynder at ophobe væske (svær væskeretention).</w:t>
      </w:r>
    </w:p>
    <w:p w14:paraId="7AF11BE5"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Symptomer på infektioner såsom feber, kraftige kulderystelser, ondt i halsen eller sår i munden. Imatinib Actavis kan nedsætte antallet af hvide blodlegemer, så du lettere kan få infektioner.</w:t>
      </w:r>
    </w:p>
    <w:p w14:paraId="0EC817DB"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Hvis du oplever uventede blødninger eller blå mærker (når du ikke er kommet til skade).</w:t>
      </w:r>
    </w:p>
    <w:p w14:paraId="2D47E32F"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39E34583"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almindelige </w:t>
      </w:r>
      <w:r w:rsidRPr="00AA499E">
        <w:rPr>
          <w:rFonts w:ascii="Times New Roman" w:hAnsi="Times New Roman"/>
          <w:lang w:val="da-DK"/>
        </w:rPr>
        <w:t xml:space="preserve">(kan forekomme hos op til 1 ud af 100 mennesker) </w:t>
      </w:r>
      <w:r w:rsidRPr="00AA499E">
        <w:rPr>
          <w:rFonts w:ascii="Times New Roman" w:hAnsi="Times New Roman"/>
          <w:b/>
          <w:bCs/>
          <w:lang w:val="da-DK"/>
        </w:rPr>
        <w:t xml:space="preserve">eller sjældne </w:t>
      </w:r>
      <w:r w:rsidRPr="00AA499E">
        <w:rPr>
          <w:rFonts w:ascii="Times New Roman" w:hAnsi="Times New Roman"/>
          <w:lang w:val="da-DK"/>
        </w:rPr>
        <w:t>(kan forekomme hos op til 1 ud af 1.000 mennesker)</w:t>
      </w:r>
      <w:r w:rsidRPr="00AA499E">
        <w:rPr>
          <w:rFonts w:ascii="Times New Roman" w:hAnsi="Times New Roman"/>
          <w:b/>
          <w:bCs/>
          <w:lang w:val="da-DK"/>
        </w:rPr>
        <w:t>:</w:t>
      </w:r>
    </w:p>
    <w:p w14:paraId="5EEE7859"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Brystsmerter, uregelmæssig hjerterytme (tegn på hjerteproblemer).</w:t>
      </w:r>
    </w:p>
    <w:p w14:paraId="7D8BCC4A"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Hoste, åndedrætsbesvær eller smerter ved vejrtrækning (tegn på lungeproblemer).</w:t>
      </w:r>
    </w:p>
    <w:p w14:paraId="77292A8A"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besvime (tegn på lavt blodtryk).</w:t>
      </w:r>
    </w:p>
    <w:p w14:paraId="0151F37C"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Have kvalme med tab af appetitten, </w:t>
      </w:r>
      <w:r w:rsidR="000D2754" w:rsidRPr="00AA499E">
        <w:rPr>
          <w:rFonts w:ascii="Times New Roman" w:hAnsi="Times New Roman"/>
          <w:lang w:val="da-DK"/>
        </w:rPr>
        <w:t xml:space="preserve">mørk </w:t>
      </w:r>
      <w:r w:rsidRPr="00AA499E">
        <w:rPr>
          <w:rFonts w:ascii="Times New Roman" w:hAnsi="Times New Roman"/>
          <w:lang w:val="da-DK"/>
        </w:rPr>
        <w:t>urin, gul hud eller øjne (tegn på leverproblemer).</w:t>
      </w:r>
    </w:p>
    <w:p w14:paraId="3FF69F8F"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lastRenderedPageBreak/>
        <w:t>-</w:t>
      </w:r>
      <w:r w:rsidRPr="00AA499E">
        <w:rPr>
          <w:rFonts w:ascii="Times New Roman" w:hAnsi="Times New Roman"/>
          <w:lang w:val="da-DK"/>
        </w:rPr>
        <w:tab/>
        <w:t>Udslæt, rød hud med små blærer på læber, øjne, hud eller mund, afskallet hud, feber, hævede røde eller lilla hudområder, kløe, brændende fornemmelse, pustuløst udslæt (tegn på hudproblemer).</w:t>
      </w:r>
    </w:p>
    <w:p w14:paraId="7353FDAD"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Kraftige mavesmerter, blod i opkast, afføring eller urin, sortfarvet afføring (tegn på mave-tarm-sygdomme).</w:t>
      </w:r>
    </w:p>
    <w:p w14:paraId="7837BB26"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Kraftigt nedsat urinmængde, følelse af tørst (tegn på nyreproblemer).</w:t>
      </w:r>
    </w:p>
    <w:p w14:paraId="0D1390D3"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Have kvalme med diarré og opkastning, mavesmerter eller feber (tegn på tarmproblemer).</w:t>
      </w:r>
    </w:p>
    <w:p w14:paraId="42A7B768"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Kraftig hovedpine, svækkelse eller lammelser af lemmer eller ansigt, talebesvær, pludseligt bevidsthedstab (tegn på problemer med nervesystemet</w:t>
      </w:r>
      <w:r w:rsidR="000D2754" w:rsidRPr="00AA499E">
        <w:rPr>
          <w:rFonts w:ascii="Times New Roman" w:hAnsi="Times New Roman"/>
          <w:lang w:val="da-DK"/>
        </w:rPr>
        <w:t xml:space="preserve"> såsom blødning eller hævelse i kranie/hjerne</w:t>
      </w:r>
      <w:r w:rsidRPr="00AA499E">
        <w:rPr>
          <w:rFonts w:ascii="Times New Roman" w:hAnsi="Times New Roman"/>
          <w:lang w:val="da-DK"/>
        </w:rPr>
        <w:t>).</w:t>
      </w:r>
    </w:p>
    <w:p w14:paraId="3733F8EF"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Bleghed, føle sig træt og stakåndet og have mørk urin (tegn på lavt antal røde blodceller).</w:t>
      </w:r>
    </w:p>
    <w:p w14:paraId="5FE1AEBB"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Øjensmerter eller svækkelse af dit syn</w:t>
      </w:r>
      <w:r w:rsidR="000D2754" w:rsidRPr="00AA499E">
        <w:rPr>
          <w:rFonts w:ascii="Times New Roman" w:hAnsi="Times New Roman"/>
          <w:lang w:val="da-DK"/>
        </w:rPr>
        <w:t xml:space="preserve">, </w:t>
      </w:r>
      <w:r w:rsidR="00B909BA" w:rsidRPr="00AA499E">
        <w:rPr>
          <w:rFonts w:ascii="Times New Roman" w:hAnsi="Times New Roman"/>
          <w:lang w:val="da-DK"/>
        </w:rPr>
        <w:t>blødning i øjnene.</w:t>
      </w:r>
    </w:p>
    <w:p w14:paraId="6FF927D4"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i hoften eller svært ved at gå.</w:t>
      </w:r>
    </w:p>
    <w:p w14:paraId="4479DF6F"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Følelsesløse eller kolde tæer og fingre (tegn på Raynaud´s syndrom).</w:t>
      </w:r>
    </w:p>
    <w:p w14:paraId="127D8310"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Pludselig hævelse og rødme af huden (tegn på en hudinfektion kaldet cellulitis).</w:t>
      </w:r>
    </w:p>
    <w:p w14:paraId="7419B934"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Hørebesvær.</w:t>
      </w:r>
    </w:p>
    <w:p w14:paraId="19E2E92B"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Muskelsvaghed, kramper og en unormal hjerterytme (tegn på ændringer i mængden af kalium i dit blod).</w:t>
      </w:r>
    </w:p>
    <w:p w14:paraId="3117D20A"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Let ved at få blå mærker.</w:t>
      </w:r>
    </w:p>
    <w:p w14:paraId="79E1A50B"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Mavesmerter med kvalme.</w:t>
      </w:r>
    </w:p>
    <w:p w14:paraId="608587E9"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med feber, rød-brun urin, smerter eller svaghed i dine muskler (tegn på muskelproblemer).</w:t>
      </w:r>
    </w:p>
    <w:p w14:paraId="7DBBEBA7"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Bækkensmerter, nogle gange med kvalme og opkastninger med uventet vaginalblødning, føle sig svimmel eller besvime pga. nedsat blodtryk (tegn på problemer med dine æggestokke eller livmoder).</w:t>
      </w:r>
    </w:p>
    <w:p w14:paraId="2D4C6918" w14:textId="77777777" w:rsidR="001F716D" w:rsidRPr="00AA499E" w:rsidRDefault="001F716D" w:rsidP="00435894">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 xml:space="preserve">Kvalme, åndenød, uregelmæssig hjerterytme (puls), uklar urin, træthed og/eller ubehag forbundet med abnorme resultater af laboratorieprøver (f.eks. højt kalium-, urinsyre- og </w:t>
      </w:r>
      <w:r w:rsidR="001C4DE3" w:rsidRPr="00AA499E">
        <w:rPr>
          <w:rFonts w:ascii="Times New Roman" w:hAnsi="Times New Roman"/>
          <w:lang w:val="da-DK"/>
        </w:rPr>
        <w:t xml:space="preserve">calcium og lavt </w:t>
      </w:r>
      <w:r w:rsidRPr="00AA499E">
        <w:rPr>
          <w:rFonts w:ascii="Times New Roman" w:hAnsi="Times New Roman"/>
          <w:lang w:val="da-DK"/>
        </w:rPr>
        <w:t>fosforniveau i blodet).</w:t>
      </w:r>
    </w:p>
    <w:p w14:paraId="67688845" w14:textId="77777777" w:rsidR="00435894" w:rsidRPr="00C76A02" w:rsidRDefault="00435894" w:rsidP="00435894">
      <w:pPr>
        <w:autoSpaceDE w:val="0"/>
        <w:autoSpaceDN w:val="0"/>
        <w:adjustRightInd w:val="0"/>
        <w:spacing w:after="0" w:line="240" w:lineRule="auto"/>
        <w:ind w:left="567" w:hanging="567"/>
        <w:rPr>
          <w:rFonts w:ascii="Times New Roman" w:hAnsi="Times New Roman"/>
          <w:lang w:val="sv-SE"/>
        </w:rPr>
      </w:pPr>
      <w:r w:rsidRPr="00C76A02">
        <w:rPr>
          <w:rFonts w:ascii="Times New Roman" w:hAnsi="Times New Roman"/>
          <w:lang w:val="sv-SE"/>
        </w:rPr>
        <w:t>-</w:t>
      </w:r>
      <w:r w:rsidRPr="00C76A02">
        <w:rPr>
          <w:rFonts w:ascii="Times New Roman" w:hAnsi="Times New Roman"/>
          <w:lang w:val="sv-SE"/>
        </w:rPr>
        <w:tab/>
        <w:t>Blodpropper i små blodkar (trombotisk mikroangiopati).</w:t>
      </w:r>
    </w:p>
    <w:p w14:paraId="3040B501" w14:textId="77777777" w:rsidR="001C4DE3" w:rsidRPr="00C76A02" w:rsidRDefault="001C4DE3" w:rsidP="001F716D">
      <w:pPr>
        <w:autoSpaceDE w:val="0"/>
        <w:autoSpaceDN w:val="0"/>
        <w:adjustRightInd w:val="0"/>
        <w:spacing w:after="0" w:line="240" w:lineRule="auto"/>
        <w:ind w:left="567" w:hanging="567"/>
        <w:rPr>
          <w:rFonts w:ascii="Times New Roman" w:hAnsi="Times New Roman"/>
          <w:b/>
          <w:bCs/>
          <w:lang w:val="sv-SE"/>
        </w:rPr>
      </w:pPr>
    </w:p>
    <w:p w14:paraId="3D6CBD75" w14:textId="77777777" w:rsidR="001C4DE3" w:rsidRPr="00AA499E" w:rsidRDefault="001C4DE3" w:rsidP="001C4DE3">
      <w:pPr>
        <w:pStyle w:val="Default"/>
        <w:rPr>
          <w:sz w:val="22"/>
          <w:szCs w:val="22"/>
          <w:lang w:val="da-DK"/>
        </w:rPr>
      </w:pPr>
      <w:r w:rsidRPr="00AA499E">
        <w:rPr>
          <w:b/>
          <w:bCs/>
          <w:sz w:val="22"/>
          <w:szCs w:val="22"/>
          <w:lang w:val="da-DK"/>
        </w:rPr>
        <w:t xml:space="preserve">Ikke kendt </w:t>
      </w:r>
      <w:r w:rsidRPr="00AA499E">
        <w:rPr>
          <w:sz w:val="22"/>
          <w:szCs w:val="22"/>
          <w:lang w:val="da-DK"/>
        </w:rPr>
        <w:t xml:space="preserve">(kan ikke vurderes ud fra tilgængelige data): </w:t>
      </w:r>
    </w:p>
    <w:p w14:paraId="0FAD0008" w14:textId="77777777" w:rsidR="001C4DE3" w:rsidRPr="00AA499E" w:rsidRDefault="001C4DE3" w:rsidP="001C4DE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Kombination af omfattende svært udslæt, følelse af at være syg, feber, højt indhold af visse hvide blodlegemer eller gul hud eller øjne (tegn på gulsot) med stakåndethed, brystsmerter/ubehag, svært nedsat urinproduktion og tørst osv. (tegn på en behandlingsrelateret allergisk reaktion).</w:t>
      </w:r>
    </w:p>
    <w:p w14:paraId="7AE6F42A" w14:textId="77777777" w:rsidR="000E080F" w:rsidRPr="00AA499E" w:rsidRDefault="000E080F" w:rsidP="001C4DE3">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lang w:val="da-DK"/>
        </w:rPr>
        <w:t>-</w:t>
      </w:r>
      <w:r w:rsidRPr="00AA499E">
        <w:rPr>
          <w:rFonts w:ascii="Times New Roman" w:hAnsi="Times New Roman"/>
          <w:lang w:val="da-DK"/>
        </w:rPr>
        <w:tab/>
        <w:t>Kronisk nyresvigt.</w:t>
      </w:r>
    </w:p>
    <w:p w14:paraId="0931F77B" w14:textId="77777777" w:rsidR="009770BB" w:rsidRPr="00AA499E" w:rsidRDefault="009770BB" w:rsidP="009770BB">
      <w:pPr>
        <w:autoSpaceDE w:val="0"/>
        <w:autoSpaceDN w:val="0"/>
        <w:adjustRightInd w:val="0"/>
        <w:spacing w:after="0" w:line="240" w:lineRule="auto"/>
        <w:ind w:left="567" w:hanging="567"/>
        <w:rPr>
          <w:rFonts w:ascii="Times New Roman" w:hAnsi="Times New Roman"/>
          <w:bCs/>
          <w:lang w:val="da-DK"/>
        </w:rPr>
      </w:pPr>
      <w:r w:rsidRPr="00AA499E">
        <w:rPr>
          <w:rFonts w:ascii="Times New Roman" w:hAnsi="Times New Roman"/>
          <w:lang w:val="da-DK"/>
        </w:rPr>
        <w:t>-</w:t>
      </w:r>
      <w:r w:rsidRPr="00AA499E">
        <w:rPr>
          <w:rFonts w:ascii="Times New Roman" w:hAnsi="Times New Roman"/>
          <w:lang w:val="da-DK"/>
        </w:rPr>
        <w:tab/>
      </w:r>
      <w:r w:rsidRPr="00AA499E">
        <w:rPr>
          <w:rFonts w:ascii="Times New Roman" w:hAnsi="Times New Roman"/>
          <w:bCs/>
          <w:lang w:val="da-DK"/>
        </w:rPr>
        <w:t xml:space="preserve">Genopblussen (reaktivering) af hepatitis B-infektion, hvis </w:t>
      </w:r>
      <w:r w:rsidR="00C316BC" w:rsidRPr="00AA499E">
        <w:rPr>
          <w:rFonts w:ascii="Times New Roman" w:hAnsi="Times New Roman"/>
          <w:bCs/>
          <w:lang w:val="da-DK"/>
        </w:rPr>
        <w:t>du tidligere har haft hepatitis B (leverbetændelse type </w:t>
      </w:r>
      <w:r w:rsidRPr="00AA499E">
        <w:rPr>
          <w:rFonts w:ascii="Times New Roman" w:hAnsi="Times New Roman"/>
          <w:bCs/>
          <w:lang w:val="da-DK"/>
        </w:rPr>
        <w:t>B).</w:t>
      </w:r>
    </w:p>
    <w:p w14:paraId="5CEFE5D9" w14:textId="77777777" w:rsidR="001C4DE3" w:rsidRPr="00AA499E" w:rsidRDefault="001C4DE3" w:rsidP="001F716D">
      <w:pPr>
        <w:autoSpaceDE w:val="0"/>
        <w:autoSpaceDN w:val="0"/>
        <w:adjustRightInd w:val="0"/>
        <w:spacing w:after="0" w:line="240" w:lineRule="auto"/>
        <w:ind w:left="567" w:hanging="567"/>
        <w:rPr>
          <w:rFonts w:ascii="Times New Roman" w:hAnsi="Times New Roman"/>
          <w:b/>
          <w:bCs/>
          <w:lang w:val="da-DK"/>
        </w:rPr>
      </w:pPr>
    </w:p>
    <w:p w14:paraId="7A51B090"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Kontakt din læge med det samme,</w:t>
      </w:r>
      <w:r w:rsidRPr="00AA499E">
        <w:rPr>
          <w:rFonts w:ascii="Times New Roman" w:hAnsi="Times New Roman"/>
          <w:lang w:val="da-DK"/>
        </w:rPr>
        <w:t xml:space="preserve"> hvis du oplever en af ovenstående bivirkninger.</w:t>
      </w:r>
    </w:p>
    <w:p w14:paraId="2AEF7262"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3F03ECFF"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Andre bivirkninger kan omfatte:</w:t>
      </w:r>
    </w:p>
    <w:p w14:paraId="14A7D2D9"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05508B01"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Meget almindelige </w:t>
      </w:r>
      <w:r w:rsidRPr="00AA499E">
        <w:rPr>
          <w:rFonts w:ascii="Times New Roman" w:hAnsi="Times New Roman"/>
          <w:lang w:val="da-DK"/>
        </w:rPr>
        <w:t>(kan forekomme hos flere end 1 af 10 brugere)</w:t>
      </w:r>
      <w:r w:rsidRPr="00AA499E">
        <w:rPr>
          <w:rFonts w:ascii="Times New Roman" w:hAnsi="Times New Roman"/>
          <w:b/>
          <w:bCs/>
          <w:lang w:val="da-DK"/>
        </w:rPr>
        <w:t>:</w:t>
      </w:r>
    </w:p>
    <w:p w14:paraId="7DF1535E"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Hovedpine eller følelse af træthed.</w:t>
      </w:r>
    </w:p>
    <w:p w14:paraId="2E182B38"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Kvalme, opkastninger, diarré eller fordøjelsesbesvær.</w:t>
      </w:r>
    </w:p>
    <w:p w14:paraId="703ED6BC"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Udslæt.</w:t>
      </w:r>
    </w:p>
    <w:p w14:paraId="35C0F0DE" w14:textId="77777777" w:rsidR="001F716D" w:rsidRPr="00AA499E" w:rsidRDefault="001F716D" w:rsidP="00B05A33">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Muskelkramper eller led-, muskel- eller knoglesmerter</w:t>
      </w:r>
      <w:r w:rsidR="00324263" w:rsidRPr="00AA499E">
        <w:rPr>
          <w:rFonts w:ascii="Times New Roman" w:hAnsi="Times New Roman"/>
          <w:lang w:val="da-DK"/>
        </w:rPr>
        <w:t xml:space="preserve"> mens du er i behandling med imatinib, eller  du er stoppe</w:t>
      </w:r>
      <w:r w:rsidR="009770BB" w:rsidRPr="00AA499E">
        <w:rPr>
          <w:rFonts w:ascii="Times New Roman" w:hAnsi="Times New Roman"/>
          <w:lang w:val="da-DK"/>
        </w:rPr>
        <w:t>t</w:t>
      </w:r>
      <w:r w:rsidR="00324263" w:rsidRPr="00AA499E">
        <w:rPr>
          <w:rFonts w:ascii="Times New Roman" w:hAnsi="Times New Roman"/>
          <w:lang w:val="da-DK"/>
        </w:rPr>
        <w:t xml:space="preserve"> med at tage imatinib</w:t>
      </w:r>
      <w:r w:rsidRPr="00AA499E">
        <w:rPr>
          <w:rFonts w:ascii="Times New Roman" w:hAnsi="Times New Roman"/>
          <w:lang w:val="da-DK"/>
        </w:rPr>
        <w:t>.</w:t>
      </w:r>
    </w:p>
    <w:p w14:paraId="45E5572E"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Hævelse, som fx af anklerne eller omkring øjnene.</w:t>
      </w:r>
    </w:p>
    <w:p w14:paraId="0A4E5415"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Vægtøgning.</w:t>
      </w:r>
    </w:p>
    <w:p w14:paraId="79FC7155"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6494C38F"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3A1F448E"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Almindelige </w:t>
      </w:r>
      <w:r w:rsidRPr="00AA499E">
        <w:rPr>
          <w:rFonts w:ascii="Times New Roman" w:hAnsi="Times New Roman"/>
          <w:lang w:val="da-DK"/>
        </w:rPr>
        <w:t>(kan forekomme hos op til 1 ud af 10 brugere)</w:t>
      </w:r>
      <w:r w:rsidRPr="00AA499E">
        <w:rPr>
          <w:rFonts w:ascii="Times New Roman" w:hAnsi="Times New Roman"/>
          <w:b/>
          <w:bCs/>
          <w:lang w:val="da-DK"/>
        </w:rPr>
        <w:t>:</w:t>
      </w:r>
    </w:p>
    <w:p w14:paraId="5C95BBDF"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Appetitløshed, vægttab eller smagsforstyrrelser.</w:t>
      </w:r>
    </w:p>
    <w:p w14:paraId="7755545E"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 sig svimmel eller svag.</w:t>
      </w:r>
    </w:p>
    <w:p w14:paraId="1F928BBE"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Svært ved at sove (søvnløshed).</w:t>
      </w:r>
    </w:p>
    <w:p w14:paraId="5407B996"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Flåd fra øjet med kløe, rødme og hævelse (betændelse af øjets bindehinde), øget tåreflåd eller sløret syn.</w:t>
      </w:r>
    </w:p>
    <w:p w14:paraId="476786DC"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Næseblod.</w:t>
      </w:r>
    </w:p>
    <w:p w14:paraId="69AD77D1"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Smerte eller oppustning af maven, luft i maven, halsbrand eller forstoppelse.</w:t>
      </w:r>
    </w:p>
    <w:p w14:paraId="3EDA7B38"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Kløe.</w:t>
      </w:r>
    </w:p>
    <w:p w14:paraId="5EB5FB91"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Usædvanligt hårtab eller udtyndning af håret.</w:t>
      </w:r>
    </w:p>
    <w:p w14:paraId="0680DCEB"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Følelsesløshed i hænder eller fødder.</w:t>
      </w:r>
    </w:p>
    <w:p w14:paraId="18A7E4C9"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Sår i munden.</w:t>
      </w:r>
    </w:p>
    <w:p w14:paraId="7C00BC72"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Hævede led og ledsmerter.</w:t>
      </w:r>
    </w:p>
    <w:p w14:paraId="434A61EB"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Mundtørhed, tør hud eller tørre øjne.</w:t>
      </w:r>
    </w:p>
    <w:p w14:paraId="179B3BA1"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Nedsat eller øget følsomhed i huden.</w:t>
      </w:r>
    </w:p>
    <w:p w14:paraId="394B5F5D"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Hedeture, kulderystelser eller natlig svedtendens.</w:t>
      </w:r>
    </w:p>
    <w:p w14:paraId="1B963E64"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6DE4405E"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8863F45"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 xml:space="preserve">Ikke kendt </w:t>
      </w:r>
      <w:r w:rsidRPr="00AA499E">
        <w:rPr>
          <w:rFonts w:ascii="Times New Roman" w:hAnsi="Times New Roman"/>
          <w:lang w:val="da-DK"/>
        </w:rPr>
        <w:t>(hyppigheden kan ikke vurderes ud fra tilgængelige data)</w:t>
      </w:r>
      <w:r w:rsidRPr="00AA499E">
        <w:rPr>
          <w:rFonts w:ascii="Times New Roman" w:hAnsi="Times New Roman"/>
          <w:b/>
          <w:bCs/>
          <w:lang w:val="da-DK"/>
        </w:rPr>
        <w:t>:</w:t>
      </w:r>
    </w:p>
    <w:p w14:paraId="01363447"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Rødmen og/eller hævelse af håndflader eller fodsåler, hvilket kan være ledsaget af en prikkende følelse eller brændende smerte.</w:t>
      </w:r>
    </w:p>
    <w:p w14:paraId="17804516" w14:textId="77777777" w:rsidR="000361CE" w:rsidRPr="00AA499E" w:rsidRDefault="001F716D" w:rsidP="00C316BC">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r>
      <w:r w:rsidR="000361CE" w:rsidRPr="00AA499E">
        <w:rPr>
          <w:rFonts w:ascii="Times New Roman" w:hAnsi="Times New Roman"/>
          <w:lang w:val="da-DK"/>
        </w:rPr>
        <w:t>Smertefulde og/eller blæredannende hudlæsioner.</w:t>
      </w:r>
    </w:p>
    <w:p w14:paraId="2EE726CD" w14:textId="77777777" w:rsidR="000361CE" w:rsidRPr="00AA499E" w:rsidRDefault="000361CE" w:rsidP="000361CE">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Langsommere vækst hos børn og unge.</w:t>
      </w:r>
    </w:p>
    <w:p w14:paraId="74C8423A" w14:textId="77777777" w:rsidR="001F716D" w:rsidRPr="00AA499E" w:rsidRDefault="001F716D" w:rsidP="00A32833">
      <w:pPr>
        <w:autoSpaceDE w:val="0"/>
        <w:autoSpaceDN w:val="0"/>
        <w:adjustRightInd w:val="0"/>
        <w:spacing w:after="0" w:line="240" w:lineRule="auto"/>
        <w:ind w:left="567" w:hanging="567"/>
        <w:rPr>
          <w:rFonts w:ascii="Times New Roman" w:hAnsi="Times New Roman"/>
          <w:b/>
          <w:bCs/>
          <w:lang w:val="da-DK"/>
        </w:rPr>
      </w:pPr>
      <w:r w:rsidRPr="00AA499E">
        <w:rPr>
          <w:rFonts w:ascii="Times New Roman" w:hAnsi="Times New Roman"/>
          <w:b/>
          <w:bCs/>
          <w:lang w:val="da-DK"/>
        </w:rPr>
        <w:t>Fortæl din læge,</w:t>
      </w:r>
      <w:r w:rsidRPr="00AA499E">
        <w:rPr>
          <w:rFonts w:ascii="Times New Roman" w:hAnsi="Times New Roman"/>
          <w:lang w:val="da-DK"/>
        </w:rPr>
        <w:t xml:space="preserve"> hvis du er meget påvirket af nogle af ovenstående symptomer.</w:t>
      </w:r>
    </w:p>
    <w:p w14:paraId="41A192A9"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E8428B2" w14:textId="77777777" w:rsidR="00541F41" w:rsidRPr="00AA499E" w:rsidRDefault="00541F41" w:rsidP="00541F41">
      <w:pPr>
        <w:numPr>
          <w:ilvl w:val="12"/>
          <w:numId w:val="0"/>
        </w:numPr>
        <w:spacing w:after="0" w:line="240" w:lineRule="auto"/>
        <w:outlineLvl w:val="0"/>
        <w:rPr>
          <w:rFonts w:ascii="Times New Roman" w:eastAsia="Times New Roman" w:hAnsi="Times New Roman"/>
          <w:noProof/>
          <w:u w:val="single"/>
          <w:lang w:val="da-DK" w:eastAsia="fr-LU"/>
        </w:rPr>
      </w:pPr>
      <w:r w:rsidRPr="00AA499E">
        <w:rPr>
          <w:rFonts w:ascii="Times New Roman" w:eastAsia="Times New Roman" w:hAnsi="Times New Roman"/>
          <w:noProof/>
          <w:u w:val="single"/>
          <w:lang w:val="da-DK" w:eastAsia="fr-LU"/>
        </w:rPr>
        <w:t xml:space="preserve">Indberetning af </w:t>
      </w:r>
      <w:r w:rsidRPr="00AA499E">
        <w:rPr>
          <w:rFonts w:ascii="Times New Roman" w:eastAsia="Times New Roman" w:hAnsi="Times New Roman"/>
          <w:u w:val="single"/>
          <w:lang w:val="da-DK" w:eastAsia="fr-LU"/>
        </w:rPr>
        <w:t>bivirkninger</w:t>
      </w:r>
    </w:p>
    <w:p w14:paraId="5F1A238E" w14:textId="5166C2B4" w:rsidR="00541F41" w:rsidRPr="00AA499E" w:rsidRDefault="00541F41" w:rsidP="00541F41">
      <w:pPr>
        <w:suppressAutoHyphens/>
        <w:spacing w:after="0" w:line="240" w:lineRule="auto"/>
        <w:rPr>
          <w:rFonts w:ascii="Times New Roman" w:eastAsia="Times New Roman" w:hAnsi="Times New Roman"/>
          <w:color w:val="000000"/>
          <w:lang w:val="da-DK" w:eastAsia="fr-LU"/>
        </w:rPr>
      </w:pPr>
      <w:r w:rsidRPr="00AA499E">
        <w:rPr>
          <w:rFonts w:ascii="Times New Roman" w:eastAsia="Times New Roman" w:hAnsi="Times New Roman"/>
          <w:color w:val="000000"/>
          <w:lang w:val="da-DK" w:eastAsia="fr-LU"/>
        </w:rPr>
        <w:t xml:space="preserve">Hvis du oplever bivirkninger, bør du tale med din læge, </w:t>
      </w:r>
      <w:r w:rsidR="008106C4" w:rsidRPr="00AA499E">
        <w:rPr>
          <w:rFonts w:ascii="Times New Roman" w:eastAsia="Times New Roman" w:hAnsi="Times New Roman"/>
          <w:noProof/>
          <w:lang w:val="da-DK" w:eastAsia="fr-LU"/>
        </w:rPr>
        <w:t>apotekspersonalet eller sygeplejersken</w:t>
      </w:r>
      <w:r w:rsidRPr="00AA499E">
        <w:rPr>
          <w:rFonts w:ascii="Times New Roman" w:eastAsia="Times New Roman" w:hAnsi="Times New Roman"/>
          <w:color w:val="000000"/>
          <w:lang w:val="da-DK" w:eastAsia="fr-LU"/>
        </w:rPr>
        <w:t xml:space="preserve">. Dette gælder også mulige bivirkninger, som ikke er medtaget i denne indlægsseddel. Du eller dine pårørende kan også indberette bivirkninger direkte til </w:t>
      </w:r>
      <w:r w:rsidR="00406109" w:rsidRPr="00AA499E">
        <w:rPr>
          <w:rFonts w:ascii="Times New Roman" w:eastAsia="Times New Roman" w:hAnsi="Times New Roman"/>
          <w:color w:val="000000"/>
          <w:lang w:val="da-DK" w:eastAsia="fr-LU"/>
        </w:rPr>
        <w:t>Lægemiddelstyrelsen</w:t>
      </w:r>
      <w:r w:rsidRPr="00AA499E">
        <w:rPr>
          <w:rFonts w:ascii="Times New Roman" w:eastAsia="Times New Roman" w:hAnsi="Times New Roman"/>
          <w:color w:val="000000"/>
          <w:lang w:val="da-DK" w:eastAsia="fr-LU"/>
        </w:rPr>
        <w:t xml:space="preserve"> via </w:t>
      </w:r>
      <w:r w:rsidRPr="00AA499E">
        <w:rPr>
          <w:rFonts w:ascii="Times New Roman" w:eastAsia="Times New Roman" w:hAnsi="Times New Roman"/>
          <w:color w:val="000000"/>
          <w:highlight w:val="lightGray"/>
          <w:lang w:val="da-DK" w:eastAsia="fr-LU"/>
        </w:rPr>
        <w:t xml:space="preserve">det nationale rapporteringssystem anført i </w:t>
      </w:r>
      <w:hyperlink r:id="rId24" w:history="1">
        <w:r w:rsidRPr="00AA499E">
          <w:rPr>
            <w:rFonts w:ascii="Times New Roman" w:eastAsia="Times New Roman" w:hAnsi="Times New Roman"/>
            <w:color w:val="0000FF"/>
            <w:highlight w:val="lightGray"/>
            <w:u w:val="single"/>
            <w:lang w:val="da-DK" w:eastAsia="fr-LU"/>
          </w:rPr>
          <w:t>Appendiks V</w:t>
        </w:r>
      </w:hyperlink>
      <w:r w:rsidRPr="00AA499E">
        <w:rPr>
          <w:rFonts w:ascii="Times New Roman" w:eastAsia="Times New Roman" w:hAnsi="Times New Roman"/>
          <w:color w:val="000000"/>
          <w:lang w:val="da-DK" w:eastAsia="fr-LU"/>
        </w:rPr>
        <w:t>. Ved at indrapportere bivirkninger kan du hjælpe med at fremskaffe mere information om sikkerheden af dette lægemiddel.</w:t>
      </w:r>
    </w:p>
    <w:p w14:paraId="08D2F833"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20886870"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2C1B5519"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5.</w:t>
      </w:r>
      <w:r w:rsidRPr="00AA499E">
        <w:rPr>
          <w:rFonts w:ascii="Times New Roman" w:hAnsi="Times New Roman"/>
          <w:b/>
          <w:bCs/>
          <w:lang w:val="da-DK"/>
        </w:rPr>
        <w:tab/>
        <w:t>Opbevaring</w:t>
      </w:r>
    </w:p>
    <w:p w14:paraId="2F9C73B4"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200F8F24"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Opbevar lægemid</w:t>
      </w:r>
      <w:r w:rsidR="00406109" w:rsidRPr="00AA499E">
        <w:rPr>
          <w:rFonts w:ascii="Times New Roman" w:hAnsi="Times New Roman"/>
          <w:lang w:val="da-DK"/>
        </w:rPr>
        <w:t>let</w:t>
      </w:r>
      <w:r w:rsidRPr="00AA499E">
        <w:rPr>
          <w:rFonts w:ascii="Times New Roman" w:hAnsi="Times New Roman"/>
          <w:lang w:val="da-DK"/>
        </w:rPr>
        <w:t xml:space="preserve"> utilgængeligt for børn.</w:t>
      </w:r>
    </w:p>
    <w:p w14:paraId="0FF32E40" w14:textId="66C1E25D"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Brug ikke lægemid</w:t>
      </w:r>
      <w:r w:rsidR="00406109" w:rsidRPr="00AA499E">
        <w:rPr>
          <w:rFonts w:ascii="Times New Roman" w:hAnsi="Times New Roman"/>
          <w:lang w:val="da-DK"/>
        </w:rPr>
        <w:t>let</w:t>
      </w:r>
      <w:r w:rsidRPr="00AA499E">
        <w:rPr>
          <w:rFonts w:ascii="Times New Roman" w:hAnsi="Times New Roman"/>
          <w:lang w:val="da-DK"/>
        </w:rPr>
        <w:t xml:space="preserve"> efter den udløbsdato, der står på </w:t>
      </w:r>
      <w:r w:rsidR="00DA0778" w:rsidRPr="00AA499E">
        <w:rPr>
          <w:rFonts w:ascii="Times New Roman" w:hAnsi="Times New Roman"/>
          <w:lang w:val="da-DK"/>
        </w:rPr>
        <w:t xml:space="preserve">æsken </w:t>
      </w:r>
      <w:r w:rsidR="000361CE" w:rsidRPr="00AA499E">
        <w:rPr>
          <w:rFonts w:ascii="Times New Roman" w:hAnsi="Times New Roman"/>
          <w:lang w:val="da-DK"/>
        </w:rPr>
        <w:t>og blisteren efter EXP</w:t>
      </w:r>
      <w:r w:rsidRPr="00AA499E">
        <w:rPr>
          <w:rFonts w:ascii="Times New Roman" w:hAnsi="Times New Roman"/>
          <w:lang w:val="da-DK"/>
        </w:rPr>
        <w:t>. Udløbsdatoen er den sidste dag i den nævnte måned.</w:t>
      </w:r>
    </w:p>
    <w:p w14:paraId="7F41FC60"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Må ikke opbevares ved temperaturer over 30°C. Opbevares i den originale yderpakning for at beskytte mod fugt.</w:t>
      </w:r>
    </w:p>
    <w:p w14:paraId="217BF8BF"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Pakningen må ikke anvendes, hvis den er beskadiget, el</w:t>
      </w:r>
      <w:bookmarkStart w:id="7" w:name="_GoBack"/>
      <w:bookmarkEnd w:id="7"/>
      <w:r w:rsidRPr="00AA499E">
        <w:rPr>
          <w:rFonts w:ascii="Times New Roman" w:hAnsi="Times New Roman"/>
          <w:lang w:val="da-DK"/>
        </w:rPr>
        <w:t>ler der er tegn på, at pakningen har været åbnet.</w:t>
      </w:r>
    </w:p>
    <w:p w14:paraId="2C027342"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50C6378" w14:textId="3715EB6B"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 xml:space="preserve">Af hensyn til miljøet må du ikke smide medicinrester i afløbet, toilettet eller skraldespanden. Spørg på </w:t>
      </w:r>
      <w:r w:rsidR="008106C4" w:rsidRPr="00AA499E">
        <w:rPr>
          <w:rFonts w:ascii="Times New Roman" w:hAnsi="Times New Roman"/>
          <w:lang w:val="da-DK"/>
        </w:rPr>
        <w:t>apotekspersonalet</w:t>
      </w:r>
      <w:r w:rsidRPr="00AA499E">
        <w:rPr>
          <w:rFonts w:ascii="Times New Roman" w:hAnsi="Times New Roman"/>
          <w:lang w:val="da-DK"/>
        </w:rPr>
        <w:t>, hvordan du skal bortskaffe medicinrester. Dette er en miljømæssig foranstaltning.</w:t>
      </w:r>
    </w:p>
    <w:p w14:paraId="7750F125"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74010B3"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6FCD9165"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6.</w:t>
      </w:r>
      <w:r w:rsidRPr="00AA499E">
        <w:rPr>
          <w:rFonts w:ascii="Times New Roman" w:hAnsi="Times New Roman"/>
          <w:b/>
          <w:bCs/>
          <w:lang w:val="da-DK"/>
        </w:rPr>
        <w:tab/>
        <w:t>Pakningsstørrelser og yderligere oplysninger</w:t>
      </w:r>
    </w:p>
    <w:p w14:paraId="3C4FBEF6"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A5DB32A"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Imatinib Actavis indeholder</w:t>
      </w:r>
    </w:p>
    <w:p w14:paraId="57AF3D41" w14:textId="77777777" w:rsidR="001F716D" w:rsidRPr="00AA499E" w:rsidRDefault="001F716D" w:rsidP="001F716D">
      <w:pPr>
        <w:autoSpaceDE w:val="0"/>
        <w:autoSpaceDN w:val="0"/>
        <w:adjustRightInd w:val="0"/>
        <w:spacing w:after="0" w:line="240" w:lineRule="auto"/>
        <w:ind w:left="567" w:hanging="567"/>
        <w:rPr>
          <w:rFonts w:ascii="Times New Roman" w:hAnsi="Times New Roman"/>
          <w:highlight w:val="lightGray"/>
          <w:lang w:val="da-DK"/>
        </w:rPr>
      </w:pPr>
    </w:p>
    <w:p w14:paraId="78CDCF23"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Aktivt stof: imatinib (som mesilat). Hver tablet indeholder 400 mg imatinib (som mesilat).</w:t>
      </w:r>
    </w:p>
    <w:p w14:paraId="0A905A78" w14:textId="77777777" w:rsidR="001F716D" w:rsidRPr="00AA499E" w:rsidRDefault="001F716D" w:rsidP="001F716D">
      <w:pPr>
        <w:autoSpaceDE w:val="0"/>
        <w:autoSpaceDN w:val="0"/>
        <w:adjustRightInd w:val="0"/>
        <w:spacing w:after="0" w:line="240" w:lineRule="auto"/>
        <w:ind w:left="567" w:hanging="567"/>
        <w:rPr>
          <w:rFonts w:ascii="Times New Roman" w:hAnsi="Times New Roman"/>
          <w:lang w:val="da-DK"/>
        </w:rPr>
      </w:pPr>
      <w:r w:rsidRPr="00AA499E">
        <w:rPr>
          <w:rFonts w:ascii="Times New Roman" w:hAnsi="Times New Roman"/>
          <w:lang w:val="da-DK"/>
        </w:rPr>
        <w:t>-</w:t>
      </w:r>
      <w:r w:rsidRPr="00AA499E">
        <w:rPr>
          <w:rFonts w:ascii="Times New Roman" w:hAnsi="Times New Roman"/>
          <w:lang w:val="da-DK"/>
        </w:rPr>
        <w:tab/>
        <w:t>Øvrige indholdsstoffer: mikrokrystallinsk cellulose, copovidon, crospovidon, natriumstearylfumarat, silica (vandskyende kolloid, kolloid vandfri), polyvinylalkohol, delvist hydroliseret, talcum, gul jernoxid (E172), titandioxid (E171), rød jernoxid (E172), lecithin (soya) (E322), xanthangummi (E415).</w:t>
      </w:r>
    </w:p>
    <w:p w14:paraId="5EEB5EAC"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069BC55A"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Udseende og pakningsstørrelser</w:t>
      </w:r>
    </w:p>
    <w:p w14:paraId="20EED182" w14:textId="77777777" w:rsidR="001F716D" w:rsidRPr="00AA499E" w:rsidRDefault="001F716D" w:rsidP="001F716D">
      <w:pPr>
        <w:pStyle w:val="KeinLeerraum"/>
        <w:rPr>
          <w:rFonts w:ascii="Times New Roman" w:hAnsi="Times New Roman"/>
          <w:lang w:val="da-DK"/>
        </w:rPr>
      </w:pPr>
    </w:p>
    <w:p w14:paraId="04E82A78" w14:textId="77777777" w:rsidR="001F716D" w:rsidRPr="00AA499E" w:rsidRDefault="001F716D" w:rsidP="001F716D">
      <w:pPr>
        <w:pStyle w:val="KeinLeerraum"/>
        <w:rPr>
          <w:rFonts w:ascii="Times New Roman" w:hAnsi="Times New Roman"/>
          <w:lang w:val="da-DK"/>
        </w:rPr>
      </w:pPr>
      <w:r w:rsidRPr="00AA499E">
        <w:rPr>
          <w:rFonts w:ascii="Times New Roman" w:hAnsi="Times New Roman"/>
          <w:lang w:val="da-DK"/>
        </w:rPr>
        <w:t>Oval, bikonveks mørkegul til brun filmovertrukken tablet, præget med virksomhedslogoet på den ene side og "37" med delekærv på den anden side</w:t>
      </w:r>
    </w:p>
    <w:p w14:paraId="59B1E096" w14:textId="77777777" w:rsidR="001F716D" w:rsidRPr="00AA499E" w:rsidRDefault="001F716D" w:rsidP="001F716D">
      <w:pPr>
        <w:autoSpaceDE w:val="0"/>
        <w:autoSpaceDN w:val="0"/>
        <w:adjustRightInd w:val="0"/>
        <w:spacing w:after="0" w:line="240" w:lineRule="auto"/>
        <w:rPr>
          <w:rFonts w:ascii="Times New Roman" w:hAnsi="Times New Roman"/>
          <w:i/>
          <w:lang w:val="da-DK"/>
        </w:rPr>
      </w:pPr>
    </w:p>
    <w:p w14:paraId="1801ADAA" w14:textId="77777777" w:rsidR="00B909BA" w:rsidRPr="00AA499E" w:rsidRDefault="00B909BA" w:rsidP="00B007BB">
      <w:pPr>
        <w:keepNext/>
        <w:autoSpaceDE w:val="0"/>
        <w:autoSpaceDN w:val="0"/>
        <w:adjustRightInd w:val="0"/>
        <w:spacing w:after="0" w:line="240" w:lineRule="auto"/>
        <w:rPr>
          <w:rFonts w:ascii="Times New Roman" w:hAnsi="Times New Roman"/>
          <w:i/>
          <w:lang w:val="da-DK"/>
        </w:rPr>
      </w:pPr>
      <w:r w:rsidRPr="00AA499E">
        <w:rPr>
          <w:rFonts w:ascii="Times New Roman" w:hAnsi="Times New Roman"/>
          <w:i/>
          <w:lang w:val="da-DK"/>
        </w:rPr>
        <w:t>Pakningsstørrelser</w:t>
      </w:r>
    </w:p>
    <w:p w14:paraId="13701E10" w14:textId="77777777" w:rsidR="001F716D" w:rsidRPr="00AA499E" w:rsidRDefault="001C4DE3" w:rsidP="001F716D">
      <w:pPr>
        <w:pStyle w:val="KeinLeerraum"/>
        <w:rPr>
          <w:rFonts w:ascii="Times New Roman" w:hAnsi="Times New Roman"/>
          <w:lang w:val="da-DK"/>
        </w:rPr>
      </w:pPr>
      <w:r w:rsidRPr="00AA499E">
        <w:rPr>
          <w:rFonts w:ascii="Times New Roman" w:hAnsi="Times New Roman"/>
          <w:lang w:val="da-DK"/>
        </w:rPr>
        <w:t xml:space="preserve">Tabletterna </w:t>
      </w:r>
      <w:r w:rsidR="001F716D" w:rsidRPr="00AA499E">
        <w:rPr>
          <w:rFonts w:ascii="Times New Roman" w:hAnsi="Times New Roman"/>
          <w:lang w:val="da-DK"/>
        </w:rPr>
        <w:t xml:space="preserve">findes i </w:t>
      </w:r>
      <w:r w:rsidRPr="00AA499E">
        <w:rPr>
          <w:rFonts w:ascii="Times New Roman" w:hAnsi="Times New Roman"/>
          <w:lang w:val="da-DK"/>
        </w:rPr>
        <w:t>blister</w:t>
      </w:r>
      <w:r w:rsidR="001F716D" w:rsidRPr="00AA499E">
        <w:rPr>
          <w:rFonts w:ascii="Times New Roman" w:hAnsi="Times New Roman"/>
          <w:lang w:val="da-DK"/>
        </w:rPr>
        <w:t xml:space="preserve">pakninger </w:t>
      </w:r>
      <w:r w:rsidRPr="00AA499E">
        <w:rPr>
          <w:rFonts w:ascii="Times New Roman" w:hAnsi="Times New Roman"/>
          <w:lang w:val="da-DK"/>
        </w:rPr>
        <w:t xml:space="preserve">af aluminium </w:t>
      </w:r>
      <w:r w:rsidR="001F716D" w:rsidRPr="00AA499E">
        <w:rPr>
          <w:rFonts w:ascii="Times New Roman" w:hAnsi="Times New Roman"/>
          <w:lang w:val="da-DK"/>
        </w:rPr>
        <w:t>med 10, 30, 60 eller 90 filmovertrukne tabletter</w:t>
      </w:r>
    </w:p>
    <w:p w14:paraId="4F3E1458" w14:textId="77777777" w:rsidR="001F716D" w:rsidRPr="00AA499E" w:rsidRDefault="001F716D" w:rsidP="001F716D">
      <w:pPr>
        <w:autoSpaceDE w:val="0"/>
        <w:autoSpaceDN w:val="0"/>
        <w:adjustRightInd w:val="0"/>
        <w:spacing w:after="0" w:line="240" w:lineRule="auto"/>
        <w:rPr>
          <w:rFonts w:ascii="Times New Roman" w:hAnsi="Times New Roman"/>
          <w:highlight w:val="yellow"/>
          <w:lang w:val="da-DK"/>
        </w:rPr>
      </w:pPr>
    </w:p>
    <w:p w14:paraId="1B9F4737"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Ikke alle pakningsstørrelser er nødvendigvis markedsført.</w:t>
      </w:r>
    </w:p>
    <w:p w14:paraId="487BDB40"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52971106"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Indehaver af markedsføringstilladelsen</w:t>
      </w:r>
    </w:p>
    <w:p w14:paraId="0874E6CE"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Actavis Group PTC ehf.</w:t>
      </w:r>
    </w:p>
    <w:p w14:paraId="07C7153A"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Reykjavíkurvegur 76-78,</w:t>
      </w:r>
    </w:p>
    <w:p w14:paraId="7B8601DF"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Hafnarfjörður</w:t>
      </w:r>
    </w:p>
    <w:p w14:paraId="5F02C3DE"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Island</w:t>
      </w:r>
    </w:p>
    <w:p w14:paraId="0820FF3B"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74EC3D44" w14:textId="77777777" w:rsidR="001F716D" w:rsidRPr="00AA499E" w:rsidRDefault="001F716D" w:rsidP="001F716D">
      <w:pPr>
        <w:autoSpaceDE w:val="0"/>
        <w:autoSpaceDN w:val="0"/>
        <w:adjustRightInd w:val="0"/>
        <w:spacing w:after="0" w:line="240" w:lineRule="auto"/>
        <w:rPr>
          <w:rFonts w:ascii="Times New Roman" w:hAnsi="Times New Roman"/>
          <w:b/>
          <w:bCs/>
          <w:lang w:val="da-DK"/>
        </w:rPr>
      </w:pPr>
      <w:r w:rsidRPr="00AA499E">
        <w:rPr>
          <w:rFonts w:ascii="Times New Roman" w:hAnsi="Times New Roman"/>
          <w:b/>
          <w:bCs/>
          <w:lang w:val="da-DK"/>
        </w:rPr>
        <w:t>Fremstiller</w:t>
      </w:r>
    </w:p>
    <w:p w14:paraId="25F75ACE" w14:textId="77777777" w:rsidR="001F716D" w:rsidRPr="00AA499E" w:rsidRDefault="001F716D" w:rsidP="001F716D">
      <w:pPr>
        <w:pStyle w:val="KeinLeerraum"/>
        <w:rPr>
          <w:rFonts w:ascii="Times New Roman" w:hAnsi="Times New Roman"/>
          <w:lang w:val="da-DK"/>
        </w:rPr>
      </w:pPr>
      <w:r w:rsidRPr="00AA499E">
        <w:rPr>
          <w:rFonts w:ascii="Times New Roman" w:hAnsi="Times New Roman"/>
          <w:lang w:val="da-DK"/>
        </w:rPr>
        <w:t>S.C. SindanPharma S.R.L.</w:t>
      </w:r>
    </w:p>
    <w:p w14:paraId="1D63697B" w14:textId="77777777" w:rsidR="001F716D" w:rsidRPr="00AA499E" w:rsidRDefault="001F716D" w:rsidP="001F716D">
      <w:pPr>
        <w:pStyle w:val="KeinLeerraum"/>
        <w:rPr>
          <w:rFonts w:ascii="Times New Roman" w:hAnsi="Times New Roman"/>
          <w:lang w:val="da-DK"/>
        </w:rPr>
      </w:pPr>
      <w:r w:rsidRPr="00AA499E">
        <w:rPr>
          <w:rFonts w:ascii="Times New Roman" w:hAnsi="Times New Roman"/>
          <w:lang w:val="da-DK"/>
        </w:rPr>
        <w:t>11 Ion Mihalache Blvd</w:t>
      </w:r>
    </w:p>
    <w:p w14:paraId="09D24298" w14:textId="77777777" w:rsidR="001F716D" w:rsidRPr="00AA499E" w:rsidRDefault="001F716D" w:rsidP="001F716D">
      <w:pPr>
        <w:pStyle w:val="KeinLeerraum"/>
        <w:rPr>
          <w:rFonts w:ascii="Times New Roman" w:hAnsi="Times New Roman"/>
          <w:lang w:val="da-DK"/>
        </w:rPr>
      </w:pPr>
      <w:r w:rsidRPr="00AA499E">
        <w:rPr>
          <w:rFonts w:ascii="Times New Roman" w:hAnsi="Times New Roman"/>
          <w:lang w:val="da-DK"/>
        </w:rPr>
        <w:t>Bukarest</w:t>
      </w:r>
    </w:p>
    <w:p w14:paraId="62516974" w14:textId="77777777" w:rsidR="001F716D" w:rsidRPr="00AA499E" w:rsidRDefault="001F716D" w:rsidP="001F716D">
      <w:pPr>
        <w:pStyle w:val="KeinLeerraum"/>
        <w:rPr>
          <w:rFonts w:ascii="Times New Roman" w:hAnsi="Times New Roman"/>
          <w:lang w:val="da-DK"/>
        </w:rPr>
      </w:pPr>
      <w:r w:rsidRPr="00AA499E">
        <w:rPr>
          <w:rFonts w:ascii="Times New Roman" w:hAnsi="Times New Roman"/>
          <w:lang w:val="da-DK"/>
        </w:rPr>
        <w:t>Rumænien</w:t>
      </w:r>
    </w:p>
    <w:p w14:paraId="684775BC" w14:textId="77777777" w:rsidR="001F716D" w:rsidRPr="00AA499E" w:rsidRDefault="001F716D" w:rsidP="001F716D">
      <w:pPr>
        <w:autoSpaceDE w:val="0"/>
        <w:autoSpaceDN w:val="0"/>
        <w:adjustRightInd w:val="0"/>
        <w:spacing w:after="0" w:line="240" w:lineRule="auto"/>
        <w:rPr>
          <w:rFonts w:ascii="Times New Roman" w:hAnsi="Times New Roman"/>
          <w:lang w:val="da-DK"/>
        </w:rPr>
      </w:pPr>
    </w:p>
    <w:p w14:paraId="187C8B09"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Hvis du ønsker yderligere oplysninger om dette lægemiddel, skal du henvende dig til den lokale repræsentant for</w:t>
      </w:r>
    </w:p>
    <w:p w14:paraId="7CEE94A9" w14:textId="77777777" w:rsidR="001F716D" w:rsidRPr="00AA499E" w:rsidRDefault="001F716D" w:rsidP="001F716D">
      <w:pPr>
        <w:autoSpaceDE w:val="0"/>
        <w:autoSpaceDN w:val="0"/>
        <w:adjustRightInd w:val="0"/>
        <w:spacing w:after="0" w:line="240" w:lineRule="auto"/>
        <w:rPr>
          <w:rFonts w:ascii="Times New Roman" w:hAnsi="Times New Roman"/>
          <w:lang w:val="da-DK"/>
        </w:rPr>
      </w:pPr>
      <w:r w:rsidRPr="00AA499E">
        <w:rPr>
          <w:rFonts w:ascii="Times New Roman" w:hAnsi="Times New Roman"/>
          <w:lang w:val="da-DK"/>
        </w:rPr>
        <w:t>indehaveren af markedsføringstilladelsen.</w:t>
      </w:r>
    </w:p>
    <w:p w14:paraId="5161E5B1" w14:textId="77777777" w:rsidR="00A26B73" w:rsidRPr="007A1698" w:rsidRDefault="00A26B73" w:rsidP="00A26B73">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26B73" w:rsidRPr="00DC08DD" w14:paraId="07B63C29" w14:textId="77777777" w:rsidTr="00A26B73">
        <w:trPr>
          <w:gridBefore w:val="1"/>
          <w:wBefore w:w="34" w:type="dxa"/>
          <w:cantSplit/>
        </w:trPr>
        <w:tc>
          <w:tcPr>
            <w:tcW w:w="4644" w:type="dxa"/>
          </w:tcPr>
          <w:p w14:paraId="33B59D6E"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België/Belgique/Belgien</w:t>
            </w:r>
          </w:p>
          <w:p w14:paraId="5965658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21F56482"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IJsland/Islande/Island</w:t>
            </w:r>
          </w:p>
          <w:p w14:paraId="5E1D8EFD"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Tél/Tel: +354 5503300</w:t>
            </w:r>
          </w:p>
          <w:p w14:paraId="2F036FDB" w14:textId="77777777" w:rsidR="00A26B73" w:rsidRPr="00DC08DD" w:rsidRDefault="00A26B73" w:rsidP="00A26B73">
            <w:pPr>
              <w:pStyle w:val="KeinLeerraum"/>
              <w:rPr>
                <w:rFonts w:ascii="Times New Roman" w:hAnsi="Times New Roman"/>
                <w:lang w:val="en-GB"/>
              </w:rPr>
            </w:pPr>
          </w:p>
        </w:tc>
        <w:tc>
          <w:tcPr>
            <w:tcW w:w="4678" w:type="dxa"/>
          </w:tcPr>
          <w:p w14:paraId="31E6E646"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Lietuva</w:t>
            </w:r>
          </w:p>
          <w:p w14:paraId="021CCA60" w14:textId="000C6A22" w:rsidR="00A26B73" w:rsidRPr="00DC08DD" w:rsidRDefault="00A26B73" w:rsidP="00A26B73">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258C682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1685024F" w14:textId="77777777" w:rsidR="00A26B73" w:rsidRPr="00DC08DD" w:rsidRDefault="00A26B73" w:rsidP="00A26B73">
            <w:pPr>
              <w:pStyle w:val="KeinLeerraum"/>
              <w:rPr>
                <w:rFonts w:ascii="Times New Roman" w:hAnsi="Times New Roman"/>
                <w:lang w:val="en-GB"/>
              </w:rPr>
            </w:pPr>
          </w:p>
        </w:tc>
      </w:tr>
      <w:tr w:rsidR="00A26B73" w:rsidRPr="00DC08DD" w14:paraId="627D1E7B" w14:textId="77777777" w:rsidTr="00A26B73">
        <w:trPr>
          <w:gridBefore w:val="1"/>
          <w:wBefore w:w="34" w:type="dxa"/>
          <w:cantSplit/>
        </w:trPr>
        <w:tc>
          <w:tcPr>
            <w:tcW w:w="4644" w:type="dxa"/>
          </w:tcPr>
          <w:p w14:paraId="752EB1DB"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България</w:t>
            </w:r>
          </w:p>
          <w:p w14:paraId="1B6A0AE8"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Актавис ЕАД</w:t>
            </w:r>
          </w:p>
          <w:p w14:paraId="4E3132EF"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507BCDB2" w14:textId="77777777" w:rsidR="00A26B73" w:rsidRPr="00DC08DD" w:rsidRDefault="00A26B73" w:rsidP="00A26B73">
            <w:pPr>
              <w:pStyle w:val="KeinLeerraum"/>
              <w:rPr>
                <w:rFonts w:ascii="Times New Roman" w:hAnsi="Times New Roman"/>
                <w:lang w:val="en-GB"/>
              </w:rPr>
            </w:pPr>
          </w:p>
        </w:tc>
        <w:tc>
          <w:tcPr>
            <w:tcW w:w="4678" w:type="dxa"/>
          </w:tcPr>
          <w:p w14:paraId="388EFB75"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Luxembourg/Luxemburg</w:t>
            </w:r>
          </w:p>
          <w:p w14:paraId="60519084"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Actavis Group PTC ehf.</w:t>
            </w:r>
          </w:p>
          <w:p w14:paraId="34221010"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Islande/Island</w:t>
            </w:r>
          </w:p>
          <w:p w14:paraId="19CF162C"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38926017" w14:textId="77777777" w:rsidR="00A26B73" w:rsidRPr="00DC08DD" w:rsidRDefault="00A26B73" w:rsidP="00A26B73">
            <w:pPr>
              <w:pStyle w:val="KeinLeerraum"/>
              <w:rPr>
                <w:rFonts w:ascii="Times New Roman" w:hAnsi="Times New Roman"/>
                <w:lang w:val="en-GB"/>
              </w:rPr>
            </w:pPr>
          </w:p>
        </w:tc>
      </w:tr>
      <w:tr w:rsidR="00A26B73" w:rsidRPr="00DC08DD" w14:paraId="29B8ED6B" w14:textId="77777777" w:rsidTr="00A26B73">
        <w:trPr>
          <w:gridBefore w:val="1"/>
          <w:wBefore w:w="34" w:type="dxa"/>
          <w:cantSplit/>
          <w:trHeight w:val="751"/>
        </w:trPr>
        <w:tc>
          <w:tcPr>
            <w:tcW w:w="4644" w:type="dxa"/>
          </w:tcPr>
          <w:p w14:paraId="75074380"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Česká republika</w:t>
            </w:r>
          </w:p>
          <w:p w14:paraId="32B57824" w14:textId="77777777" w:rsidR="00A26B73" w:rsidRPr="00DC08DD" w:rsidRDefault="00A26B73" w:rsidP="00A26B73">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76CED39E"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77994CBB" w14:textId="77777777" w:rsidR="00A26B73" w:rsidRPr="00DC08DD" w:rsidRDefault="00A26B73" w:rsidP="00A26B73">
            <w:pPr>
              <w:pStyle w:val="KeinLeerraum"/>
              <w:rPr>
                <w:rFonts w:ascii="Times New Roman" w:hAnsi="Times New Roman"/>
                <w:lang w:val="en-GB"/>
              </w:rPr>
            </w:pPr>
          </w:p>
        </w:tc>
        <w:tc>
          <w:tcPr>
            <w:tcW w:w="4678" w:type="dxa"/>
          </w:tcPr>
          <w:p w14:paraId="4F219758"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Magyarország</w:t>
            </w:r>
          </w:p>
          <w:p w14:paraId="56B7FD15"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rPr>
              <w:t>Teva Gyógyszergyár Zrt.</w:t>
            </w:r>
          </w:p>
          <w:p w14:paraId="6B7500F8"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2B30AFB" w14:textId="77777777" w:rsidR="00A26B73" w:rsidRPr="00DC08DD" w:rsidRDefault="00A26B73" w:rsidP="00A26B73">
            <w:pPr>
              <w:pStyle w:val="KeinLeerraum"/>
              <w:rPr>
                <w:rFonts w:ascii="Times New Roman" w:hAnsi="Times New Roman"/>
                <w:lang w:val="en-GB"/>
              </w:rPr>
            </w:pPr>
          </w:p>
        </w:tc>
      </w:tr>
      <w:tr w:rsidR="00A26B73" w:rsidRPr="00DC08DD" w14:paraId="20369F50" w14:textId="77777777" w:rsidTr="00A26B73">
        <w:trPr>
          <w:gridBefore w:val="1"/>
          <w:wBefore w:w="34" w:type="dxa"/>
          <w:cantSplit/>
        </w:trPr>
        <w:tc>
          <w:tcPr>
            <w:tcW w:w="4644" w:type="dxa"/>
          </w:tcPr>
          <w:p w14:paraId="3678D81F"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lastRenderedPageBreak/>
              <w:t>Danmark</w:t>
            </w:r>
          </w:p>
          <w:p w14:paraId="5507FB39"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Teva Denmark A/S</w:t>
            </w:r>
          </w:p>
          <w:p w14:paraId="2E3D8B01"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Tlf: +45 44985511</w:t>
            </w:r>
          </w:p>
          <w:p w14:paraId="0A0A8247" w14:textId="77777777" w:rsidR="00A26B73" w:rsidRPr="00DC08DD" w:rsidRDefault="00A26B73" w:rsidP="00A26B73">
            <w:pPr>
              <w:pStyle w:val="KeinLeerraum"/>
              <w:rPr>
                <w:rFonts w:ascii="Times New Roman" w:hAnsi="Times New Roman"/>
                <w:lang w:val="en-GB"/>
              </w:rPr>
            </w:pPr>
          </w:p>
        </w:tc>
        <w:tc>
          <w:tcPr>
            <w:tcW w:w="4678" w:type="dxa"/>
          </w:tcPr>
          <w:p w14:paraId="50349A42"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Malta</w:t>
            </w:r>
          </w:p>
          <w:p w14:paraId="0D0EC639"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Ltd.</w:t>
            </w:r>
          </w:p>
          <w:p w14:paraId="0AD72FEF"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7C569247" w14:textId="77777777" w:rsidR="00A26B73" w:rsidRPr="00DC08DD" w:rsidRDefault="00A26B73" w:rsidP="00A26B73">
            <w:pPr>
              <w:pStyle w:val="KeinLeerraum"/>
              <w:rPr>
                <w:rFonts w:ascii="Times New Roman" w:hAnsi="Times New Roman"/>
                <w:lang w:val="en-GB"/>
              </w:rPr>
            </w:pPr>
          </w:p>
        </w:tc>
      </w:tr>
      <w:tr w:rsidR="00A26B73" w:rsidRPr="00DC08DD" w14:paraId="7B8BBBC3" w14:textId="77777777" w:rsidTr="00A26B73">
        <w:trPr>
          <w:gridBefore w:val="1"/>
          <w:wBefore w:w="34" w:type="dxa"/>
          <w:cantSplit/>
        </w:trPr>
        <w:tc>
          <w:tcPr>
            <w:tcW w:w="4644" w:type="dxa"/>
          </w:tcPr>
          <w:p w14:paraId="6A8A7ABB"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Deutschland</w:t>
            </w:r>
          </w:p>
          <w:p w14:paraId="5D933A63" w14:textId="77777777" w:rsidR="00A26B73" w:rsidRPr="00DC08DD" w:rsidRDefault="00A26B73" w:rsidP="00A26B73">
            <w:pPr>
              <w:spacing w:after="0" w:line="240" w:lineRule="auto"/>
              <w:rPr>
                <w:rFonts w:ascii="Times New Roman" w:hAnsi="Times New Roman"/>
                <w:lang w:val="en-GB"/>
              </w:rPr>
            </w:pPr>
            <w:r w:rsidRPr="00DC08DD">
              <w:rPr>
                <w:rFonts w:ascii="Times New Roman" w:hAnsi="Times New Roman"/>
                <w:lang w:val="en-GB"/>
              </w:rPr>
              <w:t>Actavis Group PTC ehf.</w:t>
            </w:r>
          </w:p>
          <w:p w14:paraId="7433DBBA" w14:textId="77777777" w:rsidR="00A26B73" w:rsidRDefault="00A26B73" w:rsidP="00A26B73">
            <w:pPr>
              <w:pStyle w:val="KeinLeerraum"/>
              <w:rPr>
                <w:rFonts w:ascii="Times New Roman" w:hAnsi="Times New Roman"/>
                <w:lang w:val="en-US"/>
              </w:rPr>
            </w:pPr>
            <w:r w:rsidRPr="00DC08DD">
              <w:rPr>
                <w:rFonts w:ascii="Times New Roman" w:hAnsi="Times New Roman"/>
                <w:lang w:val="en-US"/>
              </w:rPr>
              <w:t>Island</w:t>
            </w:r>
          </w:p>
          <w:p w14:paraId="048160C4"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7269EBC8" w14:textId="77777777" w:rsidR="00A26B73" w:rsidRPr="00DC08DD" w:rsidRDefault="00A26B73" w:rsidP="00A26B73">
            <w:pPr>
              <w:pStyle w:val="KeinLeerraum"/>
              <w:rPr>
                <w:rFonts w:ascii="Times New Roman" w:hAnsi="Times New Roman"/>
                <w:lang w:val="en-GB"/>
              </w:rPr>
            </w:pPr>
          </w:p>
        </w:tc>
        <w:tc>
          <w:tcPr>
            <w:tcW w:w="4678" w:type="dxa"/>
          </w:tcPr>
          <w:p w14:paraId="64875AC7"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Nederland</w:t>
            </w:r>
          </w:p>
          <w:p w14:paraId="37B27FB3"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55D9D616" w14:textId="77777777" w:rsidR="00A26B73" w:rsidRDefault="00A26B73" w:rsidP="00A26B73">
            <w:pPr>
              <w:pStyle w:val="KeinLeerraum"/>
              <w:rPr>
                <w:rFonts w:ascii="Times New Roman" w:hAnsi="Times New Roman"/>
                <w:iCs/>
                <w:lang w:val="en-GB"/>
              </w:rPr>
            </w:pPr>
            <w:r w:rsidRPr="00DC08DD">
              <w:rPr>
                <w:rFonts w:ascii="Times New Roman" w:hAnsi="Times New Roman"/>
                <w:iCs/>
                <w:lang w:val="en-GB"/>
              </w:rPr>
              <w:t>IJsland</w:t>
            </w:r>
          </w:p>
          <w:p w14:paraId="20F6DE97" w14:textId="77777777" w:rsidR="00A26B73" w:rsidRPr="00C5795F"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39C5FD1B" w14:textId="77777777" w:rsidR="00A26B73" w:rsidRPr="00DC08DD" w:rsidRDefault="00A26B73" w:rsidP="00A26B73">
            <w:pPr>
              <w:pStyle w:val="KeinLeerraum"/>
              <w:rPr>
                <w:rFonts w:ascii="Times New Roman" w:hAnsi="Times New Roman"/>
                <w:lang w:val="en-GB"/>
              </w:rPr>
            </w:pPr>
          </w:p>
        </w:tc>
      </w:tr>
      <w:tr w:rsidR="00A26B73" w:rsidRPr="00DC08DD" w14:paraId="32456396" w14:textId="77777777" w:rsidTr="00A26B73">
        <w:trPr>
          <w:gridBefore w:val="1"/>
          <w:wBefore w:w="34" w:type="dxa"/>
          <w:cantSplit/>
        </w:trPr>
        <w:tc>
          <w:tcPr>
            <w:tcW w:w="4644" w:type="dxa"/>
          </w:tcPr>
          <w:p w14:paraId="3AAF2891" w14:textId="77777777" w:rsidR="00A26B73" w:rsidRPr="00DC08DD" w:rsidRDefault="00A26B73" w:rsidP="00A26B73">
            <w:pPr>
              <w:pStyle w:val="KeinLeerraum"/>
              <w:rPr>
                <w:rFonts w:ascii="Times New Roman" w:hAnsi="Times New Roman"/>
                <w:b/>
                <w:bCs/>
                <w:lang w:val="en-GB"/>
              </w:rPr>
            </w:pPr>
            <w:r w:rsidRPr="00DC08DD">
              <w:rPr>
                <w:rFonts w:ascii="Times New Roman" w:hAnsi="Times New Roman"/>
                <w:b/>
                <w:bCs/>
                <w:lang w:val="en-GB"/>
              </w:rPr>
              <w:t>Eesti</w:t>
            </w:r>
          </w:p>
          <w:p w14:paraId="6CB41EE9" w14:textId="5D2002B3"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5512C17C"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4B95A12A" w14:textId="77777777" w:rsidR="00A26B73" w:rsidRPr="00DC08DD" w:rsidRDefault="00A26B73" w:rsidP="00A26B73">
            <w:pPr>
              <w:pStyle w:val="KeinLeerraum"/>
              <w:rPr>
                <w:rFonts w:ascii="Times New Roman" w:hAnsi="Times New Roman"/>
                <w:lang w:val="en-GB"/>
              </w:rPr>
            </w:pPr>
          </w:p>
        </w:tc>
        <w:tc>
          <w:tcPr>
            <w:tcW w:w="4678" w:type="dxa"/>
          </w:tcPr>
          <w:p w14:paraId="4654B068"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Norge</w:t>
            </w:r>
          </w:p>
          <w:p w14:paraId="3A00720E"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Teva Norway AS</w:t>
            </w:r>
          </w:p>
          <w:p w14:paraId="3E24489F" w14:textId="77777777" w:rsidR="00A26B73" w:rsidRPr="0056362A" w:rsidRDefault="00A26B73" w:rsidP="00A26B73">
            <w:pPr>
              <w:pStyle w:val="KeinLeerraum"/>
              <w:rPr>
                <w:rFonts w:ascii="Times New Roman" w:hAnsi="Times New Roman"/>
                <w:iCs/>
                <w:lang w:val="en-US"/>
              </w:rPr>
            </w:pPr>
            <w:r w:rsidRPr="0056362A">
              <w:rPr>
                <w:rFonts w:ascii="Times New Roman" w:hAnsi="Times New Roman"/>
                <w:iCs/>
                <w:lang w:val="en-US"/>
              </w:rPr>
              <w:t>Tlf: +47 66775590</w:t>
            </w:r>
          </w:p>
          <w:p w14:paraId="1102C4D2" w14:textId="77777777" w:rsidR="00A26B73" w:rsidRPr="00DC08DD" w:rsidRDefault="00A26B73" w:rsidP="00A26B73">
            <w:pPr>
              <w:pStyle w:val="KeinLeerraum"/>
              <w:rPr>
                <w:rFonts w:ascii="Times New Roman" w:hAnsi="Times New Roman"/>
                <w:lang w:val="en-GB"/>
              </w:rPr>
            </w:pPr>
          </w:p>
        </w:tc>
      </w:tr>
      <w:tr w:rsidR="00A26B73" w:rsidRPr="00DC08DD" w14:paraId="241033A0" w14:textId="77777777" w:rsidTr="00A26B73">
        <w:trPr>
          <w:gridBefore w:val="1"/>
          <w:wBefore w:w="34" w:type="dxa"/>
          <w:cantSplit/>
        </w:trPr>
        <w:tc>
          <w:tcPr>
            <w:tcW w:w="4644" w:type="dxa"/>
          </w:tcPr>
          <w:p w14:paraId="2B0A4D48" w14:textId="77777777" w:rsidR="00A26B73" w:rsidRPr="008F3048" w:rsidRDefault="00A26B73" w:rsidP="00A26B73">
            <w:pPr>
              <w:pStyle w:val="KeinLeerraum"/>
              <w:rPr>
                <w:rFonts w:ascii="Times New Roman" w:hAnsi="Times New Roman"/>
              </w:rPr>
            </w:pPr>
            <w:r w:rsidRPr="00DC08DD">
              <w:rPr>
                <w:rFonts w:ascii="Times New Roman" w:hAnsi="Times New Roman"/>
                <w:b/>
                <w:lang w:val="en-GB"/>
              </w:rPr>
              <w:t>Ελλάδα</w:t>
            </w:r>
          </w:p>
          <w:p w14:paraId="45438A30" w14:textId="77777777" w:rsidR="00A26B73" w:rsidRPr="008F3048" w:rsidRDefault="00A26B73" w:rsidP="00A26B73">
            <w:pPr>
              <w:pStyle w:val="NormalParagraphStyle"/>
              <w:spacing w:line="240" w:lineRule="auto"/>
              <w:rPr>
                <w:rFonts w:ascii="Times New Roman" w:hAnsi="Times New Roman"/>
                <w:color w:val="auto"/>
                <w:sz w:val="22"/>
                <w:szCs w:val="22"/>
                <w:lang w:val="is-IS"/>
              </w:rPr>
            </w:pPr>
            <w:r w:rsidRPr="008F3048">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4B1934C5" w14:textId="30146C1D" w:rsidR="00A26B73" w:rsidRPr="00DC08DD" w:rsidRDefault="00A26B73" w:rsidP="00A26B73">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10A4189" w14:textId="77777777" w:rsidR="00A26B73" w:rsidRPr="008F3048" w:rsidRDefault="00A26B73" w:rsidP="00A26B73">
            <w:pPr>
              <w:pStyle w:val="KeinLeerraum"/>
              <w:rPr>
                <w:rFonts w:ascii="Times New Roman" w:hAnsi="Times New Roman"/>
              </w:rPr>
            </w:pPr>
          </w:p>
        </w:tc>
        <w:tc>
          <w:tcPr>
            <w:tcW w:w="4678" w:type="dxa"/>
          </w:tcPr>
          <w:p w14:paraId="2180E1B0" w14:textId="77777777" w:rsidR="00A26B73" w:rsidRPr="0056362A" w:rsidRDefault="00A26B73" w:rsidP="00A26B73">
            <w:pPr>
              <w:pStyle w:val="KeinLeerraum"/>
              <w:rPr>
                <w:rFonts w:ascii="Times New Roman" w:hAnsi="Times New Roman"/>
                <w:lang w:val="de-DE"/>
              </w:rPr>
            </w:pPr>
            <w:r w:rsidRPr="0056362A">
              <w:rPr>
                <w:rFonts w:ascii="Times New Roman" w:hAnsi="Times New Roman"/>
                <w:b/>
                <w:lang w:val="de-DE"/>
              </w:rPr>
              <w:t>Österreich</w:t>
            </w:r>
          </w:p>
          <w:p w14:paraId="685EEA43" w14:textId="77777777" w:rsidR="00A26B73" w:rsidRPr="0056362A" w:rsidRDefault="00A26B73" w:rsidP="00A26B73">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1C4DF791" w14:textId="77777777" w:rsidR="00A26B73" w:rsidRPr="00DC08DD" w:rsidRDefault="00A26B73" w:rsidP="00A26B73">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761F2660" w14:textId="77777777" w:rsidR="00A26B73" w:rsidRPr="0056362A" w:rsidRDefault="00A26B73" w:rsidP="00A26B73">
            <w:pPr>
              <w:pStyle w:val="KeinLeerraum"/>
              <w:rPr>
                <w:rFonts w:ascii="Times New Roman" w:hAnsi="Times New Roman"/>
                <w:lang w:val="de-DE"/>
              </w:rPr>
            </w:pPr>
          </w:p>
        </w:tc>
      </w:tr>
      <w:tr w:rsidR="00A26B73" w:rsidRPr="00DC08DD" w14:paraId="5F378C89" w14:textId="77777777" w:rsidTr="00A26B73">
        <w:trPr>
          <w:cantSplit/>
        </w:trPr>
        <w:tc>
          <w:tcPr>
            <w:tcW w:w="4678" w:type="dxa"/>
            <w:gridSpan w:val="2"/>
          </w:tcPr>
          <w:p w14:paraId="1C99599E"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España</w:t>
            </w:r>
          </w:p>
          <w:p w14:paraId="420FC9BB"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72BAE1C6" w14:textId="77777777" w:rsidR="00A26B73" w:rsidRDefault="00A26B73" w:rsidP="00A26B73">
            <w:pPr>
              <w:pStyle w:val="KeinLeerraum"/>
              <w:rPr>
                <w:rFonts w:ascii="Times New Roman" w:hAnsi="Times New Roman"/>
                <w:lang w:val="en-GB"/>
              </w:rPr>
            </w:pPr>
            <w:r w:rsidRPr="00DC08DD">
              <w:rPr>
                <w:rFonts w:ascii="Times New Roman" w:hAnsi="Times New Roman"/>
                <w:lang w:val="en-GB"/>
              </w:rPr>
              <w:t>Islandia</w:t>
            </w:r>
          </w:p>
          <w:p w14:paraId="067456C7"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val="en-GB"/>
              </w:rPr>
              <w:t>Tel: +354 5503300</w:t>
            </w:r>
          </w:p>
          <w:p w14:paraId="3831CEDC" w14:textId="77777777" w:rsidR="00A26B73" w:rsidRPr="00DC08DD" w:rsidRDefault="00A26B73" w:rsidP="00A26B73">
            <w:pPr>
              <w:pStyle w:val="KeinLeerraum"/>
              <w:rPr>
                <w:rFonts w:ascii="Times New Roman" w:hAnsi="Times New Roman"/>
                <w:lang w:val="en-GB"/>
              </w:rPr>
            </w:pPr>
          </w:p>
        </w:tc>
        <w:tc>
          <w:tcPr>
            <w:tcW w:w="4678" w:type="dxa"/>
          </w:tcPr>
          <w:p w14:paraId="69D99B19" w14:textId="77777777" w:rsidR="00A26B73" w:rsidRPr="00DC08DD" w:rsidRDefault="00A26B73" w:rsidP="00A26B73">
            <w:pPr>
              <w:pStyle w:val="KeinLeerraum"/>
              <w:rPr>
                <w:rFonts w:ascii="Times New Roman" w:hAnsi="Times New Roman"/>
                <w:b/>
                <w:bCs/>
                <w:i/>
                <w:iCs/>
                <w:lang w:val="en-GB"/>
              </w:rPr>
            </w:pPr>
            <w:r w:rsidRPr="00DC08DD">
              <w:rPr>
                <w:rFonts w:ascii="Times New Roman" w:hAnsi="Times New Roman"/>
                <w:b/>
                <w:lang w:val="en-GB"/>
              </w:rPr>
              <w:t>Polska</w:t>
            </w:r>
          </w:p>
          <w:p w14:paraId="5C1FEB5E" w14:textId="77777777" w:rsidR="00A26B73" w:rsidRPr="00DC08DD" w:rsidRDefault="00A26B73" w:rsidP="00A26B73">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4F955475" w14:textId="77777777" w:rsidR="00A26B73" w:rsidRPr="00DC08DD" w:rsidRDefault="00A26B73" w:rsidP="00A26B73">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2ED5E825" w14:textId="77777777" w:rsidR="00A26B73" w:rsidRPr="00DC08DD" w:rsidRDefault="00A26B73" w:rsidP="00A26B73">
            <w:pPr>
              <w:pStyle w:val="KeinLeerraum"/>
              <w:rPr>
                <w:rFonts w:ascii="Times New Roman" w:hAnsi="Times New Roman"/>
                <w:lang w:val="en-GB"/>
              </w:rPr>
            </w:pPr>
          </w:p>
        </w:tc>
      </w:tr>
      <w:tr w:rsidR="00A26B73" w:rsidRPr="00DC08DD" w14:paraId="3FE13370" w14:textId="77777777" w:rsidTr="00A26B73">
        <w:trPr>
          <w:cantSplit/>
        </w:trPr>
        <w:tc>
          <w:tcPr>
            <w:tcW w:w="4678" w:type="dxa"/>
            <w:gridSpan w:val="2"/>
          </w:tcPr>
          <w:p w14:paraId="71174D57"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France</w:t>
            </w:r>
          </w:p>
          <w:p w14:paraId="25FF003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42B6F566" w14:textId="77777777" w:rsidR="00A26B73" w:rsidRDefault="00A26B73" w:rsidP="00A26B73">
            <w:pPr>
              <w:pStyle w:val="KeinLeerraum"/>
              <w:rPr>
                <w:rFonts w:ascii="Times New Roman" w:hAnsi="Times New Roman"/>
                <w:lang w:val="fr-FR"/>
              </w:rPr>
            </w:pPr>
            <w:r w:rsidRPr="00DC08DD">
              <w:rPr>
                <w:rFonts w:ascii="Times New Roman" w:hAnsi="Times New Roman"/>
                <w:lang w:val="fr-FR"/>
              </w:rPr>
              <w:t>Islande</w:t>
            </w:r>
          </w:p>
          <w:p w14:paraId="7FF11A39" w14:textId="77777777" w:rsidR="00A26B73" w:rsidRPr="00DC08DD" w:rsidRDefault="00A26B73" w:rsidP="00A26B73">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5F880A8B" w14:textId="77777777" w:rsidR="00A26B73" w:rsidRPr="00DC08DD" w:rsidRDefault="00A26B73" w:rsidP="00A26B73">
            <w:pPr>
              <w:pStyle w:val="KeinLeerraum"/>
              <w:rPr>
                <w:rFonts w:ascii="Times New Roman" w:hAnsi="Times New Roman"/>
                <w:b/>
                <w:lang w:val="en-GB"/>
              </w:rPr>
            </w:pPr>
          </w:p>
        </w:tc>
        <w:tc>
          <w:tcPr>
            <w:tcW w:w="4678" w:type="dxa"/>
          </w:tcPr>
          <w:p w14:paraId="010970DC"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Portugal</w:t>
            </w:r>
          </w:p>
          <w:p w14:paraId="623B4CC9" w14:textId="77777777" w:rsidR="00A26B73" w:rsidRPr="00DC08DD" w:rsidRDefault="00A26B73" w:rsidP="00A26B73">
            <w:pPr>
              <w:pStyle w:val="KeinLeerraum"/>
              <w:rPr>
                <w:rFonts w:ascii="Times New Roman" w:hAnsi="Times New Roman"/>
                <w:iCs/>
                <w:lang w:val="en-GB"/>
              </w:rPr>
            </w:pPr>
            <w:r w:rsidRPr="00DC08DD">
              <w:rPr>
                <w:rFonts w:ascii="Times New Roman" w:hAnsi="Times New Roman"/>
                <w:iCs/>
                <w:lang w:val="en-GB"/>
              </w:rPr>
              <w:t>Actavis Group PTC ehf.</w:t>
            </w:r>
          </w:p>
          <w:p w14:paraId="17FDA2F3" w14:textId="77777777" w:rsidR="00A26B73" w:rsidRDefault="00A26B73" w:rsidP="00A26B73">
            <w:pPr>
              <w:pStyle w:val="KeinLeerraum"/>
              <w:rPr>
                <w:rFonts w:ascii="Times New Roman" w:hAnsi="Times New Roman"/>
                <w:lang w:val="es-ES"/>
              </w:rPr>
            </w:pPr>
            <w:r w:rsidRPr="00DC08DD">
              <w:rPr>
                <w:rFonts w:ascii="Times New Roman" w:hAnsi="Times New Roman"/>
                <w:lang w:val="es-ES"/>
              </w:rPr>
              <w:t>Islândia</w:t>
            </w:r>
          </w:p>
          <w:p w14:paraId="786100BE" w14:textId="77777777" w:rsidR="00A26B73" w:rsidRPr="001B0C82" w:rsidRDefault="00A26B73" w:rsidP="00A26B73">
            <w:pPr>
              <w:pStyle w:val="KeinLeerraum"/>
              <w:rPr>
                <w:rFonts w:ascii="Times New Roman" w:hAnsi="Times New Roman"/>
                <w:lang w:val="en-GB"/>
              </w:rPr>
            </w:pPr>
            <w:r w:rsidRPr="00B85F24">
              <w:rPr>
                <w:rFonts w:ascii="Times New Roman" w:hAnsi="Times New Roman"/>
                <w:noProof/>
              </w:rPr>
              <w:t>Tel: +354 5503300</w:t>
            </w:r>
          </w:p>
          <w:p w14:paraId="3C666944" w14:textId="77777777" w:rsidR="00A26B73" w:rsidRPr="00DC08DD" w:rsidRDefault="00A26B73" w:rsidP="00A26B73">
            <w:pPr>
              <w:pStyle w:val="KeinLeerraum"/>
              <w:rPr>
                <w:rFonts w:ascii="Times New Roman" w:hAnsi="Times New Roman"/>
                <w:lang w:val="en-GB"/>
              </w:rPr>
            </w:pPr>
          </w:p>
        </w:tc>
      </w:tr>
      <w:tr w:rsidR="00A26B73" w:rsidRPr="00DC08DD" w14:paraId="08C43CAD" w14:textId="77777777" w:rsidTr="00A26B73">
        <w:trPr>
          <w:cantSplit/>
        </w:trPr>
        <w:tc>
          <w:tcPr>
            <w:tcW w:w="4678" w:type="dxa"/>
            <w:gridSpan w:val="2"/>
          </w:tcPr>
          <w:p w14:paraId="3D7F3272"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53BF0253" w14:textId="77777777" w:rsidR="00A26B73" w:rsidRPr="00DC08DD" w:rsidRDefault="00A26B73" w:rsidP="00A26B73">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61C90BDB" w14:textId="77777777" w:rsidR="00A26B73" w:rsidRPr="00DC08DD" w:rsidRDefault="00A26B73" w:rsidP="00A26B73">
            <w:pPr>
              <w:pStyle w:val="KeinLeerraum"/>
              <w:rPr>
                <w:rFonts w:ascii="Times New Roman" w:hAnsi="Times New Roman"/>
              </w:rPr>
            </w:pPr>
            <w:r w:rsidRPr="00DC08DD">
              <w:rPr>
                <w:rFonts w:ascii="Times New Roman" w:hAnsi="Times New Roman"/>
              </w:rPr>
              <w:t>Tel: +385 13720000</w:t>
            </w:r>
          </w:p>
          <w:p w14:paraId="78D8CB5D" w14:textId="77777777" w:rsidR="00A26B73" w:rsidRPr="00DC08DD" w:rsidRDefault="00A26B73" w:rsidP="00A26B73">
            <w:pPr>
              <w:pStyle w:val="KeinLeerraum"/>
              <w:rPr>
                <w:rFonts w:ascii="Times New Roman" w:hAnsi="Times New Roman"/>
                <w:lang w:val="en-GB"/>
              </w:rPr>
            </w:pPr>
          </w:p>
        </w:tc>
        <w:tc>
          <w:tcPr>
            <w:tcW w:w="4678" w:type="dxa"/>
          </w:tcPr>
          <w:p w14:paraId="2FFEA3D3"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România</w:t>
            </w:r>
          </w:p>
          <w:p w14:paraId="56DFA500" w14:textId="77777777" w:rsidR="00A26B73" w:rsidRPr="00DC08DD" w:rsidRDefault="00A26B73" w:rsidP="00A26B73">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5CC9D88D"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4685741C" w14:textId="77777777" w:rsidR="00A26B73" w:rsidRPr="00DC08DD" w:rsidRDefault="00A26B73" w:rsidP="00A26B73">
            <w:pPr>
              <w:pStyle w:val="KeinLeerraum"/>
              <w:rPr>
                <w:rFonts w:ascii="Times New Roman" w:hAnsi="Times New Roman"/>
                <w:lang w:val="en-GB"/>
              </w:rPr>
            </w:pPr>
          </w:p>
        </w:tc>
      </w:tr>
      <w:tr w:rsidR="00A26B73" w:rsidRPr="00DC08DD" w14:paraId="52100ACB" w14:textId="77777777" w:rsidTr="00A26B73">
        <w:trPr>
          <w:cantSplit/>
        </w:trPr>
        <w:tc>
          <w:tcPr>
            <w:tcW w:w="4678" w:type="dxa"/>
            <w:gridSpan w:val="2"/>
          </w:tcPr>
          <w:p w14:paraId="6B587EE7"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Ireland</w:t>
            </w:r>
          </w:p>
          <w:p w14:paraId="3D095DC0" w14:textId="77777777" w:rsidR="00A26B73" w:rsidRPr="009A42FE" w:rsidRDefault="00A26B73" w:rsidP="00A26B73">
            <w:pPr>
              <w:pStyle w:val="KeinLeerraum"/>
              <w:rPr>
                <w:rFonts w:ascii="Times New Roman" w:hAnsi="Times New Roman"/>
                <w:lang w:val="en-GB"/>
              </w:rPr>
            </w:pPr>
            <w:r w:rsidRPr="009A42FE">
              <w:rPr>
                <w:rFonts w:ascii="Times New Roman" w:hAnsi="Times New Roman"/>
                <w:lang w:val="en-GB"/>
              </w:rPr>
              <w:t>Teva Pharmaceuticals Ireland</w:t>
            </w:r>
          </w:p>
          <w:p w14:paraId="2B5E7614" w14:textId="62AE2B86" w:rsidR="00A26B73" w:rsidRDefault="00A26B73" w:rsidP="00A26B73">
            <w:pPr>
              <w:pStyle w:val="KeinLeerraum"/>
              <w:rPr>
                <w:rFonts w:ascii="Times New Roman" w:hAnsi="Times New Roman"/>
                <w:lang w:val="en-GB"/>
              </w:rPr>
            </w:pPr>
            <w:r>
              <w:rPr>
                <w:rFonts w:ascii="Times New Roman" w:hAnsi="Times New Roman"/>
                <w:lang w:val="en-GB"/>
              </w:rPr>
              <w:t>Tel: +353 19127700</w:t>
            </w:r>
          </w:p>
          <w:p w14:paraId="61E4A33F" w14:textId="77777777" w:rsidR="00A26B73" w:rsidRPr="00DC08DD" w:rsidRDefault="00A26B73" w:rsidP="00A26B73">
            <w:pPr>
              <w:pStyle w:val="KeinLeerraum"/>
              <w:rPr>
                <w:rFonts w:ascii="Times New Roman" w:hAnsi="Times New Roman"/>
                <w:lang w:val="en-GB"/>
              </w:rPr>
            </w:pPr>
          </w:p>
        </w:tc>
        <w:tc>
          <w:tcPr>
            <w:tcW w:w="4678" w:type="dxa"/>
          </w:tcPr>
          <w:p w14:paraId="1B579AC1"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Slovenija</w:t>
            </w:r>
          </w:p>
          <w:p w14:paraId="0AD8A30D"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Pliva Ljubljana d.o.o.</w:t>
            </w:r>
          </w:p>
          <w:p w14:paraId="33F3E165"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+386 15890390</w:t>
            </w:r>
          </w:p>
          <w:p w14:paraId="2E1AB7F5" w14:textId="77777777" w:rsidR="00A26B73" w:rsidRPr="00DC08DD" w:rsidRDefault="00A26B73" w:rsidP="00A26B73">
            <w:pPr>
              <w:pStyle w:val="KeinLeerraum"/>
              <w:rPr>
                <w:rFonts w:ascii="Times New Roman" w:hAnsi="Times New Roman"/>
                <w:b/>
                <w:lang w:val="en-GB"/>
              </w:rPr>
            </w:pPr>
          </w:p>
        </w:tc>
      </w:tr>
      <w:tr w:rsidR="00A26B73" w:rsidRPr="00DC08DD" w14:paraId="4D3F2E90" w14:textId="77777777" w:rsidTr="00A26B73">
        <w:trPr>
          <w:cantSplit/>
        </w:trPr>
        <w:tc>
          <w:tcPr>
            <w:tcW w:w="4678" w:type="dxa"/>
            <w:gridSpan w:val="2"/>
          </w:tcPr>
          <w:p w14:paraId="4C7AF0F3"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Ísland</w:t>
            </w:r>
          </w:p>
          <w:p w14:paraId="237A8700"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2E99D3FB"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Sími: +354 5503300</w:t>
            </w:r>
          </w:p>
          <w:p w14:paraId="5E661AE0" w14:textId="77777777" w:rsidR="00A26B73" w:rsidRPr="00DC08DD" w:rsidRDefault="00A26B73" w:rsidP="00A26B73">
            <w:pPr>
              <w:pStyle w:val="KeinLeerraum"/>
              <w:rPr>
                <w:rFonts w:ascii="Times New Roman" w:hAnsi="Times New Roman"/>
                <w:b/>
                <w:lang w:val="en-GB"/>
              </w:rPr>
            </w:pPr>
          </w:p>
        </w:tc>
        <w:tc>
          <w:tcPr>
            <w:tcW w:w="4678" w:type="dxa"/>
          </w:tcPr>
          <w:p w14:paraId="0E21E349"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Slovenská republika</w:t>
            </w:r>
          </w:p>
          <w:p w14:paraId="45192E2D" w14:textId="77777777" w:rsidR="00A26B73" w:rsidRPr="00DC08DD" w:rsidRDefault="00A26B73" w:rsidP="00A26B73">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20D5933"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0523E61A" w14:textId="77777777" w:rsidR="00A26B73" w:rsidRPr="00DC08DD" w:rsidRDefault="00A26B73" w:rsidP="00A26B73">
            <w:pPr>
              <w:pStyle w:val="KeinLeerraum"/>
              <w:rPr>
                <w:rFonts w:ascii="Times New Roman" w:hAnsi="Times New Roman"/>
                <w:lang w:val="en-GB"/>
              </w:rPr>
            </w:pPr>
          </w:p>
        </w:tc>
      </w:tr>
      <w:tr w:rsidR="00A26B73" w:rsidRPr="00DC08DD" w14:paraId="6F5E0C76" w14:textId="77777777" w:rsidTr="00A26B73">
        <w:trPr>
          <w:cantSplit/>
        </w:trPr>
        <w:tc>
          <w:tcPr>
            <w:tcW w:w="4678" w:type="dxa"/>
            <w:gridSpan w:val="2"/>
          </w:tcPr>
          <w:p w14:paraId="0BEA3038"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Italia</w:t>
            </w:r>
          </w:p>
          <w:p w14:paraId="32488905"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Group PTC ehf.</w:t>
            </w:r>
          </w:p>
          <w:p w14:paraId="23BD52E5" w14:textId="77777777" w:rsidR="00A26B73" w:rsidRDefault="00A26B73" w:rsidP="00A26B73">
            <w:pPr>
              <w:pStyle w:val="KeinLeerraum"/>
              <w:rPr>
                <w:rFonts w:ascii="Times New Roman" w:hAnsi="Times New Roman"/>
                <w:lang w:val="da-DK"/>
              </w:rPr>
            </w:pPr>
            <w:r w:rsidRPr="00DC08DD">
              <w:rPr>
                <w:rFonts w:ascii="Times New Roman" w:hAnsi="Times New Roman"/>
                <w:lang w:val="da-DK"/>
              </w:rPr>
              <w:t>Islanda</w:t>
            </w:r>
          </w:p>
          <w:p w14:paraId="3121D902" w14:textId="77777777" w:rsidR="00A26B73" w:rsidRPr="001B0C82" w:rsidRDefault="00A26B73" w:rsidP="00A26B73">
            <w:pPr>
              <w:pStyle w:val="KeinLeerraum"/>
              <w:rPr>
                <w:rFonts w:ascii="Times New Roman" w:hAnsi="Times New Roman"/>
                <w:lang w:val="en-US"/>
              </w:rPr>
            </w:pPr>
            <w:r w:rsidRPr="00B85F24">
              <w:rPr>
                <w:rFonts w:ascii="Times New Roman" w:hAnsi="Times New Roman"/>
                <w:noProof/>
              </w:rPr>
              <w:t>Tel: +354 5503300</w:t>
            </w:r>
          </w:p>
          <w:p w14:paraId="7A8EF5F1" w14:textId="77777777" w:rsidR="00A26B73" w:rsidRPr="00DC08DD" w:rsidRDefault="00A26B73" w:rsidP="00A26B73">
            <w:pPr>
              <w:pStyle w:val="KeinLeerraum"/>
              <w:rPr>
                <w:rFonts w:ascii="Times New Roman" w:hAnsi="Times New Roman"/>
                <w:b/>
                <w:lang w:val="en-GB"/>
              </w:rPr>
            </w:pPr>
          </w:p>
        </w:tc>
        <w:tc>
          <w:tcPr>
            <w:tcW w:w="4678" w:type="dxa"/>
          </w:tcPr>
          <w:p w14:paraId="597E250C" w14:textId="77777777" w:rsidR="00A26B73" w:rsidRPr="00DC08DD" w:rsidRDefault="00A26B73" w:rsidP="00A26B73">
            <w:pPr>
              <w:pStyle w:val="KeinLeerraum"/>
              <w:rPr>
                <w:rFonts w:ascii="Times New Roman" w:hAnsi="Times New Roman"/>
                <w:lang w:val="en-GB"/>
              </w:rPr>
            </w:pPr>
            <w:r w:rsidRPr="00DC08DD">
              <w:rPr>
                <w:rFonts w:ascii="Times New Roman" w:hAnsi="Times New Roman"/>
                <w:b/>
                <w:lang w:val="en-GB"/>
              </w:rPr>
              <w:t>Suomi/Finland</w:t>
            </w:r>
          </w:p>
          <w:p w14:paraId="576018FF" w14:textId="4EC89C21" w:rsidR="00A26B73" w:rsidRPr="00A26B73" w:rsidRDefault="00A26B73" w:rsidP="00A26B73">
            <w:pPr>
              <w:pStyle w:val="KeinLeerraum"/>
              <w:rPr>
                <w:rFonts w:ascii="Times New Roman" w:hAnsi="Times New Roman"/>
                <w:lang w:val="sv-SE"/>
              </w:rPr>
            </w:pPr>
            <w:r w:rsidRPr="00A26B73">
              <w:rPr>
                <w:rFonts w:ascii="Times New Roman" w:hAnsi="Times New Roman"/>
                <w:lang w:val="sv-SE"/>
              </w:rPr>
              <w:t>Teva Finland Oy</w:t>
            </w:r>
          </w:p>
          <w:p w14:paraId="1CABCE19"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A26B73">
              <w:rPr>
                <w:rFonts w:ascii="Times New Roman" w:hAnsi="Times New Roman"/>
                <w:lang w:val="sv-SE"/>
              </w:rPr>
              <w:t>201805900</w:t>
            </w:r>
          </w:p>
          <w:p w14:paraId="060E584C" w14:textId="77777777" w:rsidR="00A26B73" w:rsidRPr="00DC08DD" w:rsidRDefault="00A26B73" w:rsidP="00A26B73">
            <w:pPr>
              <w:pStyle w:val="KeinLeerraum"/>
              <w:rPr>
                <w:rFonts w:ascii="Times New Roman" w:hAnsi="Times New Roman"/>
                <w:b/>
                <w:lang w:val="en-GB"/>
              </w:rPr>
            </w:pPr>
          </w:p>
        </w:tc>
      </w:tr>
      <w:tr w:rsidR="00A26B73" w:rsidRPr="00DC08DD" w14:paraId="376BFE22" w14:textId="77777777" w:rsidTr="00A26B73">
        <w:trPr>
          <w:cantSplit/>
        </w:trPr>
        <w:tc>
          <w:tcPr>
            <w:tcW w:w="4678" w:type="dxa"/>
            <w:gridSpan w:val="2"/>
          </w:tcPr>
          <w:p w14:paraId="0610F532" w14:textId="77777777" w:rsidR="00A26B73" w:rsidRPr="00F81B0C" w:rsidRDefault="00A26B73" w:rsidP="00A26B73">
            <w:pPr>
              <w:pStyle w:val="KeinLeerraum"/>
              <w:rPr>
                <w:rFonts w:ascii="Times New Roman" w:hAnsi="Times New Roman"/>
                <w:b/>
              </w:rPr>
            </w:pPr>
            <w:r w:rsidRPr="00DC08DD">
              <w:rPr>
                <w:rFonts w:ascii="Times New Roman" w:hAnsi="Times New Roman"/>
                <w:b/>
                <w:lang w:val="en-GB"/>
              </w:rPr>
              <w:t>Κύπρος</w:t>
            </w:r>
          </w:p>
          <w:p w14:paraId="539B290C" w14:textId="77777777" w:rsidR="00A26B73" w:rsidRPr="00F81B0C" w:rsidRDefault="00A26B73" w:rsidP="00A26B73">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02829FCF" w14:textId="77777777" w:rsidR="00A26B73" w:rsidRPr="00F81B0C" w:rsidRDefault="00A26B73" w:rsidP="00A26B73">
            <w:pPr>
              <w:pStyle w:val="KeinLeerraum"/>
              <w:rPr>
                <w:rFonts w:ascii="Times New Roman" w:hAnsi="Times New Roman"/>
              </w:rPr>
            </w:pPr>
            <w:r w:rsidRPr="00DC08DD">
              <w:rPr>
                <w:rFonts w:ascii="Times New Roman" w:hAnsi="Times New Roman"/>
                <w:lang w:val="el-GR"/>
              </w:rPr>
              <w:t>Ελλάδα</w:t>
            </w:r>
          </w:p>
          <w:p w14:paraId="683971A2" w14:textId="011A7FC6" w:rsidR="00A26B73" w:rsidRPr="00F81B0C" w:rsidRDefault="00A26B73" w:rsidP="00A26B73">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7EC93ED9" w14:textId="77777777" w:rsidR="00A26B73" w:rsidRPr="00F81B0C" w:rsidRDefault="00A26B73" w:rsidP="00A26B73">
            <w:pPr>
              <w:pStyle w:val="KeinLeerraum"/>
              <w:rPr>
                <w:rFonts w:ascii="Times New Roman" w:hAnsi="Times New Roman"/>
              </w:rPr>
            </w:pPr>
          </w:p>
        </w:tc>
        <w:tc>
          <w:tcPr>
            <w:tcW w:w="4678" w:type="dxa"/>
          </w:tcPr>
          <w:p w14:paraId="097D0A5D" w14:textId="77777777" w:rsidR="00A26B73" w:rsidRPr="0056362A" w:rsidRDefault="00A26B73" w:rsidP="00A26B73">
            <w:pPr>
              <w:pStyle w:val="KeinLeerraum"/>
              <w:rPr>
                <w:rFonts w:ascii="Times New Roman" w:hAnsi="Times New Roman"/>
                <w:b/>
                <w:lang w:val="de-DE"/>
              </w:rPr>
            </w:pPr>
            <w:r w:rsidRPr="0056362A">
              <w:rPr>
                <w:rFonts w:ascii="Times New Roman" w:hAnsi="Times New Roman"/>
                <w:b/>
                <w:lang w:val="de-DE"/>
              </w:rPr>
              <w:t>Sverige</w:t>
            </w:r>
          </w:p>
          <w:p w14:paraId="1D034B42"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Teva Sweden AB</w:t>
            </w:r>
          </w:p>
          <w:p w14:paraId="226AE2AB" w14:textId="77777777" w:rsidR="00A26B73" w:rsidRPr="0056362A" w:rsidRDefault="00A26B73" w:rsidP="00A26B73">
            <w:pPr>
              <w:pStyle w:val="KeinLeerraum"/>
              <w:rPr>
                <w:rFonts w:ascii="Times New Roman" w:hAnsi="Times New Roman"/>
                <w:lang w:val="de-DE"/>
              </w:rPr>
            </w:pPr>
            <w:r w:rsidRPr="0056362A">
              <w:rPr>
                <w:rFonts w:ascii="Times New Roman" w:hAnsi="Times New Roman"/>
                <w:lang w:val="de-DE"/>
              </w:rPr>
              <w:t>Tel: +46 42121100</w:t>
            </w:r>
          </w:p>
          <w:p w14:paraId="79867CBB" w14:textId="77777777" w:rsidR="00A26B73" w:rsidRPr="0056362A" w:rsidRDefault="00A26B73" w:rsidP="00A26B73">
            <w:pPr>
              <w:pStyle w:val="KeinLeerraum"/>
              <w:rPr>
                <w:rFonts w:ascii="Times New Roman" w:hAnsi="Times New Roman"/>
                <w:lang w:val="de-DE"/>
              </w:rPr>
            </w:pPr>
          </w:p>
        </w:tc>
      </w:tr>
      <w:tr w:rsidR="00A26B73" w:rsidRPr="00DC08DD" w14:paraId="2F2AB4D5" w14:textId="77777777" w:rsidTr="00A26B73">
        <w:trPr>
          <w:cantSplit/>
        </w:trPr>
        <w:tc>
          <w:tcPr>
            <w:tcW w:w="4678" w:type="dxa"/>
            <w:gridSpan w:val="2"/>
          </w:tcPr>
          <w:p w14:paraId="45011CEB" w14:textId="77777777" w:rsidR="00A26B73" w:rsidRPr="00DC08DD" w:rsidRDefault="00A26B73" w:rsidP="00A26B73">
            <w:pPr>
              <w:pStyle w:val="KeinLeerraum"/>
              <w:rPr>
                <w:rFonts w:ascii="Times New Roman" w:hAnsi="Times New Roman"/>
                <w:b/>
                <w:bCs/>
                <w:lang w:val="en-GB" w:eastAsia="en-GB"/>
              </w:rPr>
            </w:pPr>
            <w:r w:rsidRPr="00DC08DD">
              <w:rPr>
                <w:rFonts w:ascii="Times New Roman" w:hAnsi="Times New Roman"/>
                <w:b/>
                <w:bCs/>
                <w:lang w:val="en-GB" w:eastAsia="en-GB"/>
              </w:rPr>
              <w:lastRenderedPageBreak/>
              <w:t>Latvija</w:t>
            </w:r>
          </w:p>
          <w:p w14:paraId="56BF308C" w14:textId="70A483FA" w:rsidR="00A26B73" w:rsidRPr="00A26B73" w:rsidRDefault="00A26B73" w:rsidP="00A26B73">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7FB64824" w14:textId="77777777" w:rsidR="00A26B73" w:rsidRPr="00DC08DD" w:rsidRDefault="00A26B73" w:rsidP="00A26B73">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0EFA92C1" w14:textId="77777777" w:rsidR="00A26B73" w:rsidRPr="00DC08DD" w:rsidRDefault="00A26B73" w:rsidP="00A26B73">
            <w:pPr>
              <w:pStyle w:val="KeinLeerraum"/>
              <w:rPr>
                <w:rFonts w:ascii="Times New Roman" w:hAnsi="Times New Roman"/>
                <w:lang w:val="en-GB"/>
              </w:rPr>
            </w:pPr>
          </w:p>
        </w:tc>
        <w:tc>
          <w:tcPr>
            <w:tcW w:w="4678" w:type="dxa"/>
          </w:tcPr>
          <w:p w14:paraId="3DDCAB63" w14:textId="77777777" w:rsidR="00A26B73" w:rsidRPr="00DC08DD" w:rsidRDefault="00A26B73" w:rsidP="00A26B73">
            <w:pPr>
              <w:pStyle w:val="KeinLeerraum"/>
              <w:rPr>
                <w:rFonts w:ascii="Times New Roman" w:hAnsi="Times New Roman"/>
                <w:b/>
                <w:lang w:val="en-GB"/>
              </w:rPr>
            </w:pPr>
            <w:r w:rsidRPr="00DC08DD">
              <w:rPr>
                <w:rFonts w:ascii="Times New Roman" w:hAnsi="Times New Roman"/>
                <w:b/>
                <w:lang w:val="en-GB"/>
              </w:rPr>
              <w:t>United Kingdom</w:t>
            </w:r>
          </w:p>
          <w:p w14:paraId="55A7D46C" w14:textId="77777777" w:rsidR="00A26B73" w:rsidRPr="00DC08DD" w:rsidRDefault="00A26B73" w:rsidP="00A26B73">
            <w:pPr>
              <w:pStyle w:val="KeinLeerraum"/>
              <w:rPr>
                <w:rFonts w:ascii="Times New Roman" w:hAnsi="Times New Roman"/>
                <w:lang w:val="en-GB"/>
              </w:rPr>
            </w:pPr>
            <w:r w:rsidRPr="00DC08DD">
              <w:rPr>
                <w:rFonts w:ascii="Times New Roman" w:hAnsi="Times New Roman"/>
                <w:lang w:val="en-GB"/>
              </w:rPr>
              <w:t>Actavis UK Limited</w:t>
            </w:r>
          </w:p>
          <w:p w14:paraId="228D1CCF" w14:textId="77777777" w:rsidR="00A26B73" w:rsidRPr="00DC08DD" w:rsidRDefault="00A26B73" w:rsidP="00A26B73">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1A97086B" w14:textId="77777777" w:rsidR="00A26B73" w:rsidRPr="00DC08DD" w:rsidRDefault="00A26B73" w:rsidP="00A26B73">
            <w:pPr>
              <w:pStyle w:val="KeinLeerraum"/>
              <w:rPr>
                <w:rFonts w:ascii="Times New Roman" w:hAnsi="Times New Roman"/>
                <w:lang w:val="en-GB"/>
              </w:rPr>
            </w:pPr>
          </w:p>
        </w:tc>
      </w:tr>
    </w:tbl>
    <w:p w14:paraId="14681F8E" w14:textId="77777777" w:rsidR="00A26B73" w:rsidRPr="000F398A" w:rsidRDefault="00A26B73" w:rsidP="00A26B73">
      <w:pPr>
        <w:autoSpaceDE w:val="0"/>
        <w:autoSpaceDN w:val="0"/>
        <w:adjustRightInd w:val="0"/>
        <w:spacing w:after="0" w:line="240" w:lineRule="auto"/>
        <w:rPr>
          <w:rFonts w:ascii="Times New Roman" w:hAnsi="Times New Roman"/>
        </w:rPr>
      </w:pPr>
    </w:p>
    <w:p w14:paraId="606176AE" w14:textId="77777777" w:rsidR="001F716D" w:rsidRPr="00AA499E" w:rsidRDefault="001F716D" w:rsidP="00842809">
      <w:pPr>
        <w:keepNext/>
        <w:keepLines/>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t>Denne indlægsseddel blev senest ændret &lt;DATO&gt;</w:t>
      </w:r>
    </w:p>
    <w:p w14:paraId="1612CD9A" w14:textId="77777777" w:rsidR="001F716D" w:rsidRPr="00AA499E" w:rsidRDefault="001F716D" w:rsidP="00842809">
      <w:pPr>
        <w:keepNext/>
        <w:keepLines/>
        <w:autoSpaceDE w:val="0"/>
        <w:autoSpaceDN w:val="0"/>
        <w:adjustRightInd w:val="0"/>
        <w:spacing w:after="0" w:line="240" w:lineRule="auto"/>
        <w:contextualSpacing/>
        <w:rPr>
          <w:rFonts w:ascii="Times New Roman" w:hAnsi="Times New Roman"/>
          <w:lang w:val="da-DK"/>
        </w:rPr>
      </w:pPr>
    </w:p>
    <w:p w14:paraId="6A663EFF" w14:textId="77777777" w:rsidR="001F716D" w:rsidRPr="00AA499E" w:rsidRDefault="001F716D" w:rsidP="00842809">
      <w:pPr>
        <w:keepNext/>
        <w:keepLines/>
        <w:autoSpaceDE w:val="0"/>
        <w:autoSpaceDN w:val="0"/>
        <w:adjustRightInd w:val="0"/>
        <w:spacing w:after="0" w:line="240" w:lineRule="auto"/>
        <w:contextualSpacing/>
        <w:rPr>
          <w:rFonts w:ascii="Times New Roman" w:hAnsi="Times New Roman"/>
          <w:b/>
          <w:bCs/>
          <w:lang w:val="da-DK"/>
        </w:rPr>
      </w:pPr>
      <w:r w:rsidRPr="00AA499E">
        <w:rPr>
          <w:rFonts w:ascii="Times New Roman" w:hAnsi="Times New Roman"/>
          <w:b/>
          <w:bCs/>
          <w:lang w:val="da-DK"/>
        </w:rPr>
        <w:t>Andre informationskilder</w:t>
      </w:r>
    </w:p>
    <w:p w14:paraId="6F8BA35C" w14:textId="77777777" w:rsidR="001F716D" w:rsidRPr="00AA499E" w:rsidRDefault="001F716D" w:rsidP="00842809">
      <w:pPr>
        <w:keepNext/>
        <w:keepLines/>
        <w:autoSpaceDE w:val="0"/>
        <w:autoSpaceDN w:val="0"/>
        <w:adjustRightInd w:val="0"/>
        <w:spacing w:after="0" w:line="240" w:lineRule="auto"/>
        <w:contextualSpacing/>
        <w:rPr>
          <w:rFonts w:ascii="Times New Roman" w:hAnsi="Times New Roman"/>
          <w:b/>
          <w:bCs/>
          <w:lang w:val="da-DK"/>
        </w:rPr>
      </w:pPr>
    </w:p>
    <w:p w14:paraId="5B0701BF" w14:textId="77777777" w:rsidR="001F716D" w:rsidRPr="00AA499E" w:rsidRDefault="001F716D" w:rsidP="00842809">
      <w:pPr>
        <w:keepNext/>
        <w:keepLines/>
        <w:autoSpaceDE w:val="0"/>
        <w:autoSpaceDN w:val="0"/>
        <w:adjustRightInd w:val="0"/>
        <w:spacing w:after="0" w:line="240" w:lineRule="auto"/>
        <w:contextualSpacing/>
        <w:rPr>
          <w:rFonts w:ascii="Times New Roman" w:hAnsi="Times New Roman"/>
          <w:lang w:val="da-DK"/>
        </w:rPr>
      </w:pPr>
      <w:r w:rsidRPr="00AA499E">
        <w:rPr>
          <w:rFonts w:ascii="Times New Roman" w:hAnsi="Times New Roman"/>
          <w:lang w:val="da-DK"/>
        </w:rPr>
        <w:t>Du kan finde yderligere oplysninger om dette lægemiddel på Det Europæiske Lægemiddelagenturs hjemmeside:</w:t>
      </w:r>
    </w:p>
    <w:p w14:paraId="36DAEA02" w14:textId="77777777" w:rsidR="001F716D" w:rsidRPr="00AA499E" w:rsidRDefault="008F3048" w:rsidP="00FD3E7A">
      <w:pPr>
        <w:autoSpaceDE w:val="0"/>
        <w:autoSpaceDN w:val="0"/>
        <w:adjustRightInd w:val="0"/>
        <w:spacing w:after="0" w:line="240" w:lineRule="auto"/>
        <w:contextualSpacing/>
        <w:rPr>
          <w:rFonts w:ascii="Times New Roman" w:hAnsi="Times New Roman"/>
          <w:lang w:val="da-DK"/>
        </w:rPr>
      </w:pPr>
      <w:hyperlink r:id="rId25" w:history="1">
        <w:r w:rsidR="001F716D" w:rsidRPr="00AA499E">
          <w:rPr>
            <w:rStyle w:val="Hyperlink"/>
            <w:rFonts w:ascii="Times New Roman" w:hAnsi="Times New Roman"/>
            <w:lang w:val="da-DK"/>
          </w:rPr>
          <w:t>http://www.ema.europa.eu</w:t>
        </w:r>
      </w:hyperlink>
    </w:p>
    <w:sectPr w:rsidR="001F716D" w:rsidRPr="00AA499E" w:rsidSect="006478AD">
      <w:footerReference w:type="default" r:id="rId26"/>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43C82" w14:textId="77777777" w:rsidR="00A26B73" w:rsidRDefault="00A26B73">
      <w:pPr>
        <w:spacing w:after="0" w:line="240" w:lineRule="auto"/>
      </w:pPr>
      <w:r>
        <w:separator/>
      </w:r>
    </w:p>
  </w:endnote>
  <w:endnote w:type="continuationSeparator" w:id="0">
    <w:p w14:paraId="5270537E" w14:textId="77777777" w:rsidR="00A26B73" w:rsidRDefault="00A2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EF01F" w14:textId="77777777" w:rsidR="00A26B73" w:rsidRPr="00245305" w:rsidRDefault="00A26B73">
    <w:pPr>
      <w:pStyle w:val="Fuzeile"/>
      <w:tabs>
        <w:tab w:val="right" w:pos="8931"/>
      </w:tabs>
      <w:ind w:right="96"/>
      <w:jc w:val="center"/>
      <w:rPr>
        <w:rFonts w:ascii="Arial" w:hAnsi="Arial" w:cs="Arial"/>
        <w:sz w:val="16"/>
        <w:szCs w:val="16"/>
      </w:rPr>
    </w:pPr>
    <w:r w:rsidRPr="00245305">
      <w:rPr>
        <w:rStyle w:val="Seitenzahl"/>
        <w:rFonts w:ascii="Arial" w:hAnsi="Arial" w:cs="Arial"/>
        <w:sz w:val="16"/>
        <w:szCs w:val="16"/>
      </w:rPr>
      <w:fldChar w:fldCharType="begin"/>
    </w:r>
    <w:r w:rsidRPr="00245305">
      <w:rPr>
        <w:rStyle w:val="Seitenzahl"/>
        <w:rFonts w:ascii="Arial" w:hAnsi="Arial" w:cs="Arial"/>
        <w:sz w:val="16"/>
        <w:szCs w:val="16"/>
      </w:rPr>
      <w:instrText xml:space="preserve">PAGE  </w:instrText>
    </w:r>
    <w:r w:rsidRPr="00245305">
      <w:rPr>
        <w:rStyle w:val="Seitenzahl"/>
        <w:rFonts w:ascii="Arial" w:hAnsi="Arial" w:cs="Arial"/>
        <w:sz w:val="16"/>
        <w:szCs w:val="16"/>
      </w:rPr>
      <w:fldChar w:fldCharType="separate"/>
    </w:r>
    <w:r w:rsidR="00184E06">
      <w:rPr>
        <w:rStyle w:val="Seitenzahl"/>
        <w:rFonts w:ascii="Arial" w:hAnsi="Arial" w:cs="Arial"/>
        <w:noProof/>
        <w:sz w:val="16"/>
        <w:szCs w:val="16"/>
      </w:rPr>
      <w:t>1</w:t>
    </w:r>
    <w:r w:rsidRPr="00245305">
      <w:rPr>
        <w:rStyle w:val="Seitenzahl"/>
        <w:rFonts w:ascii="Arial" w:hAnsi="Arial" w:cs="Arial"/>
        <w:sz w:val="16"/>
        <w:szCs w:val="16"/>
      </w:rPr>
      <w:fldChar w:fldCharType="end"/>
    </w:r>
  </w:p>
  <w:p w14:paraId="7DEEA8F4" w14:textId="77777777" w:rsidR="00A26B73" w:rsidRDefault="00A26B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7E000" w14:textId="77777777" w:rsidR="00A26B73" w:rsidRDefault="00A26B73">
      <w:pPr>
        <w:spacing w:after="0" w:line="240" w:lineRule="auto"/>
      </w:pPr>
      <w:r>
        <w:separator/>
      </w:r>
    </w:p>
  </w:footnote>
  <w:footnote w:type="continuationSeparator" w:id="0">
    <w:p w14:paraId="3129F9DD" w14:textId="77777777" w:rsidR="00A26B73" w:rsidRDefault="00A26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76630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20E0E5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5A2D6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DA2E2C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4E8DD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228D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C08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EEC77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E2008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44A54A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9C0D6A"/>
    <w:multiLevelType w:val="hybridMultilevel"/>
    <w:tmpl w:val="DC5C31B8"/>
    <w:lvl w:ilvl="0" w:tplc="ECC60812">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A11461"/>
    <w:multiLevelType w:val="hybridMultilevel"/>
    <w:tmpl w:val="3B4ACFAA"/>
    <w:lvl w:ilvl="0" w:tplc="B374F3A4">
      <w:start w:val="2"/>
      <w:numFmt w:val="bullet"/>
      <w:lvlText w:val="-"/>
      <w:lvlJc w:val="left"/>
      <w:pPr>
        <w:ind w:left="760" w:hanging="360"/>
      </w:pPr>
      <w:rPr>
        <w:rFonts w:ascii="Times New Roman" w:eastAsia="Calibri" w:hAnsi="Times New Roman" w:cs="Times New Roman" w:hint="default"/>
        <w:b/>
      </w:rPr>
    </w:lvl>
    <w:lvl w:ilvl="1" w:tplc="041D0003" w:tentative="1">
      <w:start w:val="1"/>
      <w:numFmt w:val="bullet"/>
      <w:lvlText w:val="o"/>
      <w:lvlJc w:val="left"/>
      <w:pPr>
        <w:ind w:left="1480" w:hanging="360"/>
      </w:pPr>
      <w:rPr>
        <w:rFonts w:ascii="Courier New" w:hAnsi="Courier New" w:cs="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cs="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cs="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2" w15:restartNumberingAfterBreak="0">
    <w:nsid w:val="106B1049"/>
    <w:multiLevelType w:val="hybridMultilevel"/>
    <w:tmpl w:val="CDA4CB34"/>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2EE6807"/>
    <w:multiLevelType w:val="hybridMultilevel"/>
    <w:tmpl w:val="4AD6743A"/>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48C0322"/>
    <w:multiLevelType w:val="hybridMultilevel"/>
    <w:tmpl w:val="C7D265AE"/>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6B37DCC"/>
    <w:multiLevelType w:val="hybridMultilevel"/>
    <w:tmpl w:val="956CD3B8"/>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7327E11"/>
    <w:multiLevelType w:val="hybridMultilevel"/>
    <w:tmpl w:val="3EC0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E2A5A"/>
    <w:multiLevelType w:val="hybridMultilevel"/>
    <w:tmpl w:val="D10438F6"/>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19" w15:restartNumberingAfterBreak="0">
    <w:nsid w:val="230063E7"/>
    <w:multiLevelType w:val="hybridMultilevel"/>
    <w:tmpl w:val="A182651E"/>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1" w15:restartNumberingAfterBreak="0">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2D1D6F0D"/>
    <w:multiLevelType w:val="hybridMultilevel"/>
    <w:tmpl w:val="8E7459FA"/>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060082B"/>
    <w:multiLevelType w:val="hybridMultilevel"/>
    <w:tmpl w:val="87D6B3A4"/>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F53355"/>
    <w:multiLevelType w:val="hybridMultilevel"/>
    <w:tmpl w:val="E5D49188"/>
    <w:lvl w:ilvl="0" w:tplc="B374F3A4">
      <w:start w:val="2"/>
      <w:numFmt w:val="bullet"/>
      <w:lvlText w:val="-"/>
      <w:lvlJc w:val="left"/>
      <w:pPr>
        <w:ind w:left="770" w:hanging="360"/>
      </w:pPr>
      <w:rPr>
        <w:rFonts w:ascii="Times New Roman" w:eastAsia="Calibri" w:hAnsi="Times New Roman" w:cs="Times New Roman" w:hint="default"/>
        <w:b/>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26" w15:restartNumberingAfterBreak="0">
    <w:nsid w:val="35A41EBD"/>
    <w:multiLevelType w:val="hybridMultilevel"/>
    <w:tmpl w:val="F0D0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8" w15:restartNumberingAfterBreak="0">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9" w15:restartNumberingAfterBreak="0">
    <w:nsid w:val="466A24F0"/>
    <w:multiLevelType w:val="hybridMultilevel"/>
    <w:tmpl w:val="9502F722"/>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AB356C"/>
    <w:multiLevelType w:val="hybridMultilevel"/>
    <w:tmpl w:val="D6727D26"/>
    <w:lvl w:ilvl="0" w:tplc="D854CA1A">
      <w:start w:val="3"/>
      <w:numFmt w:val="upperLetter"/>
      <w:lvlText w:val="%1."/>
      <w:lvlJc w:val="left"/>
      <w:pPr>
        <w:ind w:left="360" w:hanging="360"/>
      </w:pPr>
      <w:rPr>
        <w:rFonts w:cs="Times New Roman" w:hint="default"/>
        <w:b/>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1"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3" w15:restartNumberingAfterBreak="0">
    <w:nsid w:val="5EEC449F"/>
    <w:multiLevelType w:val="hybridMultilevel"/>
    <w:tmpl w:val="88AA8080"/>
    <w:lvl w:ilvl="0" w:tplc="B374F3A4">
      <w:start w:val="2"/>
      <w:numFmt w:val="bullet"/>
      <w:lvlText w:val="-"/>
      <w:lvlJc w:val="left"/>
      <w:pPr>
        <w:ind w:left="720" w:hanging="360"/>
      </w:pPr>
      <w:rPr>
        <w:rFonts w:ascii="Times New Roman" w:eastAsia="Calibri"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5" w15:restartNumberingAfterBreak="0">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15:restartNumberingAfterBreak="0">
    <w:nsid w:val="6951054A"/>
    <w:multiLevelType w:val="hybridMultilevel"/>
    <w:tmpl w:val="8CC6F684"/>
    <w:lvl w:ilvl="0" w:tplc="B374F3A4">
      <w:start w:val="2"/>
      <w:numFmt w:val="bullet"/>
      <w:lvlText w:val="-"/>
      <w:lvlJc w:val="left"/>
      <w:pPr>
        <w:ind w:left="1405" w:hanging="360"/>
      </w:pPr>
      <w:rPr>
        <w:rFonts w:ascii="Times New Roman" w:eastAsia="Calibri" w:hAnsi="Times New Roman" w:cs="Times New Roman" w:hint="default"/>
        <w:b/>
      </w:rPr>
    </w:lvl>
    <w:lvl w:ilvl="1" w:tplc="041D0003" w:tentative="1">
      <w:start w:val="1"/>
      <w:numFmt w:val="bullet"/>
      <w:lvlText w:val="o"/>
      <w:lvlJc w:val="left"/>
      <w:pPr>
        <w:ind w:left="2125" w:hanging="360"/>
      </w:pPr>
      <w:rPr>
        <w:rFonts w:ascii="Courier New" w:hAnsi="Courier New" w:cs="Courier New" w:hint="default"/>
      </w:rPr>
    </w:lvl>
    <w:lvl w:ilvl="2" w:tplc="041D0005" w:tentative="1">
      <w:start w:val="1"/>
      <w:numFmt w:val="bullet"/>
      <w:lvlText w:val=""/>
      <w:lvlJc w:val="left"/>
      <w:pPr>
        <w:ind w:left="2845" w:hanging="360"/>
      </w:pPr>
      <w:rPr>
        <w:rFonts w:ascii="Wingdings" w:hAnsi="Wingdings" w:hint="default"/>
      </w:rPr>
    </w:lvl>
    <w:lvl w:ilvl="3" w:tplc="041D0001" w:tentative="1">
      <w:start w:val="1"/>
      <w:numFmt w:val="bullet"/>
      <w:lvlText w:val=""/>
      <w:lvlJc w:val="left"/>
      <w:pPr>
        <w:ind w:left="3565" w:hanging="360"/>
      </w:pPr>
      <w:rPr>
        <w:rFonts w:ascii="Symbol" w:hAnsi="Symbol" w:hint="default"/>
      </w:rPr>
    </w:lvl>
    <w:lvl w:ilvl="4" w:tplc="041D0003" w:tentative="1">
      <w:start w:val="1"/>
      <w:numFmt w:val="bullet"/>
      <w:lvlText w:val="o"/>
      <w:lvlJc w:val="left"/>
      <w:pPr>
        <w:ind w:left="4285" w:hanging="360"/>
      </w:pPr>
      <w:rPr>
        <w:rFonts w:ascii="Courier New" w:hAnsi="Courier New" w:cs="Courier New" w:hint="default"/>
      </w:rPr>
    </w:lvl>
    <w:lvl w:ilvl="5" w:tplc="041D0005" w:tentative="1">
      <w:start w:val="1"/>
      <w:numFmt w:val="bullet"/>
      <w:lvlText w:val=""/>
      <w:lvlJc w:val="left"/>
      <w:pPr>
        <w:ind w:left="5005" w:hanging="360"/>
      </w:pPr>
      <w:rPr>
        <w:rFonts w:ascii="Wingdings" w:hAnsi="Wingdings" w:hint="default"/>
      </w:rPr>
    </w:lvl>
    <w:lvl w:ilvl="6" w:tplc="041D0001" w:tentative="1">
      <w:start w:val="1"/>
      <w:numFmt w:val="bullet"/>
      <w:lvlText w:val=""/>
      <w:lvlJc w:val="left"/>
      <w:pPr>
        <w:ind w:left="5725" w:hanging="360"/>
      </w:pPr>
      <w:rPr>
        <w:rFonts w:ascii="Symbol" w:hAnsi="Symbol" w:hint="default"/>
      </w:rPr>
    </w:lvl>
    <w:lvl w:ilvl="7" w:tplc="041D0003" w:tentative="1">
      <w:start w:val="1"/>
      <w:numFmt w:val="bullet"/>
      <w:lvlText w:val="o"/>
      <w:lvlJc w:val="left"/>
      <w:pPr>
        <w:ind w:left="6445" w:hanging="360"/>
      </w:pPr>
      <w:rPr>
        <w:rFonts w:ascii="Courier New" w:hAnsi="Courier New" w:cs="Courier New" w:hint="default"/>
      </w:rPr>
    </w:lvl>
    <w:lvl w:ilvl="8" w:tplc="041D0005" w:tentative="1">
      <w:start w:val="1"/>
      <w:numFmt w:val="bullet"/>
      <w:lvlText w:val=""/>
      <w:lvlJc w:val="left"/>
      <w:pPr>
        <w:ind w:left="7165" w:hanging="360"/>
      </w:pPr>
      <w:rPr>
        <w:rFonts w:ascii="Wingdings" w:hAnsi="Wingdings" w:hint="default"/>
      </w:rPr>
    </w:lvl>
  </w:abstractNum>
  <w:abstractNum w:abstractNumId="37"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38" w15:restartNumberingAfterBreak="0">
    <w:nsid w:val="766A08C6"/>
    <w:multiLevelType w:val="hybridMultilevel"/>
    <w:tmpl w:val="713C99C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35"/>
  </w:num>
  <w:num w:numId="2">
    <w:abstractNumId w:val="37"/>
  </w:num>
  <w:num w:numId="3">
    <w:abstractNumId w:val="30"/>
  </w:num>
  <w:num w:numId="4">
    <w:abstractNumId w:val="37"/>
  </w:num>
  <w:num w:numId="5">
    <w:abstractNumId w:val="31"/>
  </w:num>
  <w:num w:numId="6">
    <w:abstractNumId w:val="11"/>
  </w:num>
  <w:num w:numId="7">
    <w:abstractNumId w:val="36"/>
  </w:num>
  <w:num w:numId="8">
    <w:abstractNumId w:val="22"/>
  </w:num>
  <w:num w:numId="9">
    <w:abstractNumId w:val="32"/>
  </w:num>
  <w:num w:numId="10">
    <w:abstractNumId w:val="34"/>
  </w:num>
  <w:num w:numId="11">
    <w:abstractNumId w:val="21"/>
  </w:num>
  <w:num w:numId="12">
    <w:abstractNumId w:val="20"/>
  </w:num>
  <w:num w:numId="13">
    <w:abstractNumId w:val="28"/>
  </w:num>
  <w:num w:numId="14">
    <w:abstractNumId w:val="27"/>
  </w:num>
  <w:num w:numId="15">
    <w:abstractNumId w:val="18"/>
  </w:num>
  <w:num w:numId="16">
    <w:abstractNumId w:val="14"/>
  </w:num>
  <w:num w:numId="17">
    <w:abstractNumId w:val="19"/>
  </w:num>
  <w:num w:numId="18">
    <w:abstractNumId w:val="10"/>
  </w:num>
  <w:num w:numId="19">
    <w:abstractNumId w:val="12"/>
  </w:num>
  <w:num w:numId="20">
    <w:abstractNumId w:val="17"/>
  </w:num>
  <w:num w:numId="21">
    <w:abstractNumId w:val="33"/>
  </w:num>
  <w:num w:numId="22">
    <w:abstractNumId w:val="15"/>
  </w:num>
  <w:num w:numId="23">
    <w:abstractNumId w:val="24"/>
  </w:num>
  <w:num w:numId="24">
    <w:abstractNumId w:val="23"/>
  </w:num>
  <w:num w:numId="25">
    <w:abstractNumId w:val="25"/>
  </w:num>
  <w:num w:numId="26">
    <w:abstractNumId w:val="29"/>
  </w:num>
  <w:num w:numId="27">
    <w:abstractNumId w:val="13"/>
  </w:num>
  <w:num w:numId="28">
    <w:abstractNumId w:val="16"/>
  </w:num>
  <w:num w:numId="29">
    <w:abstractNumId w:val="26"/>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DF"/>
    <w:rsid w:val="00003F07"/>
    <w:rsid w:val="00005A17"/>
    <w:rsid w:val="00012137"/>
    <w:rsid w:val="0001430D"/>
    <w:rsid w:val="00016F50"/>
    <w:rsid w:val="00017EA4"/>
    <w:rsid w:val="00020D52"/>
    <w:rsid w:val="000248EF"/>
    <w:rsid w:val="00025757"/>
    <w:rsid w:val="00025D40"/>
    <w:rsid w:val="00030BFD"/>
    <w:rsid w:val="000361CE"/>
    <w:rsid w:val="00036AF0"/>
    <w:rsid w:val="00043C47"/>
    <w:rsid w:val="00052010"/>
    <w:rsid w:val="0005754B"/>
    <w:rsid w:val="00060857"/>
    <w:rsid w:val="00063087"/>
    <w:rsid w:val="00063A26"/>
    <w:rsid w:val="0006447E"/>
    <w:rsid w:val="00065874"/>
    <w:rsid w:val="0006697F"/>
    <w:rsid w:val="000700DF"/>
    <w:rsid w:val="00070AF0"/>
    <w:rsid w:val="00074245"/>
    <w:rsid w:val="00077C0E"/>
    <w:rsid w:val="00081E28"/>
    <w:rsid w:val="0008251B"/>
    <w:rsid w:val="00082AC2"/>
    <w:rsid w:val="00083381"/>
    <w:rsid w:val="00086FE5"/>
    <w:rsid w:val="00091A5E"/>
    <w:rsid w:val="00093184"/>
    <w:rsid w:val="000976A9"/>
    <w:rsid w:val="000A136F"/>
    <w:rsid w:val="000A567E"/>
    <w:rsid w:val="000A5FF6"/>
    <w:rsid w:val="000A6437"/>
    <w:rsid w:val="000C188F"/>
    <w:rsid w:val="000C3976"/>
    <w:rsid w:val="000C3F7D"/>
    <w:rsid w:val="000C53EA"/>
    <w:rsid w:val="000C6C22"/>
    <w:rsid w:val="000C7698"/>
    <w:rsid w:val="000D1CA7"/>
    <w:rsid w:val="000D2754"/>
    <w:rsid w:val="000D7DB0"/>
    <w:rsid w:val="000E080F"/>
    <w:rsid w:val="000E0EB2"/>
    <w:rsid w:val="000E26B2"/>
    <w:rsid w:val="000E3C47"/>
    <w:rsid w:val="000E3EA1"/>
    <w:rsid w:val="000E49FD"/>
    <w:rsid w:val="000F26F4"/>
    <w:rsid w:val="000F357C"/>
    <w:rsid w:val="00101214"/>
    <w:rsid w:val="001019EB"/>
    <w:rsid w:val="001019F7"/>
    <w:rsid w:val="00107DD7"/>
    <w:rsid w:val="00110096"/>
    <w:rsid w:val="00114A65"/>
    <w:rsid w:val="0011697F"/>
    <w:rsid w:val="001251D7"/>
    <w:rsid w:val="001278B7"/>
    <w:rsid w:val="00140725"/>
    <w:rsid w:val="00143DCE"/>
    <w:rsid w:val="00146BA0"/>
    <w:rsid w:val="001470E4"/>
    <w:rsid w:val="00150FA7"/>
    <w:rsid w:val="00151C53"/>
    <w:rsid w:val="00151F2F"/>
    <w:rsid w:val="00154217"/>
    <w:rsid w:val="001544D3"/>
    <w:rsid w:val="00156760"/>
    <w:rsid w:val="0015782B"/>
    <w:rsid w:val="00160927"/>
    <w:rsid w:val="0016108A"/>
    <w:rsid w:val="00164DF5"/>
    <w:rsid w:val="001658C2"/>
    <w:rsid w:val="001672A5"/>
    <w:rsid w:val="0017077B"/>
    <w:rsid w:val="00176FF5"/>
    <w:rsid w:val="00183F4E"/>
    <w:rsid w:val="001847F0"/>
    <w:rsid w:val="00184E06"/>
    <w:rsid w:val="001854BB"/>
    <w:rsid w:val="00191FF7"/>
    <w:rsid w:val="00194B5C"/>
    <w:rsid w:val="00196362"/>
    <w:rsid w:val="001A1B94"/>
    <w:rsid w:val="001A1C88"/>
    <w:rsid w:val="001A200F"/>
    <w:rsid w:val="001A3B36"/>
    <w:rsid w:val="001A59F1"/>
    <w:rsid w:val="001A7D67"/>
    <w:rsid w:val="001B065F"/>
    <w:rsid w:val="001B07B9"/>
    <w:rsid w:val="001B1590"/>
    <w:rsid w:val="001B2386"/>
    <w:rsid w:val="001B50A9"/>
    <w:rsid w:val="001B5827"/>
    <w:rsid w:val="001C31A3"/>
    <w:rsid w:val="001C43D6"/>
    <w:rsid w:val="001C4DE3"/>
    <w:rsid w:val="001C6277"/>
    <w:rsid w:val="001D1A56"/>
    <w:rsid w:val="001D1E8D"/>
    <w:rsid w:val="001D497C"/>
    <w:rsid w:val="001E0775"/>
    <w:rsid w:val="001E205A"/>
    <w:rsid w:val="001E25A9"/>
    <w:rsid w:val="001E26A0"/>
    <w:rsid w:val="001E5A0F"/>
    <w:rsid w:val="001E5F00"/>
    <w:rsid w:val="001F03DF"/>
    <w:rsid w:val="001F0F7A"/>
    <w:rsid w:val="001F5245"/>
    <w:rsid w:val="001F6230"/>
    <w:rsid w:val="001F716D"/>
    <w:rsid w:val="00202D6C"/>
    <w:rsid w:val="00203D86"/>
    <w:rsid w:val="00205510"/>
    <w:rsid w:val="002056E3"/>
    <w:rsid w:val="00213581"/>
    <w:rsid w:val="002151F3"/>
    <w:rsid w:val="00216EF1"/>
    <w:rsid w:val="00217055"/>
    <w:rsid w:val="00220D03"/>
    <w:rsid w:val="002219D7"/>
    <w:rsid w:val="002271E0"/>
    <w:rsid w:val="00227A21"/>
    <w:rsid w:val="00230A40"/>
    <w:rsid w:val="00233DFC"/>
    <w:rsid w:val="0024063B"/>
    <w:rsid w:val="00241EB4"/>
    <w:rsid w:val="00242754"/>
    <w:rsid w:val="00243250"/>
    <w:rsid w:val="00245305"/>
    <w:rsid w:val="002505EB"/>
    <w:rsid w:val="0025529A"/>
    <w:rsid w:val="002556CF"/>
    <w:rsid w:val="0025589F"/>
    <w:rsid w:val="00257321"/>
    <w:rsid w:val="00260949"/>
    <w:rsid w:val="00265763"/>
    <w:rsid w:val="0026720E"/>
    <w:rsid w:val="002675CD"/>
    <w:rsid w:val="00273E93"/>
    <w:rsid w:val="0028015B"/>
    <w:rsid w:val="0028023A"/>
    <w:rsid w:val="00280CB0"/>
    <w:rsid w:val="00281B64"/>
    <w:rsid w:val="0028324B"/>
    <w:rsid w:val="00284D24"/>
    <w:rsid w:val="00290EA1"/>
    <w:rsid w:val="00291001"/>
    <w:rsid w:val="00292ADE"/>
    <w:rsid w:val="00293104"/>
    <w:rsid w:val="00295360"/>
    <w:rsid w:val="002A5165"/>
    <w:rsid w:val="002A7A45"/>
    <w:rsid w:val="002A7BDA"/>
    <w:rsid w:val="002B2890"/>
    <w:rsid w:val="002B30CD"/>
    <w:rsid w:val="002B4C2E"/>
    <w:rsid w:val="002B4CB8"/>
    <w:rsid w:val="002B5FFF"/>
    <w:rsid w:val="002C066E"/>
    <w:rsid w:val="002C21B3"/>
    <w:rsid w:val="002C2EB9"/>
    <w:rsid w:val="002C33C2"/>
    <w:rsid w:val="002C57A9"/>
    <w:rsid w:val="002D4F36"/>
    <w:rsid w:val="002D61D8"/>
    <w:rsid w:val="002D73F7"/>
    <w:rsid w:val="002E0CE6"/>
    <w:rsid w:val="002E1B7A"/>
    <w:rsid w:val="002E2BBF"/>
    <w:rsid w:val="002E7D4F"/>
    <w:rsid w:val="002F1F28"/>
    <w:rsid w:val="002F2F05"/>
    <w:rsid w:val="002F5B5A"/>
    <w:rsid w:val="002F795F"/>
    <w:rsid w:val="00302175"/>
    <w:rsid w:val="003045B2"/>
    <w:rsid w:val="003063DC"/>
    <w:rsid w:val="00307175"/>
    <w:rsid w:val="003201EC"/>
    <w:rsid w:val="00320CF1"/>
    <w:rsid w:val="00324263"/>
    <w:rsid w:val="0032432D"/>
    <w:rsid w:val="00325123"/>
    <w:rsid w:val="003262CA"/>
    <w:rsid w:val="00327148"/>
    <w:rsid w:val="00334BB4"/>
    <w:rsid w:val="003351C4"/>
    <w:rsid w:val="00336963"/>
    <w:rsid w:val="0033747C"/>
    <w:rsid w:val="003421B6"/>
    <w:rsid w:val="003453F2"/>
    <w:rsid w:val="00347142"/>
    <w:rsid w:val="0035293C"/>
    <w:rsid w:val="00352A37"/>
    <w:rsid w:val="00355C68"/>
    <w:rsid w:val="0035701B"/>
    <w:rsid w:val="00357FD6"/>
    <w:rsid w:val="003614BD"/>
    <w:rsid w:val="00363345"/>
    <w:rsid w:val="003650E3"/>
    <w:rsid w:val="003652F3"/>
    <w:rsid w:val="00370FB3"/>
    <w:rsid w:val="00373215"/>
    <w:rsid w:val="00376475"/>
    <w:rsid w:val="0038010C"/>
    <w:rsid w:val="003801AF"/>
    <w:rsid w:val="0038481A"/>
    <w:rsid w:val="00386968"/>
    <w:rsid w:val="0039543B"/>
    <w:rsid w:val="00395498"/>
    <w:rsid w:val="003A09F3"/>
    <w:rsid w:val="003A2681"/>
    <w:rsid w:val="003B4EB4"/>
    <w:rsid w:val="003B6754"/>
    <w:rsid w:val="003B6AD1"/>
    <w:rsid w:val="003C0EE0"/>
    <w:rsid w:val="003C30A8"/>
    <w:rsid w:val="003C5435"/>
    <w:rsid w:val="003D1308"/>
    <w:rsid w:val="003D243A"/>
    <w:rsid w:val="003D2826"/>
    <w:rsid w:val="003D4A5B"/>
    <w:rsid w:val="003D62D2"/>
    <w:rsid w:val="003E0443"/>
    <w:rsid w:val="003E1280"/>
    <w:rsid w:val="003E1A6C"/>
    <w:rsid w:val="003E5DE2"/>
    <w:rsid w:val="003E7BAD"/>
    <w:rsid w:val="003F1283"/>
    <w:rsid w:val="003F3252"/>
    <w:rsid w:val="003F483B"/>
    <w:rsid w:val="003F552E"/>
    <w:rsid w:val="004005F0"/>
    <w:rsid w:val="0040215F"/>
    <w:rsid w:val="00405A1F"/>
    <w:rsid w:val="00406109"/>
    <w:rsid w:val="00407C2B"/>
    <w:rsid w:val="00410089"/>
    <w:rsid w:val="00416E20"/>
    <w:rsid w:val="004222D6"/>
    <w:rsid w:val="0042482D"/>
    <w:rsid w:val="00426A9F"/>
    <w:rsid w:val="004279F3"/>
    <w:rsid w:val="00430277"/>
    <w:rsid w:val="00433558"/>
    <w:rsid w:val="0043576A"/>
    <w:rsid w:val="00435894"/>
    <w:rsid w:val="00435FF8"/>
    <w:rsid w:val="00436BC4"/>
    <w:rsid w:val="00436D8F"/>
    <w:rsid w:val="00437B1F"/>
    <w:rsid w:val="00437BDC"/>
    <w:rsid w:val="00440749"/>
    <w:rsid w:val="004438FF"/>
    <w:rsid w:val="00453712"/>
    <w:rsid w:val="00453E65"/>
    <w:rsid w:val="004541A1"/>
    <w:rsid w:val="004559E4"/>
    <w:rsid w:val="00460F48"/>
    <w:rsid w:val="00462FB4"/>
    <w:rsid w:val="004632E7"/>
    <w:rsid w:val="004652EA"/>
    <w:rsid w:val="00465606"/>
    <w:rsid w:val="0046594F"/>
    <w:rsid w:val="00472FB7"/>
    <w:rsid w:val="00474977"/>
    <w:rsid w:val="00477083"/>
    <w:rsid w:val="00477DAB"/>
    <w:rsid w:val="004814E3"/>
    <w:rsid w:val="0048421D"/>
    <w:rsid w:val="0048537E"/>
    <w:rsid w:val="00485DDF"/>
    <w:rsid w:val="00487812"/>
    <w:rsid w:val="004935BD"/>
    <w:rsid w:val="00494292"/>
    <w:rsid w:val="00496432"/>
    <w:rsid w:val="004A42B5"/>
    <w:rsid w:val="004A5E6A"/>
    <w:rsid w:val="004A6234"/>
    <w:rsid w:val="004A644C"/>
    <w:rsid w:val="004A78B6"/>
    <w:rsid w:val="004B087F"/>
    <w:rsid w:val="004B2281"/>
    <w:rsid w:val="004B4557"/>
    <w:rsid w:val="004B4A7E"/>
    <w:rsid w:val="004B5174"/>
    <w:rsid w:val="004B6C70"/>
    <w:rsid w:val="004B7B7C"/>
    <w:rsid w:val="004C011F"/>
    <w:rsid w:val="004C2C5E"/>
    <w:rsid w:val="004C2DCE"/>
    <w:rsid w:val="004C306F"/>
    <w:rsid w:val="004D0250"/>
    <w:rsid w:val="004D0C81"/>
    <w:rsid w:val="004D360F"/>
    <w:rsid w:val="004D391E"/>
    <w:rsid w:val="004D49AC"/>
    <w:rsid w:val="004D4F8D"/>
    <w:rsid w:val="004D6868"/>
    <w:rsid w:val="004E1568"/>
    <w:rsid w:val="004E1C9F"/>
    <w:rsid w:val="004E4F39"/>
    <w:rsid w:val="004E54BF"/>
    <w:rsid w:val="004E788E"/>
    <w:rsid w:val="004E7DB3"/>
    <w:rsid w:val="004F020F"/>
    <w:rsid w:val="004F1914"/>
    <w:rsid w:val="004F1B1C"/>
    <w:rsid w:val="004F5177"/>
    <w:rsid w:val="004F7066"/>
    <w:rsid w:val="004F7089"/>
    <w:rsid w:val="00505BED"/>
    <w:rsid w:val="00510625"/>
    <w:rsid w:val="00513468"/>
    <w:rsid w:val="00520217"/>
    <w:rsid w:val="00520611"/>
    <w:rsid w:val="005221E7"/>
    <w:rsid w:val="0052386E"/>
    <w:rsid w:val="00526431"/>
    <w:rsid w:val="005302DA"/>
    <w:rsid w:val="00530712"/>
    <w:rsid w:val="00533B33"/>
    <w:rsid w:val="00536953"/>
    <w:rsid w:val="00536D0A"/>
    <w:rsid w:val="00537232"/>
    <w:rsid w:val="0053751C"/>
    <w:rsid w:val="005379F1"/>
    <w:rsid w:val="00541F41"/>
    <w:rsid w:val="00542BA5"/>
    <w:rsid w:val="00544649"/>
    <w:rsid w:val="005448C0"/>
    <w:rsid w:val="00550F7D"/>
    <w:rsid w:val="005514E9"/>
    <w:rsid w:val="00551E6A"/>
    <w:rsid w:val="00554886"/>
    <w:rsid w:val="00570DC0"/>
    <w:rsid w:val="00573F2B"/>
    <w:rsid w:val="0057496B"/>
    <w:rsid w:val="00582000"/>
    <w:rsid w:val="00584EFE"/>
    <w:rsid w:val="00591380"/>
    <w:rsid w:val="00592985"/>
    <w:rsid w:val="00594B80"/>
    <w:rsid w:val="005A0ABB"/>
    <w:rsid w:val="005A1351"/>
    <w:rsid w:val="005A228E"/>
    <w:rsid w:val="005A2821"/>
    <w:rsid w:val="005A3E9C"/>
    <w:rsid w:val="005A4A2B"/>
    <w:rsid w:val="005A4DAC"/>
    <w:rsid w:val="005A65D5"/>
    <w:rsid w:val="005A7942"/>
    <w:rsid w:val="005B05D9"/>
    <w:rsid w:val="005B2486"/>
    <w:rsid w:val="005B2B30"/>
    <w:rsid w:val="005B38C0"/>
    <w:rsid w:val="005C4936"/>
    <w:rsid w:val="005E1745"/>
    <w:rsid w:val="005E3E47"/>
    <w:rsid w:val="005E66E0"/>
    <w:rsid w:val="005F0C07"/>
    <w:rsid w:val="005F43B3"/>
    <w:rsid w:val="005F5723"/>
    <w:rsid w:val="005F75CB"/>
    <w:rsid w:val="0060043A"/>
    <w:rsid w:val="0060751F"/>
    <w:rsid w:val="0061139B"/>
    <w:rsid w:val="006122EA"/>
    <w:rsid w:val="00613227"/>
    <w:rsid w:val="006162CE"/>
    <w:rsid w:val="00616F3C"/>
    <w:rsid w:val="00620FFD"/>
    <w:rsid w:val="0062171E"/>
    <w:rsid w:val="00624E76"/>
    <w:rsid w:val="00625392"/>
    <w:rsid w:val="00627C50"/>
    <w:rsid w:val="00631861"/>
    <w:rsid w:val="00631C1F"/>
    <w:rsid w:val="0063369B"/>
    <w:rsid w:val="00642A89"/>
    <w:rsid w:val="00644C3A"/>
    <w:rsid w:val="006478AD"/>
    <w:rsid w:val="006513E6"/>
    <w:rsid w:val="0065168F"/>
    <w:rsid w:val="006516B3"/>
    <w:rsid w:val="00652F8A"/>
    <w:rsid w:val="0065567D"/>
    <w:rsid w:val="006575A7"/>
    <w:rsid w:val="00657927"/>
    <w:rsid w:val="006609CE"/>
    <w:rsid w:val="0066240D"/>
    <w:rsid w:val="00666526"/>
    <w:rsid w:val="00666837"/>
    <w:rsid w:val="0066796E"/>
    <w:rsid w:val="00667EB1"/>
    <w:rsid w:val="006733B6"/>
    <w:rsid w:val="00673F25"/>
    <w:rsid w:val="00675471"/>
    <w:rsid w:val="00675EE9"/>
    <w:rsid w:val="00676542"/>
    <w:rsid w:val="00677A1D"/>
    <w:rsid w:val="00677E11"/>
    <w:rsid w:val="00681781"/>
    <w:rsid w:val="00681AFC"/>
    <w:rsid w:val="00681E7A"/>
    <w:rsid w:val="006841F7"/>
    <w:rsid w:val="006873BD"/>
    <w:rsid w:val="00694533"/>
    <w:rsid w:val="00694BC7"/>
    <w:rsid w:val="00695E5A"/>
    <w:rsid w:val="006975A9"/>
    <w:rsid w:val="00697C6E"/>
    <w:rsid w:val="006A30C0"/>
    <w:rsid w:val="006A3455"/>
    <w:rsid w:val="006A5FD8"/>
    <w:rsid w:val="006B0879"/>
    <w:rsid w:val="006B0B7E"/>
    <w:rsid w:val="006B14A6"/>
    <w:rsid w:val="006B7A41"/>
    <w:rsid w:val="006C12EA"/>
    <w:rsid w:val="006C472F"/>
    <w:rsid w:val="006D5849"/>
    <w:rsid w:val="006D6672"/>
    <w:rsid w:val="006E0FAB"/>
    <w:rsid w:val="006E1C86"/>
    <w:rsid w:val="006E22FB"/>
    <w:rsid w:val="006E6C80"/>
    <w:rsid w:val="006F0678"/>
    <w:rsid w:val="006F11C8"/>
    <w:rsid w:val="006F4521"/>
    <w:rsid w:val="006F493D"/>
    <w:rsid w:val="006F5A5F"/>
    <w:rsid w:val="006F7067"/>
    <w:rsid w:val="00701961"/>
    <w:rsid w:val="00702356"/>
    <w:rsid w:val="00706CD3"/>
    <w:rsid w:val="00707222"/>
    <w:rsid w:val="00707983"/>
    <w:rsid w:val="007105B5"/>
    <w:rsid w:val="00711455"/>
    <w:rsid w:val="00714258"/>
    <w:rsid w:val="00714337"/>
    <w:rsid w:val="0071537F"/>
    <w:rsid w:val="00717DC4"/>
    <w:rsid w:val="00720A28"/>
    <w:rsid w:val="00720BEA"/>
    <w:rsid w:val="00720CCA"/>
    <w:rsid w:val="007225C8"/>
    <w:rsid w:val="00722CDA"/>
    <w:rsid w:val="007259BC"/>
    <w:rsid w:val="007301E4"/>
    <w:rsid w:val="00735B53"/>
    <w:rsid w:val="0073708E"/>
    <w:rsid w:val="007371D5"/>
    <w:rsid w:val="007374B1"/>
    <w:rsid w:val="007376D1"/>
    <w:rsid w:val="00737E0F"/>
    <w:rsid w:val="0074534A"/>
    <w:rsid w:val="00746D97"/>
    <w:rsid w:val="00754A3D"/>
    <w:rsid w:val="00754D57"/>
    <w:rsid w:val="00755260"/>
    <w:rsid w:val="00760D8B"/>
    <w:rsid w:val="00763969"/>
    <w:rsid w:val="0076590F"/>
    <w:rsid w:val="00765994"/>
    <w:rsid w:val="00767B82"/>
    <w:rsid w:val="00771039"/>
    <w:rsid w:val="007721F4"/>
    <w:rsid w:val="0077230C"/>
    <w:rsid w:val="007756CE"/>
    <w:rsid w:val="00775C2A"/>
    <w:rsid w:val="007760B3"/>
    <w:rsid w:val="00781F67"/>
    <w:rsid w:val="00786C6F"/>
    <w:rsid w:val="00786EC4"/>
    <w:rsid w:val="00787BB3"/>
    <w:rsid w:val="00790BE6"/>
    <w:rsid w:val="00791C5D"/>
    <w:rsid w:val="00796357"/>
    <w:rsid w:val="007A0AD3"/>
    <w:rsid w:val="007A6A84"/>
    <w:rsid w:val="007A754C"/>
    <w:rsid w:val="007A7E93"/>
    <w:rsid w:val="007B01C4"/>
    <w:rsid w:val="007B413E"/>
    <w:rsid w:val="007B45BE"/>
    <w:rsid w:val="007B55DD"/>
    <w:rsid w:val="007C2525"/>
    <w:rsid w:val="007C29DA"/>
    <w:rsid w:val="007C68B3"/>
    <w:rsid w:val="007C7187"/>
    <w:rsid w:val="007D1D36"/>
    <w:rsid w:val="007D3179"/>
    <w:rsid w:val="007D706F"/>
    <w:rsid w:val="007E06CA"/>
    <w:rsid w:val="007E16DF"/>
    <w:rsid w:val="007E1B44"/>
    <w:rsid w:val="007E2D32"/>
    <w:rsid w:val="007E3CA6"/>
    <w:rsid w:val="007E67EC"/>
    <w:rsid w:val="007E769A"/>
    <w:rsid w:val="007F25CC"/>
    <w:rsid w:val="007F2847"/>
    <w:rsid w:val="007F40C1"/>
    <w:rsid w:val="007F687D"/>
    <w:rsid w:val="00804BA0"/>
    <w:rsid w:val="00807208"/>
    <w:rsid w:val="00807DF4"/>
    <w:rsid w:val="008106C4"/>
    <w:rsid w:val="008118C4"/>
    <w:rsid w:val="008131D9"/>
    <w:rsid w:val="008239C4"/>
    <w:rsid w:val="00823BCD"/>
    <w:rsid w:val="00824106"/>
    <w:rsid w:val="008245C5"/>
    <w:rsid w:val="008257AB"/>
    <w:rsid w:val="00830C98"/>
    <w:rsid w:val="00834D95"/>
    <w:rsid w:val="0083696B"/>
    <w:rsid w:val="008369BE"/>
    <w:rsid w:val="008370B1"/>
    <w:rsid w:val="00842809"/>
    <w:rsid w:val="00846327"/>
    <w:rsid w:val="00846DC0"/>
    <w:rsid w:val="00847287"/>
    <w:rsid w:val="00854D42"/>
    <w:rsid w:val="0086488B"/>
    <w:rsid w:val="00871194"/>
    <w:rsid w:val="00872361"/>
    <w:rsid w:val="00873CD2"/>
    <w:rsid w:val="008763F9"/>
    <w:rsid w:val="008800D8"/>
    <w:rsid w:val="00883472"/>
    <w:rsid w:val="0088490C"/>
    <w:rsid w:val="008863D9"/>
    <w:rsid w:val="00886508"/>
    <w:rsid w:val="00894BC9"/>
    <w:rsid w:val="00895CF9"/>
    <w:rsid w:val="00896B0B"/>
    <w:rsid w:val="00896EA5"/>
    <w:rsid w:val="008A3E3A"/>
    <w:rsid w:val="008B1DAA"/>
    <w:rsid w:val="008B42C6"/>
    <w:rsid w:val="008B5971"/>
    <w:rsid w:val="008C016D"/>
    <w:rsid w:val="008C2AF1"/>
    <w:rsid w:val="008C352A"/>
    <w:rsid w:val="008C7950"/>
    <w:rsid w:val="008D3737"/>
    <w:rsid w:val="008D73E6"/>
    <w:rsid w:val="008D7BAF"/>
    <w:rsid w:val="008E117D"/>
    <w:rsid w:val="008E2A1B"/>
    <w:rsid w:val="008E466E"/>
    <w:rsid w:val="008E4E8A"/>
    <w:rsid w:val="008F3048"/>
    <w:rsid w:val="008F407C"/>
    <w:rsid w:val="008F4C97"/>
    <w:rsid w:val="008F5F44"/>
    <w:rsid w:val="008F6523"/>
    <w:rsid w:val="00900656"/>
    <w:rsid w:val="00902363"/>
    <w:rsid w:val="009057C8"/>
    <w:rsid w:val="009061E5"/>
    <w:rsid w:val="00911F6E"/>
    <w:rsid w:val="00913ACF"/>
    <w:rsid w:val="00917BBD"/>
    <w:rsid w:val="009210FC"/>
    <w:rsid w:val="00923620"/>
    <w:rsid w:val="009240DA"/>
    <w:rsid w:val="009247FC"/>
    <w:rsid w:val="00927B0D"/>
    <w:rsid w:val="009320DE"/>
    <w:rsid w:val="00932DCE"/>
    <w:rsid w:val="00934F7C"/>
    <w:rsid w:val="00937738"/>
    <w:rsid w:val="00943270"/>
    <w:rsid w:val="00945618"/>
    <w:rsid w:val="00946B3D"/>
    <w:rsid w:val="009500B4"/>
    <w:rsid w:val="00950E14"/>
    <w:rsid w:val="009513C7"/>
    <w:rsid w:val="0095158B"/>
    <w:rsid w:val="00951E2A"/>
    <w:rsid w:val="009535E0"/>
    <w:rsid w:val="00957017"/>
    <w:rsid w:val="0095775F"/>
    <w:rsid w:val="009577BA"/>
    <w:rsid w:val="00962920"/>
    <w:rsid w:val="00962A6F"/>
    <w:rsid w:val="00962F9B"/>
    <w:rsid w:val="0096448D"/>
    <w:rsid w:val="00974053"/>
    <w:rsid w:val="00975813"/>
    <w:rsid w:val="009770BB"/>
    <w:rsid w:val="009822BB"/>
    <w:rsid w:val="009848B5"/>
    <w:rsid w:val="00992498"/>
    <w:rsid w:val="009952DB"/>
    <w:rsid w:val="00996002"/>
    <w:rsid w:val="00997F7A"/>
    <w:rsid w:val="009A10E5"/>
    <w:rsid w:val="009A218B"/>
    <w:rsid w:val="009A2464"/>
    <w:rsid w:val="009A2A90"/>
    <w:rsid w:val="009A46E5"/>
    <w:rsid w:val="009B050D"/>
    <w:rsid w:val="009B198D"/>
    <w:rsid w:val="009B32E2"/>
    <w:rsid w:val="009B4C41"/>
    <w:rsid w:val="009B55A7"/>
    <w:rsid w:val="009C0656"/>
    <w:rsid w:val="009C10A4"/>
    <w:rsid w:val="009C123C"/>
    <w:rsid w:val="009C146C"/>
    <w:rsid w:val="009C246B"/>
    <w:rsid w:val="009C2C65"/>
    <w:rsid w:val="009C3373"/>
    <w:rsid w:val="009D3DF0"/>
    <w:rsid w:val="009D4FEF"/>
    <w:rsid w:val="009E015C"/>
    <w:rsid w:val="009E520E"/>
    <w:rsid w:val="009E6986"/>
    <w:rsid w:val="009E6E83"/>
    <w:rsid w:val="009E6E87"/>
    <w:rsid w:val="009E7A52"/>
    <w:rsid w:val="009F0C4A"/>
    <w:rsid w:val="009F32E2"/>
    <w:rsid w:val="009F3F10"/>
    <w:rsid w:val="009F6E79"/>
    <w:rsid w:val="00A02D9A"/>
    <w:rsid w:val="00A06E3D"/>
    <w:rsid w:val="00A07DBC"/>
    <w:rsid w:val="00A11A75"/>
    <w:rsid w:val="00A14640"/>
    <w:rsid w:val="00A16B85"/>
    <w:rsid w:val="00A2057D"/>
    <w:rsid w:val="00A235A1"/>
    <w:rsid w:val="00A24575"/>
    <w:rsid w:val="00A26B73"/>
    <w:rsid w:val="00A272E7"/>
    <w:rsid w:val="00A27D71"/>
    <w:rsid w:val="00A301A4"/>
    <w:rsid w:val="00A3038E"/>
    <w:rsid w:val="00A31C85"/>
    <w:rsid w:val="00A32833"/>
    <w:rsid w:val="00A37F68"/>
    <w:rsid w:val="00A409B9"/>
    <w:rsid w:val="00A4119D"/>
    <w:rsid w:val="00A41DDA"/>
    <w:rsid w:val="00A440FE"/>
    <w:rsid w:val="00A47489"/>
    <w:rsid w:val="00A50D16"/>
    <w:rsid w:val="00A53A89"/>
    <w:rsid w:val="00A54EE7"/>
    <w:rsid w:val="00A61843"/>
    <w:rsid w:val="00A64052"/>
    <w:rsid w:val="00A71B5A"/>
    <w:rsid w:val="00A72EA6"/>
    <w:rsid w:val="00A75534"/>
    <w:rsid w:val="00A80624"/>
    <w:rsid w:val="00A82E2B"/>
    <w:rsid w:val="00A861CB"/>
    <w:rsid w:val="00A95AED"/>
    <w:rsid w:val="00A96E3B"/>
    <w:rsid w:val="00A970B7"/>
    <w:rsid w:val="00AA1004"/>
    <w:rsid w:val="00AA26C0"/>
    <w:rsid w:val="00AA3062"/>
    <w:rsid w:val="00AA499E"/>
    <w:rsid w:val="00AA4CCF"/>
    <w:rsid w:val="00AA6204"/>
    <w:rsid w:val="00AA6457"/>
    <w:rsid w:val="00AB2BAC"/>
    <w:rsid w:val="00AB2C4F"/>
    <w:rsid w:val="00AB3D82"/>
    <w:rsid w:val="00AB67FD"/>
    <w:rsid w:val="00AC05B8"/>
    <w:rsid w:val="00AC0EB1"/>
    <w:rsid w:val="00AC1918"/>
    <w:rsid w:val="00AC1E71"/>
    <w:rsid w:val="00AC478A"/>
    <w:rsid w:val="00AC6D48"/>
    <w:rsid w:val="00AD1DBE"/>
    <w:rsid w:val="00AE6248"/>
    <w:rsid w:val="00AF16FB"/>
    <w:rsid w:val="00AF2136"/>
    <w:rsid w:val="00AF659F"/>
    <w:rsid w:val="00AF6827"/>
    <w:rsid w:val="00B007BB"/>
    <w:rsid w:val="00B00F53"/>
    <w:rsid w:val="00B04733"/>
    <w:rsid w:val="00B05278"/>
    <w:rsid w:val="00B05A33"/>
    <w:rsid w:val="00B11181"/>
    <w:rsid w:val="00B1447E"/>
    <w:rsid w:val="00B15A66"/>
    <w:rsid w:val="00B21573"/>
    <w:rsid w:val="00B21EE5"/>
    <w:rsid w:val="00B24B34"/>
    <w:rsid w:val="00B33080"/>
    <w:rsid w:val="00B34660"/>
    <w:rsid w:val="00B44756"/>
    <w:rsid w:val="00B44C4C"/>
    <w:rsid w:val="00B46166"/>
    <w:rsid w:val="00B51AB3"/>
    <w:rsid w:val="00B51B32"/>
    <w:rsid w:val="00B53429"/>
    <w:rsid w:val="00B57E04"/>
    <w:rsid w:val="00B60994"/>
    <w:rsid w:val="00B63712"/>
    <w:rsid w:val="00B70E7C"/>
    <w:rsid w:val="00B71F28"/>
    <w:rsid w:val="00B72FE7"/>
    <w:rsid w:val="00B7422A"/>
    <w:rsid w:val="00B77943"/>
    <w:rsid w:val="00B8216B"/>
    <w:rsid w:val="00B871CC"/>
    <w:rsid w:val="00B90208"/>
    <w:rsid w:val="00B909BA"/>
    <w:rsid w:val="00B93A09"/>
    <w:rsid w:val="00B94092"/>
    <w:rsid w:val="00B94682"/>
    <w:rsid w:val="00B9473D"/>
    <w:rsid w:val="00B94C7C"/>
    <w:rsid w:val="00B94D0C"/>
    <w:rsid w:val="00B95625"/>
    <w:rsid w:val="00B97E85"/>
    <w:rsid w:val="00BA05C5"/>
    <w:rsid w:val="00BA2C58"/>
    <w:rsid w:val="00BA41DC"/>
    <w:rsid w:val="00BA4298"/>
    <w:rsid w:val="00BA4FB7"/>
    <w:rsid w:val="00BA66D8"/>
    <w:rsid w:val="00BA6EB9"/>
    <w:rsid w:val="00BA7A58"/>
    <w:rsid w:val="00BB3B0B"/>
    <w:rsid w:val="00BB6571"/>
    <w:rsid w:val="00BC011E"/>
    <w:rsid w:val="00BC0299"/>
    <w:rsid w:val="00BC4F48"/>
    <w:rsid w:val="00BC7D48"/>
    <w:rsid w:val="00BD0F0B"/>
    <w:rsid w:val="00BD1B73"/>
    <w:rsid w:val="00BD2C9F"/>
    <w:rsid w:val="00BE109A"/>
    <w:rsid w:val="00BE25A3"/>
    <w:rsid w:val="00BE26C1"/>
    <w:rsid w:val="00BE3521"/>
    <w:rsid w:val="00BE5F51"/>
    <w:rsid w:val="00BF1C2C"/>
    <w:rsid w:val="00BF1C4C"/>
    <w:rsid w:val="00BF1E51"/>
    <w:rsid w:val="00C022CD"/>
    <w:rsid w:val="00C0422F"/>
    <w:rsid w:val="00C04965"/>
    <w:rsid w:val="00C0659B"/>
    <w:rsid w:val="00C076C9"/>
    <w:rsid w:val="00C100B1"/>
    <w:rsid w:val="00C161E2"/>
    <w:rsid w:val="00C17830"/>
    <w:rsid w:val="00C2094C"/>
    <w:rsid w:val="00C23DA8"/>
    <w:rsid w:val="00C30C19"/>
    <w:rsid w:val="00C316BC"/>
    <w:rsid w:val="00C348BE"/>
    <w:rsid w:val="00C3497B"/>
    <w:rsid w:val="00C35D31"/>
    <w:rsid w:val="00C37E7A"/>
    <w:rsid w:val="00C429FD"/>
    <w:rsid w:val="00C42E9B"/>
    <w:rsid w:val="00C435EE"/>
    <w:rsid w:val="00C51D54"/>
    <w:rsid w:val="00C52C8F"/>
    <w:rsid w:val="00C52C91"/>
    <w:rsid w:val="00C52FA7"/>
    <w:rsid w:val="00C54527"/>
    <w:rsid w:val="00C56720"/>
    <w:rsid w:val="00C62D83"/>
    <w:rsid w:val="00C637C1"/>
    <w:rsid w:val="00C665E1"/>
    <w:rsid w:val="00C7064F"/>
    <w:rsid w:val="00C70D67"/>
    <w:rsid w:val="00C73A8F"/>
    <w:rsid w:val="00C746C3"/>
    <w:rsid w:val="00C7585D"/>
    <w:rsid w:val="00C76A02"/>
    <w:rsid w:val="00C8025A"/>
    <w:rsid w:val="00C81957"/>
    <w:rsid w:val="00C8238E"/>
    <w:rsid w:val="00C83776"/>
    <w:rsid w:val="00C838C5"/>
    <w:rsid w:val="00C86687"/>
    <w:rsid w:val="00C8775C"/>
    <w:rsid w:val="00C90414"/>
    <w:rsid w:val="00C93ABC"/>
    <w:rsid w:val="00C954D1"/>
    <w:rsid w:val="00C96D2C"/>
    <w:rsid w:val="00C9786A"/>
    <w:rsid w:val="00C97AAF"/>
    <w:rsid w:val="00CA176A"/>
    <w:rsid w:val="00CA17D6"/>
    <w:rsid w:val="00CA62A0"/>
    <w:rsid w:val="00CA7063"/>
    <w:rsid w:val="00CA7618"/>
    <w:rsid w:val="00CA7BC4"/>
    <w:rsid w:val="00CC00CD"/>
    <w:rsid w:val="00CC19F7"/>
    <w:rsid w:val="00CC438E"/>
    <w:rsid w:val="00CC68B9"/>
    <w:rsid w:val="00CC7D82"/>
    <w:rsid w:val="00CD2DAD"/>
    <w:rsid w:val="00CD3BDA"/>
    <w:rsid w:val="00CD6120"/>
    <w:rsid w:val="00CE7A7F"/>
    <w:rsid w:val="00CF18AE"/>
    <w:rsid w:val="00CF711E"/>
    <w:rsid w:val="00D005DB"/>
    <w:rsid w:val="00D0283E"/>
    <w:rsid w:val="00D0776C"/>
    <w:rsid w:val="00D1187C"/>
    <w:rsid w:val="00D14BAB"/>
    <w:rsid w:val="00D16108"/>
    <w:rsid w:val="00D165A5"/>
    <w:rsid w:val="00D22CBE"/>
    <w:rsid w:val="00D24D4E"/>
    <w:rsid w:val="00D267EC"/>
    <w:rsid w:val="00D270DF"/>
    <w:rsid w:val="00D34E46"/>
    <w:rsid w:val="00D37100"/>
    <w:rsid w:val="00D371FE"/>
    <w:rsid w:val="00D465F7"/>
    <w:rsid w:val="00D47543"/>
    <w:rsid w:val="00D575EB"/>
    <w:rsid w:val="00D60C0E"/>
    <w:rsid w:val="00D666CC"/>
    <w:rsid w:val="00D669EB"/>
    <w:rsid w:val="00D7188D"/>
    <w:rsid w:val="00D73DDF"/>
    <w:rsid w:val="00D7429C"/>
    <w:rsid w:val="00D75AA0"/>
    <w:rsid w:val="00D81140"/>
    <w:rsid w:val="00D85F1D"/>
    <w:rsid w:val="00D86A4C"/>
    <w:rsid w:val="00D8731B"/>
    <w:rsid w:val="00D92452"/>
    <w:rsid w:val="00D92547"/>
    <w:rsid w:val="00D96431"/>
    <w:rsid w:val="00DA0778"/>
    <w:rsid w:val="00DA1C8F"/>
    <w:rsid w:val="00DA2D57"/>
    <w:rsid w:val="00DB09FB"/>
    <w:rsid w:val="00DB3D9C"/>
    <w:rsid w:val="00DB73FA"/>
    <w:rsid w:val="00DC1FA9"/>
    <w:rsid w:val="00DC3655"/>
    <w:rsid w:val="00DC54BC"/>
    <w:rsid w:val="00DC5B37"/>
    <w:rsid w:val="00DD19DD"/>
    <w:rsid w:val="00DD6B09"/>
    <w:rsid w:val="00DE134F"/>
    <w:rsid w:val="00DF351D"/>
    <w:rsid w:val="00DF5B65"/>
    <w:rsid w:val="00E0076D"/>
    <w:rsid w:val="00E00D19"/>
    <w:rsid w:val="00E030B0"/>
    <w:rsid w:val="00E03E35"/>
    <w:rsid w:val="00E05D5A"/>
    <w:rsid w:val="00E10670"/>
    <w:rsid w:val="00E12CFA"/>
    <w:rsid w:val="00E143DD"/>
    <w:rsid w:val="00E1758E"/>
    <w:rsid w:val="00E2572F"/>
    <w:rsid w:val="00E25EE4"/>
    <w:rsid w:val="00E26413"/>
    <w:rsid w:val="00E30922"/>
    <w:rsid w:val="00E3208D"/>
    <w:rsid w:val="00E33239"/>
    <w:rsid w:val="00E33F44"/>
    <w:rsid w:val="00E357BD"/>
    <w:rsid w:val="00E46171"/>
    <w:rsid w:val="00E51409"/>
    <w:rsid w:val="00E533CC"/>
    <w:rsid w:val="00E54B25"/>
    <w:rsid w:val="00E57F8A"/>
    <w:rsid w:val="00E62917"/>
    <w:rsid w:val="00E62BFC"/>
    <w:rsid w:val="00E64EFD"/>
    <w:rsid w:val="00E6783C"/>
    <w:rsid w:val="00E70AA5"/>
    <w:rsid w:val="00E742EF"/>
    <w:rsid w:val="00E81050"/>
    <w:rsid w:val="00E833C3"/>
    <w:rsid w:val="00E85E13"/>
    <w:rsid w:val="00E9078D"/>
    <w:rsid w:val="00E91C00"/>
    <w:rsid w:val="00E925D7"/>
    <w:rsid w:val="00E96427"/>
    <w:rsid w:val="00EA13B8"/>
    <w:rsid w:val="00EA2B7C"/>
    <w:rsid w:val="00EA3134"/>
    <w:rsid w:val="00EA41FC"/>
    <w:rsid w:val="00EA4EDB"/>
    <w:rsid w:val="00EB01DE"/>
    <w:rsid w:val="00EB0CB0"/>
    <w:rsid w:val="00EB42B0"/>
    <w:rsid w:val="00EC064F"/>
    <w:rsid w:val="00EC450E"/>
    <w:rsid w:val="00EC7CCE"/>
    <w:rsid w:val="00ED0F1C"/>
    <w:rsid w:val="00ED0F6E"/>
    <w:rsid w:val="00ED1920"/>
    <w:rsid w:val="00ED1A34"/>
    <w:rsid w:val="00ED4820"/>
    <w:rsid w:val="00EE1F8A"/>
    <w:rsid w:val="00EE3D23"/>
    <w:rsid w:val="00EE4745"/>
    <w:rsid w:val="00EE7592"/>
    <w:rsid w:val="00EF03E1"/>
    <w:rsid w:val="00EF357A"/>
    <w:rsid w:val="00EF3CB5"/>
    <w:rsid w:val="00F0091A"/>
    <w:rsid w:val="00F060C0"/>
    <w:rsid w:val="00F10DC4"/>
    <w:rsid w:val="00F2103F"/>
    <w:rsid w:val="00F21813"/>
    <w:rsid w:val="00F21FA3"/>
    <w:rsid w:val="00F21FA7"/>
    <w:rsid w:val="00F22486"/>
    <w:rsid w:val="00F2270A"/>
    <w:rsid w:val="00F2549C"/>
    <w:rsid w:val="00F303BF"/>
    <w:rsid w:val="00F31D46"/>
    <w:rsid w:val="00F32C31"/>
    <w:rsid w:val="00F375F8"/>
    <w:rsid w:val="00F4098E"/>
    <w:rsid w:val="00F42B57"/>
    <w:rsid w:val="00F45CC9"/>
    <w:rsid w:val="00F55BF8"/>
    <w:rsid w:val="00F57073"/>
    <w:rsid w:val="00F60E35"/>
    <w:rsid w:val="00F614D4"/>
    <w:rsid w:val="00F635EC"/>
    <w:rsid w:val="00F644B8"/>
    <w:rsid w:val="00F665D3"/>
    <w:rsid w:val="00F67E25"/>
    <w:rsid w:val="00F703A9"/>
    <w:rsid w:val="00F7182C"/>
    <w:rsid w:val="00F73C57"/>
    <w:rsid w:val="00F77531"/>
    <w:rsid w:val="00F80C3F"/>
    <w:rsid w:val="00F82670"/>
    <w:rsid w:val="00F82CE8"/>
    <w:rsid w:val="00F82E10"/>
    <w:rsid w:val="00F90D94"/>
    <w:rsid w:val="00F93107"/>
    <w:rsid w:val="00F933DB"/>
    <w:rsid w:val="00F95E68"/>
    <w:rsid w:val="00F9753E"/>
    <w:rsid w:val="00FA058F"/>
    <w:rsid w:val="00FA1ADB"/>
    <w:rsid w:val="00FA372D"/>
    <w:rsid w:val="00FB08BF"/>
    <w:rsid w:val="00FB113F"/>
    <w:rsid w:val="00FB3711"/>
    <w:rsid w:val="00FC05C9"/>
    <w:rsid w:val="00FC121B"/>
    <w:rsid w:val="00FC5B1A"/>
    <w:rsid w:val="00FC7537"/>
    <w:rsid w:val="00FD2552"/>
    <w:rsid w:val="00FD2F62"/>
    <w:rsid w:val="00FD32CC"/>
    <w:rsid w:val="00FD34B6"/>
    <w:rsid w:val="00FD3E7A"/>
    <w:rsid w:val="00FD4D0E"/>
    <w:rsid w:val="00FE0E06"/>
    <w:rsid w:val="00FE20EC"/>
    <w:rsid w:val="00FE3DE2"/>
    <w:rsid w:val="00FE4D1D"/>
    <w:rsid w:val="00FE57EA"/>
    <w:rsid w:val="00FE604F"/>
    <w:rsid w:val="00FE7106"/>
    <w:rsid w:val="00FE7D0D"/>
    <w:rsid w:val="00FF1BBF"/>
    <w:rsid w:val="00FF24B4"/>
    <w:rsid w:val="00FF52EC"/>
    <w:rsid w:val="00FF5F64"/>
    <w:rsid w:val="00FF7F3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395FBCAB"/>
  <w15:docId w15:val="{7158E9D1-5C39-4D95-BE11-DDF4B773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316BC"/>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4B7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4B7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B7B7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B7B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7B7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7B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7B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7B7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B7B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lang w:val="x-none"/>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uiPriority w:val="99"/>
    <w:semiHidden/>
    <w:unhideWhenUsed/>
    <w:rsid w:val="0001430D"/>
    <w:rPr>
      <w:sz w:val="16"/>
      <w:szCs w:val="16"/>
    </w:rPr>
  </w:style>
  <w:style w:type="paragraph" w:styleId="Kommentartext">
    <w:name w:val="annotation text"/>
    <w:basedOn w:val="Standard"/>
    <w:link w:val="KommentartextZchn"/>
    <w:uiPriority w:val="99"/>
    <w:unhideWhenUsed/>
    <w:rsid w:val="0001430D"/>
    <w:rPr>
      <w:sz w:val="20"/>
      <w:szCs w:val="20"/>
      <w:lang w:val="x-none"/>
    </w:rPr>
  </w:style>
  <w:style w:type="character" w:customStyle="1" w:styleId="KommentartextZchn">
    <w:name w:val="Kommentartext Zchn"/>
    <w:link w:val="Kommentartext"/>
    <w:uiPriority w:val="99"/>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rPr>
      <w:lang w:eastAsia="x-none"/>
    </w:r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iPriority w:val="99"/>
    <w:unhideWhenUsed/>
    <w:rsid w:val="00934F7C"/>
    <w:pPr>
      <w:tabs>
        <w:tab w:val="center" w:pos="4680"/>
        <w:tab w:val="right" w:pos="9360"/>
      </w:tabs>
    </w:pPr>
    <w:rPr>
      <w:lang w:eastAsia="x-none"/>
    </w:r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iPriority w:val="99"/>
    <w:unhideWhenUsed/>
    <w:rsid w:val="001B50A9"/>
    <w:rPr>
      <w:color w:val="0000FF"/>
      <w:u w:val="single"/>
    </w:rPr>
  </w:style>
  <w:style w:type="paragraph" w:styleId="Endnotentext">
    <w:name w:val="endnote text"/>
    <w:basedOn w:val="Standard"/>
    <w:link w:val="EndnotentextZchn"/>
    <w:semiHidden/>
    <w:rsid w:val="00C70D67"/>
    <w:pPr>
      <w:widowControl w:val="0"/>
      <w:tabs>
        <w:tab w:val="left" w:pos="567"/>
      </w:tabs>
      <w:spacing w:after="0" w:line="240" w:lineRule="auto"/>
    </w:pPr>
    <w:rPr>
      <w:rFonts w:ascii="Times New Roman" w:eastAsia="Times New Roman" w:hAnsi="Times New Roman"/>
      <w:szCs w:val="20"/>
      <w:lang w:val="da-DK" w:eastAsia="x-none"/>
    </w:rPr>
  </w:style>
  <w:style w:type="character" w:customStyle="1" w:styleId="EndnotentextZchn">
    <w:name w:val="Endnotentext Zchn"/>
    <w:link w:val="Endnotentext"/>
    <w:rsid w:val="00C70D67"/>
    <w:rPr>
      <w:rFonts w:ascii="Times New Roman" w:eastAsia="Times New Roman" w:hAnsi="Times New Roman"/>
      <w:sz w:val="22"/>
      <w:lang w:val="da-DK"/>
    </w:rPr>
  </w:style>
  <w:style w:type="paragraph" w:customStyle="1" w:styleId="NormalParagraphStyle">
    <w:name w:val="NormalParagraphStyle"/>
    <w:basedOn w:val="Standard"/>
    <w:rsid w:val="009C10A4"/>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3C30A8"/>
    <w:rPr>
      <w:sz w:val="22"/>
      <w:szCs w:val="22"/>
      <w:lang w:val="is-IS" w:eastAsia="en-US"/>
    </w:rPr>
  </w:style>
  <w:style w:type="paragraph" w:customStyle="1" w:styleId="BodytextAgency">
    <w:name w:val="Body text (Agency)"/>
    <w:basedOn w:val="Standard"/>
    <w:link w:val="BodytextAgencyChar"/>
    <w:rsid w:val="00FE604F"/>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FE604F"/>
    <w:rPr>
      <w:rFonts w:ascii="Verdana" w:eastAsia="Verdana" w:hAnsi="Verdana" w:cs="Verdana"/>
      <w:sz w:val="18"/>
      <w:szCs w:val="18"/>
      <w:lang w:val="en-GB" w:eastAsia="en-GB"/>
    </w:rPr>
  </w:style>
  <w:style w:type="paragraph" w:styleId="StandardWeb">
    <w:name w:val="Normal (Web)"/>
    <w:basedOn w:val="Standard"/>
    <w:uiPriority w:val="99"/>
    <w:semiHidden/>
    <w:unhideWhenUsed/>
    <w:rsid w:val="00426A9F"/>
    <w:rPr>
      <w:rFonts w:ascii="Times New Roman" w:hAnsi="Times New Roman"/>
      <w:sz w:val="24"/>
      <w:szCs w:val="24"/>
    </w:rPr>
  </w:style>
  <w:style w:type="paragraph" w:customStyle="1" w:styleId="Table">
    <w:name w:val="Table"/>
    <w:basedOn w:val="Standard"/>
    <w:link w:val="TableChar"/>
    <w:rsid w:val="00F7182C"/>
    <w:pPr>
      <w:keepNext/>
      <w:keepLines/>
      <w:tabs>
        <w:tab w:val="left" w:pos="284"/>
      </w:tabs>
      <w:spacing w:before="40" w:after="20" w:line="240" w:lineRule="auto"/>
    </w:pPr>
    <w:rPr>
      <w:rFonts w:ascii="Arial" w:eastAsia="Times New Roman" w:hAnsi="Arial"/>
      <w:sz w:val="20"/>
      <w:szCs w:val="20"/>
      <w:lang w:val="en-US"/>
    </w:rPr>
  </w:style>
  <w:style w:type="character" w:customStyle="1" w:styleId="TableChar">
    <w:name w:val="Table Char"/>
    <w:link w:val="Table"/>
    <w:rsid w:val="00F7182C"/>
    <w:rPr>
      <w:rFonts w:ascii="Arial" w:eastAsia="Times New Roman" w:hAnsi="Arial"/>
      <w:lang w:val="en-US" w:eastAsia="en-US"/>
    </w:rPr>
  </w:style>
  <w:style w:type="paragraph" w:customStyle="1" w:styleId="BodyText22">
    <w:name w:val="Body Text 22"/>
    <w:basedOn w:val="Standard"/>
    <w:rsid w:val="00A02D9A"/>
    <w:pPr>
      <w:tabs>
        <w:tab w:val="left" w:pos="-720"/>
      </w:tabs>
      <w:suppressAutoHyphens/>
      <w:spacing w:after="0" w:line="240" w:lineRule="auto"/>
    </w:pPr>
    <w:rPr>
      <w:rFonts w:ascii="Times New Roman" w:eastAsia="Times New Roman" w:hAnsi="Times New Roman"/>
      <w:i/>
      <w:szCs w:val="20"/>
      <w:lang w:val="da-DK"/>
    </w:rPr>
  </w:style>
  <w:style w:type="paragraph" w:customStyle="1" w:styleId="TitleA">
    <w:name w:val="Title A"/>
    <w:basedOn w:val="Standard"/>
    <w:qFormat/>
    <w:rsid w:val="00C316BC"/>
    <w:pPr>
      <w:autoSpaceDE w:val="0"/>
      <w:autoSpaceDN w:val="0"/>
      <w:adjustRightInd w:val="0"/>
      <w:spacing w:after="0" w:line="240" w:lineRule="auto"/>
      <w:jc w:val="center"/>
    </w:pPr>
    <w:rPr>
      <w:rFonts w:ascii="Times New Roman" w:hAnsi="Times New Roman"/>
      <w:b/>
      <w:bCs/>
      <w:lang w:val="da-DK"/>
    </w:rPr>
  </w:style>
  <w:style w:type="paragraph" w:customStyle="1" w:styleId="TitleB">
    <w:name w:val="Title B"/>
    <w:basedOn w:val="Standard"/>
    <w:qFormat/>
    <w:rsid w:val="00C316BC"/>
    <w:pPr>
      <w:suppressAutoHyphens/>
      <w:spacing w:after="0" w:line="240" w:lineRule="auto"/>
      <w:ind w:left="567" w:hanging="567"/>
    </w:pPr>
    <w:rPr>
      <w:rFonts w:ascii="Times New Roman" w:hAnsi="Times New Roman"/>
      <w:b/>
      <w:noProof/>
      <w:szCs w:val="24"/>
    </w:rPr>
  </w:style>
  <w:style w:type="character" w:customStyle="1" w:styleId="berschrift1Zchn">
    <w:name w:val="Überschrift 1 Zchn"/>
    <w:basedOn w:val="Absatz-Standardschriftart"/>
    <w:link w:val="berschrift1"/>
    <w:uiPriority w:val="9"/>
    <w:rsid w:val="004B7B7C"/>
    <w:rPr>
      <w:rFonts w:asciiTheme="majorHAnsi" w:eastAsiaTheme="majorEastAsia" w:hAnsiTheme="majorHAnsi" w:cstheme="majorBidi"/>
      <w:b/>
      <w:bCs/>
      <w:color w:val="365F91" w:themeColor="accent1" w:themeShade="BF"/>
      <w:sz w:val="28"/>
      <w:szCs w:val="28"/>
      <w:lang w:val="is-IS" w:eastAsia="en-US"/>
    </w:rPr>
  </w:style>
  <w:style w:type="character" w:customStyle="1" w:styleId="berschrift2Zchn">
    <w:name w:val="Überschrift 2 Zchn"/>
    <w:basedOn w:val="Absatz-Standardschriftart"/>
    <w:link w:val="berschrift2"/>
    <w:uiPriority w:val="9"/>
    <w:semiHidden/>
    <w:rsid w:val="004B7B7C"/>
    <w:rPr>
      <w:rFonts w:asciiTheme="majorHAnsi" w:eastAsiaTheme="majorEastAsia" w:hAnsiTheme="majorHAnsi" w:cstheme="majorBidi"/>
      <w:b/>
      <w:bCs/>
      <w:color w:val="4F81BD" w:themeColor="accent1"/>
      <w:sz w:val="26"/>
      <w:szCs w:val="26"/>
      <w:lang w:val="is-IS" w:eastAsia="en-US"/>
    </w:rPr>
  </w:style>
  <w:style w:type="character" w:customStyle="1" w:styleId="berschrift3Zchn">
    <w:name w:val="Überschrift 3 Zchn"/>
    <w:basedOn w:val="Absatz-Standardschriftart"/>
    <w:link w:val="berschrift3"/>
    <w:uiPriority w:val="9"/>
    <w:semiHidden/>
    <w:rsid w:val="004B7B7C"/>
    <w:rPr>
      <w:rFonts w:asciiTheme="majorHAnsi" w:eastAsiaTheme="majorEastAsia" w:hAnsiTheme="majorHAnsi" w:cstheme="majorBidi"/>
      <w:b/>
      <w:bCs/>
      <w:color w:val="4F81BD" w:themeColor="accent1"/>
      <w:sz w:val="22"/>
      <w:szCs w:val="22"/>
      <w:lang w:val="is-IS" w:eastAsia="en-US"/>
    </w:rPr>
  </w:style>
  <w:style w:type="character" w:customStyle="1" w:styleId="berschrift4Zchn">
    <w:name w:val="Überschrift 4 Zchn"/>
    <w:basedOn w:val="Absatz-Standardschriftart"/>
    <w:link w:val="berschrift4"/>
    <w:uiPriority w:val="9"/>
    <w:semiHidden/>
    <w:rsid w:val="004B7B7C"/>
    <w:rPr>
      <w:rFonts w:asciiTheme="majorHAnsi" w:eastAsiaTheme="majorEastAsia" w:hAnsiTheme="majorHAnsi" w:cstheme="majorBidi"/>
      <w:b/>
      <w:bCs/>
      <w:i/>
      <w:iCs/>
      <w:color w:val="4F81BD" w:themeColor="accent1"/>
      <w:sz w:val="22"/>
      <w:szCs w:val="22"/>
      <w:lang w:val="is-IS" w:eastAsia="en-US"/>
    </w:rPr>
  </w:style>
  <w:style w:type="character" w:customStyle="1" w:styleId="berschrift5Zchn">
    <w:name w:val="Überschrift 5 Zchn"/>
    <w:basedOn w:val="Absatz-Standardschriftart"/>
    <w:link w:val="berschrift5"/>
    <w:uiPriority w:val="9"/>
    <w:semiHidden/>
    <w:rsid w:val="004B7B7C"/>
    <w:rPr>
      <w:rFonts w:asciiTheme="majorHAnsi" w:eastAsiaTheme="majorEastAsia" w:hAnsiTheme="majorHAnsi" w:cstheme="majorBidi"/>
      <w:color w:val="243F60" w:themeColor="accent1" w:themeShade="7F"/>
      <w:sz w:val="22"/>
      <w:szCs w:val="22"/>
      <w:lang w:val="is-IS" w:eastAsia="en-US"/>
    </w:rPr>
  </w:style>
  <w:style w:type="character" w:customStyle="1" w:styleId="berschrift6Zchn">
    <w:name w:val="Überschrift 6 Zchn"/>
    <w:basedOn w:val="Absatz-Standardschriftart"/>
    <w:link w:val="berschrift6"/>
    <w:uiPriority w:val="9"/>
    <w:semiHidden/>
    <w:rsid w:val="004B7B7C"/>
    <w:rPr>
      <w:rFonts w:asciiTheme="majorHAnsi" w:eastAsiaTheme="majorEastAsia" w:hAnsiTheme="majorHAnsi" w:cstheme="majorBidi"/>
      <w:i/>
      <w:iCs/>
      <w:color w:val="243F60" w:themeColor="accent1" w:themeShade="7F"/>
      <w:sz w:val="22"/>
      <w:szCs w:val="22"/>
      <w:lang w:val="is-IS" w:eastAsia="en-US"/>
    </w:rPr>
  </w:style>
  <w:style w:type="character" w:customStyle="1" w:styleId="berschrift7Zchn">
    <w:name w:val="Überschrift 7 Zchn"/>
    <w:basedOn w:val="Absatz-Standardschriftart"/>
    <w:link w:val="berschrift7"/>
    <w:uiPriority w:val="9"/>
    <w:semiHidden/>
    <w:rsid w:val="004B7B7C"/>
    <w:rPr>
      <w:rFonts w:asciiTheme="majorHAnsi" w:eastAsiaTheme="majorEastAsia" w:hAnsiTheme="majorHAnsi" w:cstheme="majorBidi"/>
      <w:i/>
      <w:iCs/>
      <w:color w:val="404040" w:themeColor="text1" w:themeTint="BF"/>
      <w:sz w:val="22"/>
      <w:szCs w:val="22"/>
      <w:lang w:val="is-IS" w:eastAsia="en-US"/>
    </w:rPr>
  </w:style>
  <w:style w:type="character" w:customStyle="1" w:styleId="berschrift8Zchn">
    <w:name w:val="Überschrift 8 Zchn"/>
    <w:basedOn w:val="Absatz-Standardschriftart"/>
    <w:link w:val="berschrift8"/>
    <w:uiPriority w:val="9"/>
    <w:semiHidden/>
    <w:rsid w:val="004B7B7C"/>
    <w:rPr>
      <w:rFonts w:asciiTheme="majorHAnsi" w:eastAsiaTheme="majorEastAsia" w:hAnsiTheme="majorHAnsi" w:cstheme="majorBidi"/>
      <w:color w:val="404040" w:themeColor="text1" w:themeTint="BF"/>
      <w:lang w:val="is-IS" w:eastAsia="en-US"/>
    </w:rPr>
  </w:style>
  <w:style w:type="character" w:customStyle="1" w:styleId="berschrift9Zchn">
    <w:name w:val="Überschrift 9 Zchn"/>
    <w:basedOn w:val="Absatz-Standardschriftart"/>
    <w:link w:val="berschrift9"/>
    <w:uiPriority w:val="9"/>
    <w:semiHidden/>
    <w:rsid w:val="004B7B7C"/>
    <w:rPr>
      <w:rFonts w:asciiTheme="majorHAnsi" w:eastAsiaTheme="majorEastAsia" w:hAnsiTheme="majorHAnsi" w:cstheme="majorBidi"/>
      <w:i/>
      <w:iCs/>
      <w:color w:val="404040" w:themeColor="text1" w:themeTint="BF"/>
      <w:lang w:val="is-IS" w:eastAsia="en-US"/>
    </w:rPr>
  </w:style>
  <w:style w:type="paragraph" w:styleId="Abbildungsverzeichnis">
    <w:name w:val="table of figures"/>
    <w:basedOn w:val="Standard"/>
    <w:next w:val="Standard"/>
    <w:uiPriority w:val="99"/>
    <w:semiHidden/>
    <w:unhideWhenUsed/>
    <w:rsid w:val="009E6E87"/>
    <w:pPr>
      <w:spacing w:after="0"/>
    </w:pPr>
  </w:style>
  <w:style w:type="paragraph" w:styleId="Anrede">
    <w:name w:val="Salutation"/>
    <w:basedOn w:val="Standard"/>
    <w:next w:val="Standard"/>
    <w:link w:val="AnredeZchn"/>
    <w:uiPriority w:val="99"/>
    <w:semiHidden/>
    <w:unhideWhenUsed/>
    <w:rsid w:val="009E6E87"/>
  </w:style>
  <w:style w:type="character" w:customStyle="1" w:styleId="AnredeZchn">
    <w:name w:val="Anrede Zchn"/>
    <w:basedOn w:val="Absatz-Standardschriftart"/>
    <w:link w:val="Anrede"/>
    <w:uiPriority w:val="99"/>
    <w:semiHidden/>
    <w:rsid w:val="009E6E87"/>
    <w:rPr>
      <w:sz w:val="22"/>
      <w:szCs w:val="22"/>
      <w:lang w:val="is-IS" w:eastAsia="en-US"/>
    </w:rPr>
  </w:style>
  <w:style w:type="paragraph" w:styleId="Aufzhlungszeichen">
    <w:name w:val="List Bullet"/>
    <w:basedOn w:val="Standard"/>
    <w:uiPriority w:val="99"/>
    <w:semiHidden/>
    <w:unhideWhenUsed/>
    <w:rsid w:val="009E6E87"/>
    <w:pPr>
      <w:numPr>
        <w:numId w:val="30"/>
      </w:numPr>
      <w:contextualSpacing/>
    </w:pPr>
  </w:style>
  <w:style w:type="paragraph" w:styleId="Aufzhlungszeichen2">
    <w:name w:val="List Bullet 2"/>
    <w:basedOn w:val="Standard"/>
    <w:uiPriority w:val="99"/>
    <w:semiHidden/>
    <w:unhideWhenUsed/>
    <w:rsid w:val="009E6E87"/>
    <w:pPr>
      <w:numPr>
        <w:numId w:val="31"/>
      </w:numPr>
      <w:contextualSpacing/>
    </w:pPr>
  </w:style>
  <w:style w:type="paragraph" w:styleId="Aufzhlungszeichen3">
    <w:name w:val="List Bullet 3"/>
    <w:basedOn w:val="Standard"/>
    <w:uiPriority w:val="99"/>
    <w:semiHidden/>
    <w:unhideWhenUsed/>
    <w:rsid w:val="009E6E87"/>
    <w:pPr>
      <w:numPr>
        <w:numId w:val="32"/>
      </w:numPr>
      <w:contextualSpacing/>
    </w:pPr>
  </w:style>
  <w:style w:type="paragraph" w:styleId="Aufzhlungszeichen4">
    <w:name w:val="List Bullet 4"/>
    <w:basedOn w:val="Standard"/>
    <w:uiPriority w:val="99"/>
    <w:semiHidden/>
    <w:unhideWhenUsed/>
    <w:rsid w:val="009E6E87"/>
    <w:pPr>
      <w:numPr>
        <w:numId w:val="33"/>
      </w:numPr>
      <w:contextualSpacing/>
    </w:pPr>
  </w:style>
  <w:style w:type="paragraph" w:styleId="Aufzhlungszeichen5">
    <w:name w:val="List Bullet 5"/>
    <w:basedOn w:val="Standard"/>
    <w:uiPriority w:val="99"/>
    <w:semiHidden/>
    <w:unhideWhenUsed/>
    <w:rsid w:val="009E6E87"/>
    <w:pPr>
      <w:numPr>
        <w:numId w:val="34"/>
      </w:numPr>
      <w:contextualSpacing/>
    </w:pPr>
  </w:style>
  <w:style w:type="paragraph" w:styleId="Beschriftung">
    <w:name w:val="caption"/>
    <w:basedOn w:val="Standard"/>
    <w:next w:val="Standard"/>
    <w:uiPriority w:val="35"/>
    <w:semiHidden/>
    <w:unhideWhenUsed/>
    <w:qFormat/>
    <w:rsid w:val="009E6E87"/>
    <w:pPr>
      <w:spacing w:line="240" w:lineRule="auto"/>
    </w:pPr>
    <w:rPr>
      <w:b/>
      <w:bCs/>
      <w:color w:val="4F81BD" w:themeColor="accent1"/>
      <w:sz w:val="18"/>
      <w:szCs w:val="18"/>
    </w:rPr>
  </w:style>
  <w:style w:type="paragraph" w:styleId="Blocktext">
    <w:name w:val="Block Text"/>
    <w:basedOn w:val="Standard"/>
    <w:uiPriority w:val="99"/>
    <w:semiHidden/>
    <w:unhideWhenUsed/>
    <w:rsid w:val="009E6E8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9E6E87"/>
  </w:style>
  <w:style w:type="character" w:customStyle="1" w:styleId="DatumZchn">
    <w:name w:val="Datum Zchn"/>
    <w:basedOn w:val="Absatz-Standardschriftart"/>
    <w:link w:val="Datum"/>
    <w:uiPriority w:val="99"/>
    <w:semiHidden/>
    <w:rsid w:val="009E6E87"/>
    <w:rPr>
      <w:sz w:val="22"/>
      <w:szCs w:val="22"/>
      <w:lang w:val="is-IS" w:eastAsia="en-US"/>
    </w:rPr>
  </w:style>
  <w:style w:type="paragraph" w:styleId="Dokumentstruktur">
    <w:name w:val="Document Map"/>
    <w:basedOn w:val="Standard"/>
    <w:link w:val="DokumentstrukturZchn"/>
    <w:uiPriority w:val="99"/>
    <w:semiHidden/>
    <w:unhideWhenUsed/>
    <w:rsid w:val="009E6E87"/>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9E6E87"/>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9E6E87"/>
    <w:pPr>
      <w:spacing w:after="0" w:line="240" w:lineRule="auto"/>
    </w:pPr>
  </w:style>
  <w:style w:type="character" w:customStyle="1" w:styleId="E-Mail-SignaturZchn">
    <w:name w:val="E-Mail-Signatur Zchn"/>
    <w:basedOn w:val="Absatz-Standardschriftart"/>
    <w:link w:val="E-Mail-Signatur"/>
    <w:uiPriority w:val="99"/>
    <w:semiHidden/>
    <w:rsid w:val="009E6E87"/>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9E6E8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9E6E87"/>
    <w:rPr>
      <w:sz w:val="22"/>
      <w:szCs w:val="22"/>
      <w:lang w:val="is-IS" w:eastAsia="en-US"/>
    </w:rPr>
  </w:style>
  <w:style w:type="paragraph" w:styleId="Funotentext">
    <w:name w:val="footnote text"/>
    <w:basedOn w:val="Standard"/>
    <w:link w:val="FunotentextZchn"/>
    <w:uiPriority w:val="99"/>
    <w:semiHidden/>
    <w:unhideWhenUsed/>
    <w:rsid w:val="009E6E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6E87"/>
    <w:rPr>
      <w:lang w:val="is-IS" w:eastAsia="en-US"/>
    </w:rPr>
  </w:style>
  <w:style w:type="paragraph" w:styleId="Gruformel">
    <w:name w:val="Closing"/>
    <w:basedOn w:val="Standard"/>
    <w:link w:val="GruformelZchn"/>
    <w:uiPriority w:val="99"/>
    <w:semiHidden/>
    <w:unhideWhenUsed/>
    <w:rsid w:val="009E6E87"/>
    <w:pPr>
      <w:spacing w:after="0" w:line="240" w:lineRule="auto"/>
      <w:ind w:left="4252"/>
    </w:pPr>
  </w:style>
  <w:style w:type="character" w:customStyle="1" w:styleId="GruformelZchn">
    <w:name w:val="Grußformel Zchn"/>
    <w:basedOn w:val="Absatz-Standardschriftart"/>
    <w:link w:val="Gruformel"/>
    <w:uiPriority w:val="99"/>
    <w:semiHidden/>
    <w:rsid w:val="009E6E87"/>
    <w:rPr>
      <w:sz w:val="22"/>
      <w:szCs w:val="22"/>
      <w:lang w:val="is-IS" w:eastAsia="en-US"/>
    </w:rPr>
  </w:style>
  <w:style w:type="paragraph" w:styleId="HTMLAdresse">
    <w:name w:val="HTML Address"/>
    <w:basedOn w:val="Standard"/>
    <w:link w:val="HTMLAdresseZchn"/>
    <w:uiPriority w:val="99"/>
    <w:semiHidden/>
    <w:unhideWhenUsed/>
    <w:rsid w:val="009E6E87"/>
    <w:pPr>
      <w:spacing w:after="0" w:line="240" w:lineRule="auto"/>
    </w:pPr>
    <w:rPr>
      <w:i/>
      <w:iCs/>
    </w:rPr>
  </w:style>
  <w:style w:type="character" w:customStyle="1" w:styleId="HTMLAdresseZchn">
    <w:name w:val="HTML Adresse Zchn"/>
    <w:basedOn w:val="Absatz-Standardschriftart"/>
    <w:link w:val="HTMLAdresse"/>
    <w:uiPriority w:val="99"/>
    <w:semiHidden/>
    <w:rsid w:val="009E6E87"/>
    <w:rPr>
      <w:i/>
      <w:iCs/>
      <w:sz w:val="22"/>
      <w:szCs w:val="22"/>
      <w:lang w:val="is-IS" w:eastAsia="en-US"/>
    </w:rPr>
  </w:style>
  <w:style w:type="paragraph" w:styleId="HTMLVorformatiert">
    <w:name w:val="HTML Preformatted"/>
    <w:basedOn w:val="Standard"/>
    <w:link w:val="HTMLVorformatiertZchn"/>
    <w:uiPriority w:val="99"/>
    <w:semiHidden/>
    <w:unhideWhenUsed/>
    <w:rsid w:val="009E6E8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E6E87"/>
    <w:rPr>
      <w:rFonts w:ascii="Consolas" w:hAnsi="Consolas"/>
      <w:lang w:val="is-IS" w:eastAsia="en-US"/>
    </w:rPr>
  </w:style>
  <w:style w:type="paragraph" w:styleId="Index1">
    <w:name w:val="index 1"/>
    <w:basedOn w:val="Standard"/>
    <w:next w:val="Standard"/>
    <w:autoRedefine/>
    <w:uiPriority w:val="99"/>
    <w:semiHidden/>
    <w:unhideWhenUsed/>
    <w:rsid w:val="009E6E87"/>
    <w:pPr>
      <w:spacing w:after="0" w:line="240" w:lineRule="auto"/>
      <w:ind w:left="220" w:hanging="220"/>
    </w:pPr>
  </w:style>
  <w:style w:type="paragraph" w:styleId="Index2">
    <w:name w:val="index 2"/>
    <w:basedOn w:val="Standard"/>
    <w:next w:val="Standard"/>
    <w:autoRedefine/>
    <w:uiPriority w:val="99"/>
    <w:semiHidden/>
    <w:unhideWhenUsed/>
    <w:rsid w:val="009E6E87"/>
    <w:pPr>
      <w:spacing w:after="0" w:line="240" w:lineRule="auto"/>
      <w:ind w:left="440" w:hanging="220"/>
    </w:pPr>
  </w:style>
  <w:style w:type="paragraph" w:styleId="Index3">
    <w:name w:val="index 3"/>
    <w:basedOn w:val="Standard"/>
    <w:next w:val="Standard"/>
    <w:autoRedefine/>
    <w:uiPriority w:val="99"/>
    <w:semiHidden/>
    <w:unhideWhenUsed/>
    <w:rsid w:val="009E6E87"/>
    <w:pPr>
      <w:spacing w:after="0" w:line="240" w:lineRule="auto"/>
      <w:ind w:left="660" w:hanging="220"/>
    </w:pPr>
  </w:style>
  <w:style w:type="paragraph" w:styleId="Index4">
    <w:name w:val="index 4"/>
    <w:basedOn w:val="Standard"/>
    <w:next w:val="Standard"/>
    <w:autoRedefine/>
    <w:uiPriority w:val="99"/>
    <w:semiHidden/>
    <w:unhideWhenUsed/>
    <w:rsid w:val="009E6E87"/>
    <w:pPr>
      <w:spacing w:after="0" w:line="240" w:lineRule="auto"/>
      <w:ind w:left="880" w:hanging="220"/>
    </w:pPr>
  </w:style>
  <w:style w:type="paragraph" w:styleId="Index5">
    <w:name w:val="index 5"/>
    <w:basedOn w:val="Standard"/>
    <w:next w:val="Standard"/>
    <w:autoRedefine/>
    <w:uiPriority w:val="99"/>
    <w:semiHidden/>
    <w:unhideWhenUsed/>
    <w:rsid w:val="009E6E87"/>
    <w:pPr>
      <w:spacing w:after="0" w:line="240" w:lineRule="auto"/>
      <w:ind w:left="1100" w:hanging="220"/>
    </w:pPr>
  </w:style>
  <w:style w:type="paragraph" w:styleId="Index6">
    <w:name w:val="index 6"/>
    <w:basedOn w:val="Standard"/>
    <w:next w:val="Standard"/>
    <w:autoRedefine/>
    <w:uiPriority w:val="99"/>
    <w:semiHidden/>
    <w:unhideWhenUsed/>
    <w:rsid w:val="009E6E87"/>
    <w:pPr>
      <w:spacing w:after="0" w:line="240" w:lineRule="auto"/>
      <w:ind w:left="1320" w:hanging="220"/>
    </w:pPr>
  </w:style>
  <w:style w:type="paragraph" w:styleId="Index7">
    <w:name w:val="index 7"/>
    <w:basedOn w:val="Standard"/>
    <w:next w:val="Standard"/>
    <w:autoRedefine/>
    <w:uiPriority w:val="99"/>
    <w:semiHidden/>
    <w:unhideWhenUsed/>
    <w:rsid w:val="009E6E87"/>
    <w:pPr>
      <w:spacing w:after="0" w:line="240" w:lineRule="auto"/>
      <w:ind w:left="1540" w:hanging="220"/>
    </w:pPr>
  </w:style>
  <w:style w:type="paragraph" w:styleId="Index8">
    <w:name w:val="index 8"/>
    <w:basedOn w:val="Standard"/>
    <w:next w:val="Standard"/>
    <w:autoRedefine/>
    <w:uiPriority w:val="99"/>
    <w:semiHidden/>
    <w:unhideWhenUsed/>
    <w:rsid w:val="009E6E87"/>
    <w:pPr>
      <w:spacing w:after="0" w:line="240" w:lineRule="auto"/>
      <w:ind w:left="1760" w:hanging="220"/>
    </w:pPr>
  </w:style>
  <w:style w:type="paragraph" w:styleId="Index9">
    <w:name w:val="index 9"/>
    <w:basedOn w:val="Standard"/>
    <w:next w:val="Standard"/>
    <w:autoRedefine/>
    <w:uiPriority w:val="99"/>
    <w:semiHidden/>
    <w:unhideWhenUsed/>
    <w:rsid w:val="009E6E87"/>
    <w:pPr>
      <w:spacing w:after="0" w:line="240" w:lineRule="auto"/>
      <w:ind w:left="1980" w:hanging="220"/>
    </w:pPr>
  </w:style>
  <w:style w:type="paragraph" w:styleId="Indexberschrift">
    <w:name w:val="index heading"/>
    <w:basedOn w:val="Standard"/>
    <w:next w:val="Index1"/>
    <w:uiPriority w:val="99"/>
    <w:semiHidden/>
    <w:unhideWhenUsed/>
    <w:rsid w:val="009E6E87"/>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9E6E87"/>
    <w:pPr>
      <w:outlineLvl w:val="9"/>
    </w:pPr>
  </w:style>
  <w:style w:type="paragraph" w:styleId="IntensivesZitat">
    <w:name w:val="Intense Quote"/>
    <w:basedOn w:val="Standard"/>
    <w:next w:val="Standard"/>
    <w:link w:val="IntensivesZitatZchn"/>
    <w:uiPriority w:val="30"/>
    <w:qFormat/>
    <w:rsid w:val="009E6E8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E6E87"/>
    <w:rPr>
      <w:b/>
      <w:bCs/>
      <w:i/>
      <w:iCs/>
      <w:color w:val="4F81BD" w:themeColor="accent1"/>
      <w:sz w:val="22"/>
      <w:szCs w:val="22"/>
      <w:lang w:val="is-IS" w:eastAsia="en-US"/>
    </w:rPr>
  </w:style>
  <w:style w:type="paragraph" w:styleId="Liste">
    <w:name w:val="List"/>
    <w:basedOn w:val="Standard"/>
    <w:uiPriority w:val="99"/>
    <w:semiHidden/>
    <w:unhideWhenUsed/>
    <w:rsid w:val="009E6E87"/>
    <w:pPr>
      <w:ind w:left="283" w:hanging="283"/>
      <w:contextualSpacing/>
    </w:pPr>
  </w:style>
  <w:style w:type="paragraph" w:styleId="Liste2">
    <w:name w:val="List 2"/>
    <w:basedOn w:val="Standard"/>
    <w:uiPriority w:val="99"/>
    <w:semiHidden/>
    <w:unhideWhenUsed/>
    <w:rsid w:val="009E6E87"/>
    <w:pPr>
      <w:ind w:left="566" w:hanging="283"/>
      <w:contextualSpacing/>
    </w:pPr>
  </w:style>
  <w:style w:type="paragraph" w:styleId="Liste3">
    <w:name w:val="List 3"/>
    <w:basedOn w:val="Standard"/>
    <w:uiPriority w:val="99"/>
    <w:semiHidden/>
    <w:unhideWhenUsed/>
    <w:rsid w:val="009E6E87"/>
    <w:pPr>
      <w:ind w:left="849" w:hanging="283"/>
      <w:contextualSpacing/>
    </w:pPr>
  </w:style>
  <w:style w:type="paragraph" w:styleId="Liste4">
    <w:name w:val="List 4"/>
    <w:basedOn w:val="Standard"/>
    <w:uiPriority w:val="99"/>
    <w:semiHidden/>
    <w:unhideWhenUsed/>
    <w:rsid w:val="009E6E87"/>
    <w:pPr>
      <w:ind w:left="1132" w:hanging="283"/>
      <w:contextualSpacing/>
    </w:pPr>
  </w:style>
  <w:style w:type="paragraph" w:styleId="Liste5">
    <w:name w:val="List 5"/>
    <w:basedOn w:val="Standard"/>
    <w:uiPriority w:val="99"/>
    <w:semiHidden/>
    <w:unhideWhenUsed/>
    <w:rsid w:val="009E6E87"/>
    <w:pPr>
      <w:ind w:left="1415" w:hanging="283"/>
      <w:contextualSpacing/>
    </w:pPr>
  </w:style>
  <w:style w:type="paragraph" w:styleId="Listenabsatz">
    <w:name w:val="List Paragraph"/>
    <w:basedOn w:val="Standard"/>
    <w:uiPriority w:val="34"/>
    <w:qFormat/>
    <w:rsid w:val="009E6E87"/>
    <w:pPr>
      <w:ind w:left="720"/>
      <w:contextualSpacing/>
    </w:pPr>
  </w:style>
  <w:style w:type="paragraph" w:styleId="Listenfortsetzung">
    <w:name w:val="List Continue"/>
    <w:basedOn w:val="Standard"/>
    <w:uiPriority w:val="99"/>
    <w:semiHidden/>
    <w:unhideWhenUsed/>
    <w:rsid w:val="009E6E87"/>
    <w:pPr>
      <w:spacing w:after="120"/>
      <w:ind w:left="283"/>
      <w:contextualSpacing/>
    </w:pPr>
  </w:style>
  <w:style w:type="paragraph" w:styleId="Listenfortsetzung2">
    <w:name w:val="List Continue 2"/>
    <w:basedOn w:val="Standard"/>
    <w:uiPriority w:val="99"/>
    <w:semiHidden/>
    <w:unhideWhenUsed/>
    <w:rsid w:val="009E6E87"/>
    <w:pPr>
      <w:spacing w:after="120"/>
      <w:ind w:left="566"/>
      <w:contextualSpacing/>
    </w:pPr>
  </w:style>
  <w:style w:type="paragraph" w:styleId="Listenfortsetzung3">
    <w:name w:val="List Continue 3"/>
    <w:basedOn w:val="Standard"/>
    <w:uiPriority w:val="99"/>
    <w:semiHidden/>
    <w:unhideWhenUsed/>
    <w:rsid w:val="009E6E87"/>
    <w:pPr>
      <w:spacing w:after="120"/>
      <w:ind w:left="849"/>
      <w:contextualSpacing/>
    </w:pPr>
  </w:style>
  <w:style w:type="paragraph" w:styleId="Listenfortsetzung4">
    <w:name w:val="List Continue 4"/>
    <w:basedOn w:val="Standard"/>
    <w:uiPriority w:val="99"/>
    <w:semiHidden/>
    <w:unhideWhenUsed/>
    <w:rsid w:val="009E6E87"/>
    <w:pPr>
      <w:spacing w:after="120"/>
      <w:ind w:left="1132"/>
      <w:contextualSpacing/>
    </w:pPr>
  </w:style>
  <w:style w:type="paragraph" w:styleId="Listenfortsetzung5">
    <w:name w:val="List Continue 5"/>
    <w:basedOn w:val="Standard"/>
    <w:uiPriority w:val="99"/>
    <w:semiHidden/>
    <w:unhideWhenUsed/>
    <w:rsid w:val="009E6E87"/>
    <w:pPr>
      <w:spacing w:after="120"/>
      <w:ind w:left="1415"/>
      <w:contextualSpacing/>
    </w:pPr>
  </w:style>
  <w:style w:type="paragraph" w:styleId="Listennummer">
    <w:name w:val="List Number"/>
    <w:basedOn w:val="Standard"/>
    <w:uiPriority w:val="99"/>
    <w:semiHidden/>
    <w:unhideWhenUsed/>
    <w:rsid w:val="009E6E87"/>
    <w:pPr>
      <w:numPr>
        <w:numId w:val="35"/>
      </w:numPr>
      <w:contextualSpacing/>
    </w:pPr>
  </w:style>
  <w:style w:type="paragraph" w:styleId="Listennummer2">
    <w:name w:val="List Number 2"/>
    <w:basedOn w:val="Standard"/>
    <w:uiPriority w:val="99"/>
    <w:semiHidden/>
    <w:unhideWhenUsed/>
    <w:rsid w:val="009E6E87"/>
    <w:pPr>
      <w:numPr>
        <w:numId w:val="36"/>
      </w:numPr>
      <w:contextualSpacing/>
    </w:pPr>
  </w:style>
  <w:style w:type="paragraph" w:styleId="Listennummer3">
    <w:name w:val="List Number 3"/>
    <w:basedOn w:val="Standard"/>
    <w:uiPriority w:val="99"/>
    <w:semiHidden/>
    <w:unhideWhenUsed/>
    <w:rsid w:val="009E6E87"/>
    <w:pPr>
      <w:numPr>
        <w:numId w:val="37"/>
      </w:numPr>
      <w:contextualSpacing/>
    </w:pPr>
  </w:style>
  <w:style w:type="paragraph" w:styleId="Listennummer4">
    <w:name w:val="List Number 4"/>
    <w:basedOn w:val="Standard"/>
    <w:uiPriority w:val="99"/>
    <w:semiHidden/>
    <w:unhideWhenUsed/>
    <w:rsid w:val="009E6E87"/>
    <w:pPr>
      <w:numPr>
        <w:numId w:val="38"/>
      </w:numPr>
      <w:contextualSpacing/>
    </w:pPr>
  </w:style>
  <w:style w:type="paragraph" w:styleId="Listennummer5">
    <w:name w:val="List Number 5"/>
    <w:basedOn w:val="Standard"/>
    <w:uiPriority w:val="99"/>
    <w:semiHidden/>
    <w:unhideWhenUsed/>
    <w:rsid w:val="009E6E87"/>
    <w:pPr>
      <w:numPr>
        <w:numId w:val="39"/>
      </w:numPr>
      <w:contextualSpacing/>
    </w:pPr>
  </w:style>
  <w:style w:type="paragraph" w:styleId="Literaturverzeichnis">
    <w:name w:val="Bibliography"/>
    <w:basedOn w:val="Standard"/>
    <w:next w:val="Standard"/>
    <w:uiPriority w:val="37"/>
    <w:semiHidden/>
    <w:unhideWhenUsed/>
    <w:rsid w:val="009E6E87"/>
  </w:style>
  <w:style w:type="paragraph" w:styleId="Makrotext">
    <w:name w:val="macro"/>
    <w:link w:val="MakrotextZchn"/>
    <w:uiPriority w:val="99"/>
    <w:semiHidden/>
    <w:unhideWhenUsed/>
    <w:rsid w:val="009E6E8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is-IS" w:eastAsia="en-US"/>
    </w:rPr>
  </w:style>
  <w:style w:type="character" w:customStyle="1" w:styleId="MakrotextZchn">
    <w:name w:val="Makrotext Zchn"/>
    <w:basedOn w:val="Absatz-Standardschriftart"/>
    <w:link w:val="Makrotext"/>
    <w:uiPriority w:val="99"/>
    <w:semiHidden/>
    <w:rsid w:val="009E6E87"/>
    <w:rPr>
      <w:rFonts w:ascii="Consolas" w:hAnsi="Consolas"/>
      <w:lang w:val="is-IS" w:eastAsia="en-US"/>
    </w:rPr>
  </w:style>
  <w:style w:type="paragraph" w:styleId="Nachrichtenkopf">
    <w:name w:val="Message Header"/>
    <w:basedOn w:val="Standard"/>
    <w:link w:val="NachrichtenkopfZchn"/>
    <w:uiPriority w:val="99"/>
    <w:semiHidden/>
    <w:unhideWhenUsed/>
    <w:rsid w:val="009E6E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9E6E87"/>
    <w:rPr>
      <w:rFonts w:asciiTheme="majorHAnsi" w:eastAsiaTheme="majorEastAsia" w:hAnsiTheme="majorHAnsi" w:cstheme="majorBidi"/>
      <w:sz w:val="24"/>
      <w:szCs w:val="24"/>
      <w:shd w:val="pct20" w:color="auto" w:fill="auto"/>
      <w:lang w:val="is-IS" w:eastAsia="en-US"/>
    </w:rPr>
  </w:style>
  <w:style w:type="paragraph" w:styleId="NurText">
    <w:name w:val="Plain Text"/>
    <w:basedOn w:val="Standard"/>
    <w:link w:val="NurTextZchn"/>
    <w:uiPriority w:val="99"/>
    <w:semiHidden/>
    <w:unhideWhenUsed/>
    <w:rsid w:val="009E6E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9E6E87"/>
    <w:rPr>
      <w:rFonts w:ascii="Consolas" w:hAnsi="Consolas"/>
      <w:sz w:val="21"/>
      <w:szCs w:val="21"/>
      <w:lang w:val="is-IS" w:eastAsia="en-US"/>
    </w:rPr>
  </w:style>
  <w:style w:type="paragraph" w:styleId="Rechtsgrundlagenverzeichnis">
    <w:name w:val="table of authorities"/>
    <w:basedOn w:val="Standard"/>
    <w:next w:val="Standard"/>
    <w:uiPriority w:val="99"/>
    <w:semiHidden/>
    <w:unhideWhenUsed/>
    <w:rsid w:val="009E6E87"/>
    <w:pPr>
      <w:spacing w:after="0"/>
      <w:ind w:left="220" w:hanging="220"/>
    </w:pPr>
  </w:style>
  <w:style w:type="paragraph" w:styleId="RGV-berschrift">
    <w:name w:val="toa heading"/>
    <w:basedOn w:val="Standard"/>
    <w:next w:val="Standard"/>
    <w:uiPriority w:val="99"/>
    <w:semiHidden/>
    <w:unhideWhenUsed/>
    <w:rsid w:val="009E6E87"/>
    <w:pPr>
      <w:spacing w:before="120"/>
    </w:pPr>
    <w:rPr>
      <w:rFonts w:asciiTheme="majorHAnsi" w:eastAsiaTheme="majorEastAsia" w:hAnsiTheme="majorHAnsi" w:cstheme="majorBidi"/>
      <w:b/>
      <w:bCs/>
      <w:sz w:val="24"/>
      <w:szCs w:val="24"/>
    </w:rPr>
  </w:style>
  <w:style w:type="paragraph" w:styleId="Standardeinzug">
    <w:name w:val="Normal Indent"/>
    <w:basedOn w:val="Standard"/>
    <w:uiPriority w:val="99"/>
    <w:semiHidden/>
    <w:unhideWhenUsed/>
    <w:rsid w:val="009E6E87"/>
    <w:pPr>
      <w:ind w:left="708"/>
    </w:pPr>
  </w:style>
  <w:style w:type="paragraph" w:styleId="Textkrper">
    <w:name w:val="Body Text"/>
    <w:basedOn w:val="Standard"/>
    <w:link w:val="TextkrperZchn"/>
    <w:uiPriority w:val="99"/>
    <w:semiHidden/>
    <w:unhideWhenUsed/>
    <w:rsid w:val="009E6E87"/>
    <w:pPr>
      <w:spacing w:after="120"/>
    </w:pPr>
  </w:style>
  <w:style w:type="character" w:customStyle="1" w:styleId="TextkrperZchn">
    <w:name w:val="Textkörper Zchn"/>
    <w:basedOn w:val="Absatz-Standardschriftart"/>
    <w:link w:val="Textkrper"/>
    <w:uiPriority w:val="99"/>
    <w:semiHidden/>
    <w:rsid w:val="009E6E87"/>
    <w:rPr>
      <w:sz w:val="22"/>
      <w:szCs w:val="22"/>
      <w:lang w:val="is-IS" w:eastAsia="en-US"/>
    </w:rPr>
  </w:style>
  <w:style w:type="paragraph" w:styleId="Textkrper2">
    <w:name w:val="Body Text 2"/>
    <w:basedOn w:val="Standard"/>
    <w:link w:val="Textkrper2Zchn"/>
    <w:uiPriority w:val="99"/>
    <w:semiHidden/>
    <w:unhideWhenUsed/>
    <w:rsid w:val="009E6E87"/>
    <w:pPr>
      <w:spacing w:after="120" w:line="480" w:lineRule="auto"/>
    </w:pPr>
  </w:style>
  <w:style w:type="character" w:customStyle="1" w:styleId="Textkrper2Zchn">
    <w:name w:val="Textkörper 2 Zchn"/>
    <w:basedOn w:val="Absatz-Standardschriftart"/>
    <w:link w:val="Textkrper2"/>
    <w:uiPriority w:val="99"/>
    <w:semiHidden/>
    <w:rsid w:val="009E6E87"/>
    <w:rPr>
      <w:sz w:val="22"/>
      <w:szCs w:val="22"/>
      <w:lang w:val="is-IS" w:eastAsia="en-US"/>
    </w:rPr>
  </w:style>
  <w:style w:type="paragraph" w:styleId="Textkrper3">
    <w:name w:val="Body Text 3"/>
    <w:basedOn w:val="Standard"/>
    <w:link w:val="Textkrper3Zchn"/>
    <w:uiPriority w:val="99"/>
    <w:semiHidden/>
    <w:unhideWhenUsed/>
    <w:rsid w:val="009E6E87"/>
    <w:pPr>
      <w:spacing w:after="120"/>
    </w:pPr>
    <w:rPr>
      <w:sz w:val="16"/>
      <w:szCs w:val="16"/>
    </w:rPr>
  </w:style>
  <w:style w:type="character" w:customStyle="1" w:styleId="Textkrper3Zchn">
    <w:name w:val="Textkörper 3 Zchn"/>
    <w:basedOn w:val="Absatz-Standardschriftart"/>
    <w:link w:val="Textkrper3"/>
    <w:uiPriority w:val="99"/>
    <w:semiHidden/>
    <w:rsid w:val="009E6E87"/>
    <w:rPr>
      <w:sz w:val="16"/>
      <w:szCs w:val="16"/>
      <w:lang w:val="is-IS" w:eastAsia="en-US"/>
    </w:rPr>
  </w:style>
  <w:style w:type="paragraph" w:styleId="Textkrper-Einzug2">
    <w:name w:val="Body Text Indent 2"/>
    <w:basedOn w:val="Standard"/>
    <w:link w:val="Textkrper-Einzug2Zchn"/>
    <w:uiPriority w:val="99"/>
    <w:semiHidden/>
    <w:unhideWhenUsed/>
    <w:rsid w:val="009E6E8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E6E87"/>
    <w:rPr>
      <w:sz w:val="22"/>
      <w:szCs w:val="22"/>
      <w:lang w:val="is-IS" w:eastAsia="en-US"/>
    </w:rPr>
  </w:style>
  <w:style w:type="paragraph" w:styleId="Textkrper-Einzug3">
    <w:name w:val="Body Text Indent 3"/>
    <w:basedOn w:val="Standard"/>
    <w:link w:val="Textkrper-Einzug3Zchn"/>
    <w:uiPriority w:val="99"/>
    <w:semiHidden/>
    <w:unhideWhenUsed/>
    <w:rsid w:val="009E6E8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9E6E87"/>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9E6E87"/>
    <w:pPr>
      <w:spacing w:after="200"/>
      <w:ind w:firstLine="360"/>
    </w:pPr>
  </w:style>
  <w:style w:type="character" w:customStyle="1" w:styleId="Textkrper-ErstzeileneinzugZchn">
    <w:name w:val="Textkörper-Erstzeileneinzug Zchn"/>
    <w:basedOn w:val="TextkrperZchn"/>
    <w:link w:val="Textkrper-Erstzeileneinzug"/>
    <w:uiPriority w:val="99"/>
    <w:semiHidden/>
    <w:rsid w:val="009E6E87"/>
    <w:rPr>
      <w:sz w:val="22"/>
      <w:szCs w:val="22"/>
      <w:lang w:val="is-IS" w:eastAsia="en-US"/>
    </w:rPr>
  </w:style>
  <w:style w:type="paragraph" w:styleId="Textkrper-Zeileneinzug">
    <w:name w:val="Body Text Indent"/>
    <w:basedOn w:val="Standard"/>
    <w:link w:val="Textkrper-ZeileneinzugZchn"/>
    <w:uiPriority w:val="99"/>
    <w:semiHidden/>
    <w:unhideWhenUsed/>
    <w:rsid w:val="009E6E87"/>
    <w:pPr>
      <w:spacing w:after="120"/>
      <w:ind w:left="283"/>
    </w:pPr>
  </w:style>
  <w:style w:type="character" w:customStyle="1" w:styleId="Textkrper-ZeileneinzugZchn">
    <w:name w:val="Textkörper-Zeileneinzug Zchn"/>
    <w:basedOn w:val="Absatz-Standardschriftart"/>
    <w:link w:val="Textkrper-Zeileneinzug"/>
    <w:uiPriority w:val="99"/>
    <w:semiHidden/>
    <w:rsid w:val="009E6E87"/>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9E6E87"/>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9E6E87"/>
    <w:rPr>
      <w:sz w:val="22"/>
      <w:szCs w:val="22"/>
      <w:lang w:val="is-IS" w:eastAsia="en-US"/>
    </w:rPr>
  </w:style>
  <w:style w:type="paragraph" w:styleId="Titel">
    <w:name w:val="Title"/>
    <w:basedOn w:val="Standard"/>
    <w:next w:val="Standard"/>
    <w:link w:val="TitelZchn"/>
    <w:uiPriority w:val="10"/>
    <w:qFormat/>
    <w:rsid w:val="009E6E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E6E87"/>
    <w:rPr>
      <w:rFonts w:asciiTheme="majorHAnsi" w:eastAsiaTheme="majorEastAsia" w:hAnsiTheme="majorHAnsi" w:cstheme="majorBidi"/>
      <w:color w:val="17365D" w:themeColor="text2" w:themeShade="BF"/>
      <w:spacing w:val="5"/>
      <w:kern w:val="28"/>
      <w:sz w:val="52"/>
      <w:szCs w:val="52"/>
      <w:lang w:val="is-IS" w:eastAsia="en-US"/>
    </w:rPr>
  </w:style>
  <w:style w:type="paragraph" w:styleId="Umschlagabsenderadresse">
    <w:name w:val="envelope return"/>
    <w:basedOn w:val="Standard"/>
    <w:uiPriority w:val="99"/>
    <w:semiHidden/>
    <w:unhideWhenUsed/>
    <w:rsid w:val="009E6E8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9E6E87"/>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9E6E87"/>
    <w:pPr>
      <w:spacing w:after="0" w:line="240" w:lineRule="auto"/>
      <w:ind w:left="4252"/>
    </w:pPr>
  </w:style>
  <w:style w:type="character" w:customStyle="1" w:styleId="UnterschriftZchn">
    <w:name w:val="Unterschrift Zchn"/>
    <w:basedOn w:val="Absatz-Standardschriftart"/>
    <w:link w:val="Unterschrift"/>
    <w:uiPriority w:val="99"/>
    <w:semiHidden/>
    <w:rsid w:val="009E6E87"/>
    <w:rPr>
      <w:sz w:val="22"/>
      <w:szCs w:val="22"/>
      <w:lang w:val="is-IS" w:eastAsia="en-US"/>
    </w:rPr>
  </w:style>
  <w:style w:type="paragraph" w:styleId="Untertitel">
    <w:name w:val="Subtitle"/>
    <w:basedOn w:val="Standard"/>
    <w:next w:val="Standard"/>
    <w:link w:val="UntertitelZchn"/>
    <w:uiPriority w:val="11"/>
    <w:qFormat/>
    <w:rsid w:val="009E6E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E6E87"/>
    <w:rPr>
      <w:rFonts w:asciiTheme="majorHAnsi" w:eastAsiaTheme="majorEastAsia" w:hAnsiTheme="majorHAnsi" w:cstheme="majorBidi"/>
      <w:i/>
      <w:iCs/>
      <w:color w:val="4F81BD" w:themeColor="accent1"/>
      <w:spacing w:val="15"/>
      <w:sz w:val="24"/>
      <w:szCs w:val="24"/>
      <w:lang w:val="is-IS" w:eastAsia="en-US"/>
    </w:rPr>
  </w:style>
  <w:style w:type="paragraph" w:styleId="Verzeichnis1">
    <w:name w:val="toc 1"/>
    <w:basedOn w:val="Standard"/>
    <w:next w:val="Standard"/>
    <w:autoRedefine/>
    <w:uiPriority w:val="39"/>
    <w:semiHidden/>
    <w:unhideWhenUsed/>
    <w:rsid w:val="009E6E87"/>
    <w:pPr>
      <w:spacing w:after="100"/>
    </w:pPr>
  </w:style>
  <w:style w:type="paragraph" w:styleId="Verzeichnis2">
    <w:name w:val="toc 2"/>
    <w:basedOn w:val="Standard"/>
    <w:next w:val="Standard"/>
    <w:autoRedefine/>
    <w:uiPriority w:val="39"/>
    <w:semiHidden/>
    <w:unhideWhenUsed/>
    <w:rsid w:val="009E6E87"/>
    <w:pPr>
      <w:spacing w:after="100"/>
      <w:ind w:left="220"/>
    </w:pPr>
  </w:style>
  <w:style w:type="paragraph" w:styleId="Verzeichnis3">
    <w:name w:val="toc 3"/>
    <w:basedOn w:val="Standard"/>
    <w:next w:val="Standard"/>
    <w:autoRedefine/>
    <w:uiPriority w:val="39"/>
    <w:semiHidden/>
    <w:unhideWhenUsed/>
    <w:rsid w:val="009E6E87"/>
    <w:pPr>
      <w:spacing w:after="100"/>
      <w:ind w:left="440"/>
    </w:pPr>
  </w:style>
  <w:style w:type="paragraph" w:styleId="Verzeichnis4">
    <w:name w:val="toc 4"/>
    <w:basedOn w:val="Standard"/>
    <w:next w:val="Standard"/>
    <w:autoRedefine/>
    <w:uiPriority w:val="39"/>
    <w:semiHidden/>
    <w:unhideWhenUsed/>
    <w:rsid w:val="009E6E87"/>
    <w:pPr>
      <w:spacing w:after="100"/>
      <w:ind w:left="660"/>
    </w:pPr>
  </w:style>
  <w:style w:type="paragraph" w:styleId="Verzeichnis5">
    <w:name w:val="toc 5"/>
    <w:basedOn w:val="Standard"/>
    <w:next w:val="Standard"/>
    <w:autoRedefine/>
    <w:uiPriority w:val="39"/>
    <w:semiHidden/>
    <w:unhideWhenUsed/>
    <w:rsid w:val="009E6E87"/>
    <w:pPr>
      <w:spacing w:after="100"/>
      <w:ind w:left="880"/>
    </w:pPr>
  </w:style>
  <w:style w:type="paragraph" w:styleId="Verzeichnis6">
    <w:name w:val="toc 6"/>
    <w:basedOn w:val="Standard"/>
    <w:next w:val="Standard"/>
    <w:autoRedefine/>
    <w:uiPriority w:val="39"/>
    <w:semiHidden/>
    <w:unhideWhenUsed/>
    <w:rsid w:val="009E6E87"/>
    <w:pPr>
      <w:spacing w:after="100"/>
      <w:ind w:left="1100"/>
    </w:pPr>
  </w:style>
  <w:style w:type="paragraph" w:styleId="Verzeichnis7">
    <w:name w:val="toc 7"/>
    <w:basedOn w:val="Standard"/>
    <w:next w:val="Standard"/>
    <w:autoRedefine/>
    <w:uiPriority w:val="39"/>
    <w:semiHidden/>
    <w:unhideWhenUsed/>
    <w:rsid w:val="009E6E87"/>
    <w:pPr>
      <w:spacing w:after="100"/>
      <w:ind w:left="1320"/>
    </w:pPr>
  </w:style>
  <w:style w:type="paragraph" w:styleId="Verzeichnis8">
    <w:name w:val="toc 8"/>
    <w:basedOn w:val="Standard"/>
    <w:next w:val="Standard"/>
    <w:autoRedefine/>
    <w:uiPriority w:val="39"/>
    <w:semiHidden/>
    <w:unhideWhenUsed/>
    <w:rsid w:val="009E6E87"/>
    <w:pPr>
      <w:spacing w:after="100"/>
      <w:ind w:left="1540"/>
    </w:pPr>
  </w:style>
  <w:style w:type="paragraph" w:styleId="Verzeichnis9">
    <w:name w:val="toc 9"/>
    <w:basedOn w:val="Standard"/>
    <w:next w:val="Standard"/>
    <w:autoRedefine/>
    <w:uiPriority w:val="39"/>
    <w:semiHidden/>
    <w:unhideWhenUsed/>
    <w:rsid w:val="009E6E87"/>
    <w:pPr>
      <w:spacing w:after="100"/>
      <w:ind w:left="1760"/>
    </w:pPr>
  </w:style>
  <w:style w:type="paragraph" w:styleId="Zitat">
    <w:name w:val="Quote"/>
    <w:basedOn w:val="Standard"/>
    <w:next w:val="Standard"/>
    <w:link w:val="ZitatZchn"/>
    <w:uiPriority w:val="29"/>
    <w:qFormat/>
    <w:rsid w:val="009E6E87"/>
    <w:rPr>
      <w:i/>
      <w:iCs/>
      <w:color w:val="000000" w:themeColor="text1"/>
    </w:rPr>
  </w:style>
  <w:style w:type="character" w:customStyle="1" w:styleId="ZitatZchn">
    <w:name w:val="Zitat Zchn"/>
    <w:basedOn w:val="Absatz-Standardschriftart"/>
    <w:link w:val="Zitat"/>
    <w:uiPriority w:val="29"/>
    <w:rsid w:val="009E6E87"/>
    <w:rPr>
      <w:i/>
      <w:iCs/>
      <w:color w:val="000000" w:themeColor="text1"/>
      <w:sz w:val="22"/>
      <w:szCs w:val="22"/>
      <w:lang w:val="is-I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328094061">
      <w:bodyDiv w:val="1"/>
      <w:marLeft w:val="0"/>
      <w:marRight w:val="0"/>
      <w:marTop w:val="0"/>
      <w:marBottom w:val="0"/>
      <w:divBdr>
        <w:top w:val="none" w:sz="0" w:space="0" w:color="auto"/>
        <w:left w:val="none" w:sz="0" w:space="0" w:color="auto"/>
        <w:bottom w:val="none" w:sz="0" w:space="0" w:color="auto"/>
        <w:right w:val="none" w:sz="0" w:space="0" w:color="auto"/>
      </w:divBdr>
    </w:div>
    <w:div w:id="342822372">
      <w:bodyDiv w:val="1"/>
      <w:marLeft w:val="0"/>
      <w:marRight w:val="0"/>
      <w:marTop w:val="0"/>
      <w:marBottom w:val="0"/>
      <w:divBdr>
        <w:top w:val="none" w:sz="0" w:space="0" w:color="auto"/>
        <w:left w:val="none" w:sz="0" w:space="0" w:color="auto"/>
        <w:bottom w:val="none" w:sz="0" w:space="0" w:color="auto"/>
        <w:right w:val="none" w:sz="0" w:space="0" w:color="auto"/>
      </w:divBdr>
    </w:div>
    <w:div w:id="483203411">
      <w:bodyDiv w:val="1"/>
      <w:marLeft w:val="0"/>
      <w:marRight w:val="0"/>
      <w:marTop w:val="0"/>
      <w:marBottom w:val="0"/>
      <w:divBdr>
        <w:top w:val="none" w:sz="0" w:space="0" w:color="auto"/>
        <w:left w:val="none" w:sz="0" w:space="0" w:color="auto"/>
        <w:bottom w:val="none" w:sz="0" w:space="0" w:color="auto"/>
        <w:right w:val="none" w:sz="0" w:space="0" w:color="auto"/>
      </w:divBdr>
    </w:div>
    <w:div w:id="502161181">
      <w:bodyDiv w:val="1"/>
      <w:marLeft w:val="0"/>
      <w:marRight w:val="0"/>
      <w:marTop w:val="0"/>
      <w:marBottom w:val="0"/>
      <w:divBdr>
        <w:top w:val="none" w:sz="0" w:space="0" w:color="auto"/>
        <w:left w:val="none" w:sz="0" w:space="0" w:color="auto"/>
        <w:bottom w:val="none" w:sz="0" w:space="0" w:color="auto"/>
        <w:right w:val="none" w:sz="0" w:space="0" w:color="auto"/>
      </w:divBdr>
    </w:div>
    <w:div w:id="544753907">
      <w:bodyDiv w:val="1"/>
      <w:marLeft w:val="0"/>
      <w:marRight w:val="0"/>
      <w:marTop w:val="0"/>
      <w:marBottom w:val="0"/>
      <w:divBdr>
        <w:top w:val="none" w:sz="0" w:space="0" w:color="auto"/>
        <w:left w:val="none" w:sz="0" w:space="0" w:color="auto"/>
        <w:bottom w:val="none" w:sz="0" w:space="0" w:color="auto"/>
        <w:right w:val="none" w:sz="0" w:space="0" w:color="auto"/>
      </w:divBdr>
    </w:div>
    <w:div w:id="879392616">
      <w:bodyDiv w:val="1"/>
      <w:marLeft w:val="0"/>
      <w:marRight w:val="0"/>
      <w:marTop w:val="0"/>
      <w:marBottom w:val="0"/>
      <w:divBdr>
        <w:top w:val="none" w:sz="0" w:space="0" w:color="auto"/>
        <w:left w:val="none" w:sz="0" w:space="0" w:color="auto"/>
        <w:bottom w:val="none" w:sz="0" w:space="0" w:color="auto"/>
        <w:right w:val="none" w:sz="0" w:space="0" w:color="auto"/>
      </w:divBdr>
    </w:div>
    <w:div w:id="914245185">
      <w:bodyDiv w:val="1"/>
      <w:marLeft w:val="0"/>
      <w:marRight w:val="0"/>
      <w:marTop w:val="0"/>
      <w:marBottom w:val="0"/>
      <w:divBdr>
        <w:top w:val="none" w:sz="0" w:space="0" w:color="auto"/>
        <w:left w:val="none" w:sz="0" w:space="0" w:color="auto"/>
        <w:bottom w:val="none" w:sz="0" w:space="0" w:color="auto"/>
        <w:right w:val="none" w:sz="0" w:space="0" w:color="auto"/>
      </w:divBdr>
    </w:div>
    <w:div w:id="1068070403">
      <w:bodyDiv w:val="1"/>
      <w:marLeft w:val="0"/>
      <w:marRight w:val="0"/>
      <w:marTop w:val="0"/>
      <w:marBottom w:val="0"/>
      <w:divBdr>
        <w:top w:val="none" w:sz="0" w:space="0" w:color="auto"/>
        <w:left w:val="none" w:sz="0" w:space="0" w:color="auto"/>
        <w:bottom w:val="none" w:sz="0" w:space="0" w:color="auto"/>
        <w:right w:val="none" w:sz="0" w:space="0" w:color="auto"/>
      </w:divBdr>
    </w:div>
    <w:div w:id="1488933564">
      <w:bodyDiv w:val="1"/>
      <w:marLeft w:val="0"/>
      <w:marRight w:val="0"/>
      <w:marTop w:val="0"/>
      <w:marBottom w:val="0"/>
      <w:divBdr>
        <w:top w:val="none" w:sz="0" w:space="0" w:color="auto"/>
        <w:left w:val="none" w:sz="0" w:space="0" w:color="auto"/>
        <w:bottom w:val="none" w:sz="0" w:space="0" w:color="auto"/>
        <w:right w:val="none" w:sz="0" w:space="0" w:color="auto"/>
      </w:divBdr>
    </w:div>
    <w:div w:id="1492746084">
      <w:bodyDiv w:val="1"/>
      <w:marLeft w:val="0"/>
      <w:marRight w:val="0"/>
      <w:marTop w:val="0"/>
      <w:marBottom w:val="0"/>
      <w:divBdr>
        <w:top w:val="none" w:sz="0" w:space="0" w:color="auto"/>
        <w:left w:val="none" w:sz="0" w:space="0" w:color="auto"/>
        <w:bottom w:val="none" w:sz="0" w:space="0" w:color="auto"/>
        <w:right w:val="none" w:sz="0" w:space="0" w:color="auto"/>
      </w:divBdr>
    </w:div>
    <w:div w:id="1634485273">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687899972">
      <w:bodyDiv w:val="1"/>
      <w:marLeft w:val="0"/>
      <w:marRight w:val="0"/>
      <w:marTop w:val="0"/>
      <w:marBottom w:val="0"/>
      <w:divBdr>
        <w:top w:val="none" w:sz="0" w:space="0" w:color="auto"/>
        <w:left w:val="none" w:sz="0" w:space="0" w:color="auto"/>
        <w:bottom w:val="none" w:sz="0" w:space="0" w:color="auto"/>
        <w:right w:val="none" w:sz="0" w:space="0" w:color="auto"/>
      </w:divBdr>
    </w:div>
    <w:div w:id="1824008682">
      <w:bodyDiv w:val="1"/>
      <w:marLeft w:val="0"/>
      <w:marRight w:val="0"/>
      <w:marTop w:val="0"/>
      <w:marBottom w:val="0"/>
      <w:divBdr>
        <w:top w:val="none" w:sz="0" w:space="0" w:color="auto"/>
        <w:left w:val="none" w:sz="0" w:space="0" w:color="auto"/>
        <w:bottom w:val="none" w:sz="0" w:space="0" w:color="auto"/>
        <w:right w:val="none" w:sz="0" w:space="0" w:color="auto"/>
      </w:divBdr>
    </w:div>
    <w:div w:id="1834442824">
      <w:bodyDiv w:val="1"/>
      <w:marLeft w:val="0"/>
      <w:marRight w:val="0"/>
      <w:marTop w:val="0"/>
      <w:marBottom w:val="0"/>
      <w:divBdr>
        <w:top w:val="none" w:sz="0" w:space="0" w:color="auto"/>
        <w:left w:val="none" w:sz="0" w:space="0" w:color="auto"/>
        <w:bottom w:val="none" w:sz="0" w:space="0" w:color="auto"/>
        <w:right w:val="none" w:sz="0" w:space="0" w:color="auto"/>
      </w:divBdr>
    </w:div>
    <w:div w:id="206085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C2AA5-B8B2-4FFD-BFBC-BC01EB4CEBA8}"/>
</file>

<file path=customXml/itemProps2.xml><?xml version="1.0" encoding="utf-8"?>
<ds:datastoreItem xmlns:ds="http://schemas.openxmlformats.org/officeDocument/2006/customXml" ds:itemID="{5076A1AE-6F63-4FB7-A9E9-5B06562A7C17}">
  <ds:schemaRefs>
    <ds:schemaRef ds:uri="http://schemas.microsoft.com/sharepoint/v3/contenttype/forms"/>
  </ds:schemaRefs>
</ds:datastoreItem>
</file>

<file path=customXml/itemProps3.xml><?xml version="1.0" encoding="utf-8"?>
<ds:datastoreItem xmlns:ds="http://schemas.openxmlformats.org/officeDocument/2006/customXml" ds:itemID="{01F36FE4-A884-457C-9863-CC1C0E92CD7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AC36AEF4-DF2A-40AC-9F92-DF0680CB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136</Pages>
  <Words>41259</Words>
  <Characters>247556</Characters>
  <Application>Microsoft Office Word</Application>
  <DocSecurity>0</DocSecurity>
  <Lines>6876</Lines>
  <Paragraphs>3702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285113</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3</cp:revision>
  <cp:lastPrinted>2013-11-18T12:11:00Z</cp:lastPrinted>
  <dcterms:created xsi:type="dcterms:W3CDTF">2020-07-09T14:49:00Z</dcterms:created>
  <dcterms:modified xsi:type="dcterms:W3CDTF">2020-07-09T14:49:00Z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